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C" w:rsidRPr="00E8556F" w:rsidRDefault="00806B6C" w:rsidP="00033CB0">
      <w:pPr>
        <w:pStyle w:val="Footer"/>
        <w:tabs>
          <w:tab w:val="clear" w:pos="4153"/>
          <w:tab w:val="clear" w:pos="8306"/>
        </w:tabs>
        <w:jc w:val="center"/>
        <w:outlineLvl w:val="0"/>
        <w:rPr>
          <w:rFonts w:cs="Arial"/>
          <w:b/>
          <w:sz w:val="22"/>
          <w:szCs w:val="22"/>
        </w:rPr>
      </w:pPr>
      <w:r>
        <w:rPr>
          <w:rFonts w:cs="Arial"/>
          <w:b/>
          <w:sz w:val="22"/>
          <w:szCs w:val="22"/>
        </w:rPr>
        <w:t>AUDIT</w:t>
      </w:r>
      <w:r w:rsidRPr="00E8556F">
        <w:rPr>
          <w:rFonts w:cs="Arial"/>
          <w:b/>
          <w:sz w:val="22"/>
          <w:szCs w:val="22"/>
        </w:rPr>
        <w:t xml:space="preserve"> COMMITTEE –</w:t>
      </w:r>
      <w:r>
        <w:rPr>
          <w:rFonts w:cs="Arial"/>
          <w:b/>
          <w:sz w:val="22"/>
          <w:szCs w:val="22"/>
        </w:rPr>
        <w:t xml:space="preserve"> </w:t>
      </w:r>
      <w:r w:rsidR="004949B2">
        <w:rPr>
          <w:rFonts w:cs="Arial"/>
          <w:b/>
          <w:sz w:val="22"/>
          <w:szCs w:val="22"/>
        </w:rPr>
        <w:t>5 DECEMBER</w:t>
      </w:r>
      <w:r w:rsidRPr="00E8556F">
        <w:rPr>
          <w:rFonts w:cs="Arial"/>
          <w:b/>
          <w:sz w:val="22"/>
          <w:szCs w:val="22"/>
        </w:rPr>
        <w:t xml:space="preserve"> </w:t>
      </w:r>
      <w:r w:rsidR="00101C9E">
        <w:rPr>
          <w:rFonts w:cs="Arial"/>
          <w:b/>
          <w:sz w:val="22"/>
          <w:szCs w:val="22"/>
        </w:rPr>
        <w:t>201</w:t>
      </w:r>
      <w:r w:rsidR="004949B2">
        <w:rPr>
          <w:rFonts w:cs="Arial"/>
          <w:b/>
          <w:sz w:val="22"/>
          <w:szCs w:val="22"/>
        </w:rPr>
        <w:t>7</w:t>
      </w:r>
    </w:p>
    <w:p w:rsidR="00806B6C" w:rsidRPr="00E8556F" w:rsidRDefault="00806B6C" w:rsidP="00806B6C">
      <w:pPr>
        <w:pStyle w:val="Footer"/>
        <w:tabs>
          <w:tab w:val="clear" w:pos="4153"/>
          <w:tab w:val="clear" w:pos="8306"/>
        </w:tabs>
        <w:rPr>
          <w:rFonts w:cs="Arial"/>
          <w:sz w:val="22"/>
          <w:szCs w:val="22"/>
        </w:rPr>
      </w:pPr>
    </w:p>
    <w:p w:rsidR="00806B6C" w:rsidRPr="00E8556F" w:rsidRDefault="00806B6C" w:rsidP="00033CB0">
      <w:pPr>
        <w:pStyle w:val="Footer"/>
        <w:tabs>
          <w:tab w:val="clear" w:pos="4153"/>
          <w:tab w:val="clear" w:pos="8306"/>
        </w:tabs>
        <w:jc w:val="center"/>
        <w:outlineLvl w:val="0"/>
        <w:rPr>
          <w:rFonts w:cs="Arial"/>
          <w:b/>
          <w:sz w:val="22"/>
          <w:szCs w:val="22"/>
        </w:rPr>
      </w:pPr>
      <w:r w:rsidRPr="00E8556F">
        <w:rPr>
          <w:rFonts w:cs="Arial"/>
          <w:b/>
          <w:sz w:val="22"/>
          <w:szCs w:val="22"/>
        </w:rPr>
        <w:t xml:space="preserve">PART </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Pr="00E8556F">
        <w:rPr>
          <w:rFonts w:cs="Arial"/>
          <w:b/>
          <w:sz w:val="22"/>
          <w:szCs w:val="22"/>
        </w:rPr>
        <w:t>I</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0066690B">
        <w:rPr>
          <w:rFonts w:cs="Arial"/>
          <w:b/>
          <w:sz w:val="22"/>
          <w:szCs w:val="22"/>
        </w:rPr>
        <w:t xml:space="preserve"> – </w:t>
      </w:r>
      <w:r w:rsidRPr="00E8556F">
        <w:rPr>
          <w:rFonts w:cs="Arial"/>
          <w:b/>
          <w:sz w:val="22"/>
          <w:szCs w:val="22"/>
        </w:rPr>
        <w:t>DELEGATED</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p>
    <w:p w:rsidR="00806B6C" w:rsidRPr="007A5ACE" w:rsidRDefault="00806B6C" w:rsidP="00806B6C">
      <w:pPr>
        <w:tabs>
          <w:tab w:val="left" w:pos="709"/>
          <w:tab w:val="left" w:pos="1980"/>
          <w:tab w:val="left" w:pos="2700"/>
          <w:tab w:val="left" w:pos="3420"/>
        </w:tabs>
        <w:ind w:left="720" w:hanging="720"/>
        <w:rPr>
          <w:rFonts w:cs="Arial"/>
          <w:b/>
          <w:sz w:val="22"/>
          <w:szCs w:val="22"/>
        </w:rPr>
      </w:pPr>
    </w:p>
    <w:p w:rsidR="00806B6C" w:rsidRPr="004033BE" w:rsidRDefault="00806B6C" w:rsidP="00851E27">
      <w:pPr>
        <w:keepNext/>
        <w:ind w:left="851" w:hanging="851"/>
        <w:rPr>
          <w:rFonts w:cs="Arial"/>
          <w:b/>
          <w:i/>
          <w:sz w:val="22"/>
          <w:szCs w:val="22"/>
        </w:rPr>
      </w:pPr>
      <w:r w:rsidRPr="004033BE">
        <w:rPr>
          <w:b/>
          <w:sz w:val="22"/>
          <w:szCs w:val="22"/>
        </w:rPr>
        <w:fldChar w:fldCharType="begin"/>
      </w:r>
      <w:r w:rsidRPr="004033BE">
        <w:rPr>
          <w:b/>
          <w:sz w:val="22"/>
          <w:szCs w:val="22"/>
        </w:rPr>
        <w:instrText xml:space="preserve">  </w:instrText>
      </w:r>
      <w:r w:rsidRPr="004033BE">
        <w:rPr>
          <w:b/>
          <w:sz w:val="22"/>
          <w:szCs w:val="22"/>
        </w:rPr>
        <w:fldChar w:fldCharType="end"/>
      </w:r>
      <w:r w:rsidR="009011BE">
        <w:rPr>
          <w:b/>
          <w:sz w:val="22"/>
          <w:szCs w:val="22"/>
        </w:rPr>
        <w:t>8</w:t>
      </w:r>
      <w:r w:rsidRPr="004033BE">
        <w:rPr>
          <w:b/>
          <w:sz w:val="22"/>
          <w:szCs w:val="22"/>
        </w:rPr>
        <w:t>.</w:t>
      </w:r>
      <w:r w:rsidRPr="004033BE">
        <w:rPr>
          <w:b/>
          <w:sz w:val="22"/>
          <w:szCs w:val="22"/>
        </w:rPr>
        <w:tab/>
      </w:r>
      <w:r w:rsidRPr="004033BE">
        <w:rPr>
          <w:rFonts w:cs="Arial"/>
          <w:b/>
          <w:sz w:val="22"/>
          <w:szCs w:val="22"/>
        </w:rPr>
        <w:t>TREASURY MANAGEMENT</w:t>
      </w:r>
      <w:r w:rsidR="00B27F76" w:rsidRPr="004033BE">
        <w:rPr>
          <w:rFonts w:cs="Arial"/>
          <w:b/>
          <w:sz w:val="22"/>
          <w:szCs w:val="22"/>
        </w:rPr>
        <w:t xml:space="preserve"> – </w:t>
      </w:r>
      <w:r w:rsidR="00C21C08" w:rsidRPr="004033BE">
        <w:rPr>
          <w:rFonts w:cs="Arial"/>
          <w:b/>
          <w:sz w:val="22"/>
          <w:szCs w:val="22"/>
        </w:rPr>
        <w:t>201</w:t>
      </w:r>
      <w:r w:rsidR="004949B2">
        <w:rPr>
          <w:rFonts w:cs="Arial"/>
          <w:b/>
          <w:sz w:val="22"/>
          <w:szCs w:val="22"/>
        </w:rPr>
        <w:t>7</w:t>
      </w:r>
      <w:r w:rsidR="00C21C08" w:rsidRPr="004033BE">
        <w:rPr>
          <w:rFonts w:cs="Arial"/>
          <w:b/>
          <w:sz w:val="22"/>
          <w:szCs w:val="22"/>
        </w:rPr>
        <w:t>/1</w:t>
      </w:r>
      <w:r w:rsidR="004949B2">
        <w:rPr>
          <w:rFonts w:cs="Arial"/>
          <w:b/>
          <w:sz w:val="22"/>
          <w:szCs w:val="22"/>
        </w:rPr>
        <w:t>8</w:t>
      </w:r>
      <w:r w:rsidR="00B27F76" w:rsidRPr="004033BE">
        <w:rPr>
          <w:rFonts w:cs="Arial"/>
          <w:b/>
          <w:sz w:val="22"/>
          <w:szCs w:val="22"/>
        </w:rPr>
        <w:t xml:space="preserve"> MID YEAR REV</w:t>
      </w:r>
      <w:r w:rsidR="00BC02CA" w:rsidRPr="004033BE">
        <w:rPr>
          <w:rFonts w:cs="Arial"/>
          <w:b/>
          <w:sz w:val="22"/>
          <w:szCs w:val="22"/>
        </w:rPr>
        <w:t>I</w:t>
      </w:r>
      <w:r w:rsidR="00B27F76" w:rsidRPr="004033BE">
        <w:rPr>
          <w:rFonts w:cs="Arial"/>
          <w:b/>
          <w:sz w:val="22"/>
          <w:szCs w:val="22"/>
        </w:rPr>
        <w:t>EW</w:t>
      </w:r>
      <w:r w:rsidRPr="004033BE">
        <w:rPr>
          <w:rFonts w:cs="Arial"/>
          <w:b/>
          <w:sz w:val="22"/>
          <w:szCs w:val="22"/>
        </w:rPr>
        <w:fldChar w:fldCharType="begin"/>
      </w:r>
      <w:r w:rsidRPr="004033BE">
        <w:rPr>
          <w:rFonts w:cs="Arial"/>
          <w:b/>
          <w:sz w:val="22"/>
          <w:szCs w:val="22"/>
        </w:rPr>
        <w:instrText xml:space="preserve">  </w:instrText>
      </w:r>
      <w:r w:rsidRPr="004033BE">
        <w:rPr>
          <w:rFonts w:cs="Arial"/>
          <w:b/>
          <w:sz w:val="22"/>
          <w:szCs w:val="22"/>
        </w:rPr>
        <w:fldChar w:fldCharType="end"/>
      </w:r>
    </w:p>
    <w:p w:rsidR="00CD4433" w:rsidRPr="00212BC3" w:rsidRDefault="00806B6C" w:rsidP="00851E27">
      <w:pPr>
        <w:keepNext/>
        <w:ind w:left="851" w:hanging="851"/>
        <w:rPr>
          <w:rFonts w:cs="Arial"/>
          <w:szCs w:val="24"/>
        </w:rPr>
      </w:pPr>
      <w:r w:rsidRPr="00212BC3">
        <w:rPr>
          <w:rFonts w:cs="Arial"/>
          <w:b/>
          <w:szCs w:val="24"/>
        </w:rPr>
        <w:tab/>
      </w:r>
      <w:r w:rsidRPr="00212BC3">
        <w:rPr>
          <w:rFonts w:cs="Arial"/>
          <w:szCs w:val="24"/>
        </w:rPr>
        <w:fldChar w:fldCharType="begin"/>
      </w:r>
      <w:r w:rsidRPr="00212BC3">
        <w:rPr>
          <w:rFonts w:cs="Arial"/>
          <w:szCs w:val="24"/>
        </w:rPr>
        <w:instrText xml:space="preserve">  </w:instrText>
      </w:r>
      <w:r w:rsidRPr="00212BC3">
        <w:rPr>
          <w:rFonts w:cs="Arial"/>
          <w:szCs w:val="24"/>
        </w:rPr>
        <w:fldChar w:fldCharType="end"/>
      </w:r>
      <w:r w:rsidRPr="00212BC3">
        <w:rPr>
          <w:rFonts w:cs="Arial"/>
          <w:szCs w:val="24"/>
        </w:rPr>
        <w:t>(</w:t>
      </w:r>
      <w:proofErr w:type="spellStart"/>
      <w:r w:rsidRPr="00212BC3">
        <w:rPr>
          <w:rFonts w:cs="Arial"/>
          <w:szCs w:val="24"/>
        </w:rPr>
        <w:t>DoF</w:t>
      </w:r>
      <w:proofErr w:type="spellEnd"/>
      <w:r w:rsidRPr="00212BC3">
        <w:rPr>
          <w:rFonts w:cs="Arial"/>
          <w:szCs w:val="24"/>
        </w:rPr>
        <w:t>)</w:t>
      </w:r>
    </w:p>
    <w:p w:rsidR="00CD4433" w:rsidRPr="00212BC3" w:rsidRDefault="00CD4433" w:rsidP="00851E27">
      <w:pPr>
        <w:keepNext/>
        <w:ind w:left="851" w:hanging="851"/>
        <w:rPr>
          <w:rFonts w:cs="Arial"/>
          <w:szCs w:val="24"/>
        </w:rPr>
      </w:pPr>
    </w:p>
    <w:p w:rsidR="00CD4433" w:rsidRPr="002C494A" w:rsidRDefault="00CD4433" w:rsidP="009B331C">
      <w:pPr>
        <w:keepNext/>
        <w:ind w:left="851" w:hanging="851"/>
        <w:jc w:val="both"/>
        <w:rPr>
          <w:rFonts w:cs="Arial"/>
          <w:sz w:val="22"/>
          <w:szCs w:val="22"/>
        </w:rPr>
      </w:pPr>
      <w:r w:rsidRPr="00212BC3">
        <w:rPr>
          <w:rFonts w:cs="Arial"/>
          <w:szCs w:val="24"/>
        </w:rPr>
        <w:t>1.</w:t>
      </w:r>
      <w:r w:rsidRPr="00212BC3">
        <w:rPr>
          <w:rFonts w:cs="Arial"/>
          <w:szCs w:val="24"/>
        </w:rPr>
        <w:tab/>
      </w:r>
      <w:r w:rsidRPr="002C494A">
        <w:rPr>
          <w:rFonts w:cs="Arial"/>
          <w:b/>
          <w:sz w:val="22"/>
          <w:szCs w:val="22"/>
        </w:rPr>
        <w:t>Summary</w:t>
      </w:r>
    </w:p>
    <w:p w:rsidR="00CD4433" w:rsidRPr="002C494A" w:rsidRDefault="00CD4433" w:rsidP="009B331C">
      <w:pPr>
        <w:keepNext/>
        <w:ind w:left="851" w:hanging="851"/>
        <w:jc w:val="both"/>
        <w:rPr>
          <w:rFonts w:cs="Arial"/>
          <w:sz w:val="22"/>
          <w:szCs w:val="22"/>
        </w:rPr>
      </w:pPr>
    </w:p>
    <w:p w:rsidR="00CD4433" w:rsidRPr="002C494A" w:rsidRDefault="00CD4433" w:rsidP="009B331C">
      <w:pPr>
        <w:ind w:left="851" w:hanging="851"/>
        <w:jc w:val="both"/>
        <w:rPr>
          <w:rFonts w:cs="Arial"/>
          <w:sz w:val="22"/>
          <w:szCs w:val="22"/>
        </w:rPr>
      </w:pPr>
      <w:r w:rsidRPr="002C494A">
        <w:rPr>
          <w:rFonts w:cs="Arial"/>
          <w:sz w:val="22"/>
          <w:szCs w:val="22"/>
        </w:rPr>
        <w:t>1.1</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sz w:val="22"/>
          <w:szCs w:val="22"/>
        </w:rPr>
        <w:t>This repor</w:t>
      </w:r>
      <w:r w:rsidR="0070785E" w:rsidRPr="002C494A">
        <w:rPr>
          <w:rFonts w:cs="Arial"/>
          <w:sz w:val="22"/>
          <w:szCs w:val="22"/>
        </w:rPr>
        <w:t xml:space="preserve">t gives details of the </w:t>
      </w:r>
      <w:r w:rsidR="00C21C08" w:rsidRPr="002C494A">
        <w:rPr>
          <w:rFonts w:cs="Arial"/>
          <w:sz w:val="22"/>
          <w:szCs w:val="22"/>
        </w:rPr>
        <w:t>201</w:t>
      </w:r>
      <w:r w:rsidR="004949B2">
        <w:rPr>
          <w:rFonts w:cs="Arial"/>
          <w:sz w:val="22"/>
          <w:szCs w:val="22"/>
        </w:rPr>
        <w:t>7</w:t>
      </w:r>
      <w:r w:rsidR="00C21C08" w:rsidRPr="002C494A">
        <w:rPr>
          <w:rFonts w:cs="Arial"/>
          <w:sz w:val="22"/>
          <w:szCs w:val="22"/>
        </w:rPr>
        <w:t>/1</w:t>
      </w:r>
      <w:r w:rsidR="004949B2">
        <w:rPr>
          <w:rFonts w:cs="Arial"/>
          <w:sz w:val="22"/>
          <w:szCs w:val="22"/>
        </w:rPr>
        <w:t>8</w:t>
      </w:r>
      <w:r w:rsidR="0070785E" w:rsidRPr="002C494A">
        <w:rPr>
          <w:rFonts w:cs="Arial"/>
          <w:sz w:val="22"/>
          <w:szCs w:val="22"/>
        </w:rPr>
        <w:t xml:space="preserve"> Mid</w:t>
      </w:r>
      <w:r w:rsidR="009B331C">
        <w:rPr>
          <w:rFonts w:cs="Arial"/>
          <w:sz w:val="22"/>
          <w:szCs w:val="22"/>
        </w:rPr>
        <w:t>-</w:t>
      </w:r>
      <w:r w:rsidR="0070785E" w:rsidRPr="002C494A">
        <w:rPr>
          <w:rFonts w:cs="Arial"/>
          <w:sz w:val="22"/>
          <w:szCs w:val="22"/>
        </w:rPr>
        <w:t>Year R</w:t>
      </w:r>
      <w:r w:rsidRPr="002C494A">
        <w:rPr>
          <w:rFonts w:cs="Arial"/>
          <w:sz w:val="22"/>
          <w:szCs w:val="22"/>
        </w:rPr>
        <w:t>eview of the Treasury</w:t>
      </w:r>
      <w:r w:rsidR="004949B2">
        <w:rPr>
          <w:rFonts w:cs="Arial"/>
          <w:sz w:val="22"/>
          <w:szCs w:val="22"/>
        </w:rPr>
        <w:t xml:space="preserve"> </w:t>
      </w:r>
      <w:r w:rsidRPr="002C494A">
        <w:rPr>
          <w:rFonts w:cs="Arial"/>
          <w:sz w:val="22"/>
          <w:szCs w:val="22"/>
        </w:rPr>
        <w:t>Management function.</w:t>
      </w:r>
    </w:p>
    <w:p w:rsidR="00CD4433" w:rsidRPr="002C494A" w:rsidRDefault="00CD4433" w:rsidP="009B331C">
      <w:pPr>
        <w:ind w:left="851" w:hanging="851"/>
        <w:jc w:val="both"/>
        <w:rPr>
          <w:rFonts w:cs="Arial"/>
          <w:sz w:val="22"/>
          <w:szCs w:val="22"/>
        </w:rPr>
      </w:pPr>
    </w:p>
    <w:p w:rsidR="001920A1" w:rsidRPr="002C494A" w:rsidRDefault="00CD4433" w:rsidP="009B331C">
      <w:pPr>
        <w:keepNext/>
        <w:ind w:left="851" w:hanging="851"/>
        <w:jc w:val="both"/>
        <w:rPr>
          <w:rFonts w:cs="Arial"/>
          <w:b/>
          <w:sz w:val="22"/>
          <w:szCs w:val="22"/>
        </w:rPr>
      </w:pPr>
      <w:r w:rsidRPr="002C494A">
        <w:rPr>
          <w:rFonts w:cs="Arial"/>
          <w:sz w:val="22"/>
          <w:szCs w:val="22"/>
        </w:rPr>
        <w:t>2.</w:t>
      </w:r>
      <w:r w:rsidRPr="002C494A">
        <w:rPr>
          <w:rFonts w:cs="Arial"/>
          <w:sz w:val="22"/>
          <w:szCs w:val="22"/>
        </w:rPr>
        <w:tab/>
      </w:r>
      <w:r w:rsidRPr="002C494A">
        <w:rPr>
          <w:rFonts w:cs="Arial"/>
          <w:b/>
          <w:sz w:val="22"/>
          <w:szCs w:val="22"/>
        </w:rPr>
        <w:t xml:space="preserve">Details </w:t>
      </w:r>
    </w:p>
    <w:p w:rsidR="001920A1" w:rsidRPr="002C494A" w:rsidRDefault="001920A1" w:rsidP="009B331C">
      <w:pPr>
        <w:keepNext/>
        <w:ind w:left="851" w:hanging="851"/>
        <w:jc w:val="both"/>
        <w:rPr>
          <w:rFonts w:cs="Arial"/>
          <w:sz w:val="22"/>
          <w:szCs w:val="22"/>
        </w:rPr>
      </w:pPr>
    </w:p>
    <w:p w:rsidR="001920A1" w:rsidRPr="002C494A" w:rsidRDefault="001920A1" w:rsidP="009B331C">
      <w:pPr>
        <w:tabs>
          <w:tab w:val="num" w:pos="709"/>
        </w:tabs>
        <w:ind w:left="851" w:hanging="851"/>
        <w:jc w:val="both"/>
        <w:rPr>
          <w:rFonts w:cs="Arial"/>
          <w:noProof/>
          <w:sz w:val="22"/>
          <w:szCs w:val="22"/>
        </w:rPr>
      </w:pPr>
      <w:r w:rsidRPr="002C494A">
        <w:rPr>
          <w:rFonts w:cs="Arial"/>
          <w:sz w:val="22"/>
          <w:szCs w:val="22"/>
        </w:rPr>
        <w:t>2.1</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t>The Chartered Institute of Public Finance and Accountancy (CIPFA) defines treasury management as: “</w:t>
      </w:r>
      <w:r w:rsidR="00851E27" w:rsidRPr="002C494A">
        <w:rPr>
          <w:rFonts w:cs="Arial"/>
          <w:noProof/>
          <w:sz w:val="22"/>
          <w:szCs w:val="22"/>
        </w:rPr>
        <w:t>t</w:t>
      </w:r>
      <w:r w:rsidRPr="002C494A">
        <w:rPr>
          <w:rFonts w:cs="Arial"/>
          <w:noProof/>
          <w:sz w:val="22"/>
          <w:szCs w:val="22"/>
        </w:rPr>
        <w:t>he management of the local authority’s investments and cash flows, its banking, money market and capital market transactions; the effective control of the risks associated with those activities; and the pursuit of optimum performance consistent with those risks”.</w:t>
      </w:r>
    </w:p>
    <w:p w:rsidR="001920A1" w:rsidRPr="002C494A" w:rsidRDefault="001920A1" w:rsidP="009B331C">
      <w:pPr>
        <w:tabs>
          <w:tab w:val="num" w:pos="709"/>
        </w:tabs>
        <w:ind w:left="851" w:hanging="851"/>
        <w:jc w:val="both"/>
        <w:rPr>
          <w:rFonts w:cs="Arial"/>
          <w:noProof/>
          <w:sz w:val="22"/>
          <w:szCs w:val="22"/>
        </w:rPr>
      </w:pPr>
    </w:p>
    <w:p w:rsidR="001920A1" w:rsidRPr="002C494A" w:rsidRDefault="001920A1" w:rsidP="009B331C">
      <w:pPr>
        <w:tabs>
          <w:tab w:val="num" w:pos="709"/>
        </w:tabs>
        <w:ind w:left="851" w:hanging="851"/>
        <w:jc w:val="both"/>
        <w:rPr>
          <w:rFonts w:cs="Arial"/>
          <w:sz w:val="22"/>
          <w:szCs w:val="22"/>
        </w:rPr>
      </w:pPr>
      <w:r w:rsidRPr="002C494A">
        <w:rPr>
          <w:rFonts w:cs="Arial"/>
          <w:sz w:val="22"/>
          <w:szCs w:val="22"/>
        </w:rPr>
        <w:t>2.2</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Pr="002C494A">
        <w:rPr>
          <w:rFonts w:cs="Arial"/>
          <w:sz w:val="22"/>
          <w:szCs w:val="22"/>
        </w:rPr>
        <w:t>T</w:t>
      </w:r>
      <w:r w:rsidR="004B46C5" w:rsidRPr="002C494A">
        <w:rPr>
          <w:rFonts w:cs="Arial"/>
          <w:sz w:val="22"/>
          <w:szCs w:val="22"/>
        </w:rPr>
        <w:t xml:space="preserve">he </w:t>
      </w:r>
      <w:r w:rsidR="00C4295C" w:rsidRPr="002C494A">
        <w:rPr>
          <w:rFonts w:cs="Arial"/>
          <w:sz w:val="22"/>
          <w:szCs w:val="22"/>
        </w:rPr>
        <w:t xml:space="preserve">Council’s </w:t>
      </w:r>
      <w:r w:rsidR="00C21C08" w:rsidRPr="002C494A">
        <w:rPr>
          <w:rFonts w:cs="Arial"/>
          <w:sz w:val="22"/>
          <w:szCs w:val="22"/>
        </w:rPr>
        <w:t>201</w:t>
      </w:r>
      <w:r w:rsidR="004949B2">
        <w:rPr>
          <w:rFonts w:cs="Arial"/>
          <w:sz w:val="22"/>
          <w:szCs w:val="22"/>
        </w:rPr>
        <w:t>7</w:t>
      </w:r>
      <w:r w:rsidR="00C21C08" w:rsidRPr="002C494A">
        <w:rPr>
          <w:rFonts w:cs="Arial"/>
          <w:sz w:val="22"/>
          <w:szCs w:val="22"/>
        </w:rPr>
        <w:t>/1</w:t>
      </w:r>
      <w:r w:rsidR="004949B2">
        <w:rPr>
          <w:rFonts w:cs="Arial"/>
          <w:sz w:val="22"/>
          <w:szCs w:val="22"/>
        </w:rPr>
        <w:t>8</w:t>
      </w:r>
      <w:r w:rsidR="00C4295C" w:rsidRPr="002C494A">
        <w:rPr>
          <w:rFonts w:cs="Arial"/>
          <w:sz w:val="22"/>
          <w:szCs w:val="22"/>
        </w:rPr>
        <w:t xml:space="preserve"> T</w:t>
      </w:r>
      <w:r w:rsidR="00DC3F55" w:rsidRPr="002C494A">
        <w:rPr>
          <w:rFonts w:cs="Arial"/>
          <w:sz w:val="22"/>
          <w:szCs w:val="22"/>
        </w:rPr>
        <w:t xml:space="preserve">reasury </w:t>
      </w:r>
      <w:r w:rsidR="00C4295C" w:rsidRPr="002C494A">
        <w:rPr>
          <w:rFonts w:cs="Arial"/>
          <w:sz w:val="22"/>
          <w:szCs w:val="22"/>
        </w:rPr>
        <w:t>M</w:t>
      </w:r>
      <w:r w:rsidR="00136A07" w:rsidRPr="002C494A">
        <w:rPr>
          <w:rFonts w:cs="Arial"/>
          <w:sz w:val="22"/>
          <w:szCs w:val="22"/>
        </w:rPr>
        <w:t xml:space="preserve">anagement </w:t>
      </w:r>
      <w:r w:rsidR="00C4295C" w:rsidRPr="002C494A">
        <w:rPr>
          <w:rFonts w:cs="Arial"/>
          <w:sz w:val="22"/>
          <w:szCs w:val="22"/>
        </w:rPr>
        <w:t xml:space="preserve">Strategy (TMS) as approved by Council on </w:t>
      </w:r>
      <w:r w:rsidR="005449E9" w:rsidRPr="005449E9">
        <w:rPr>
          <w:rFonts w:cs="Arial"/>
          <w:sz w:val="22"/>
          <w:szCs w:val="22"/>
        </w:rPr>
        <w:t>21</w:t>
      </w:r>
      <w:r w:rsidR="005E2247" w:rsidRPr="002C494A">
        <w:rPr>
          <w:rFonts w:cs="Arial"/>
          <w:sz w:val="22"/>
          <w:szCs w:val="22"/>
        </w:rPr>
        <w:t xml:space="preserve"> February 201</w:t>
      </w:r>
      <w:r w:rsidR="004949B2">
        <w:rPr>
          <w:rFonts w:cs="Arial"/>
          <w:sz w:val="22"/>
          <w:szCs w:val="22"/>
        </w:rPr>
        <w:t>7</w:t>
      </w:r>
      <w:r w:rsidR="005E2247" w:rsidRPr="002C494A">
        <w:rPr>
          <w:rFonts w:cs="Arial"/>
          <w:sz w:val="22"/>
          <w:szCs w:val="22"/>
        </w:rPr>
        <w:t xml:space="preserve"> </w:t>
      </w:r>
      <w:r w:rsidR="00C4295C" w:rsidRPr="002C494A">
        <w:rPr>
          <w:rFonts w:cs="Arial"/>
          <w:sz w:val="22"/>
          <w:szCs w:val="22"/>
        </w:rPr>
        <w:t xml:space="preserve">(Minute No. </w:t>
      </w:r>
      <w:r w:rsidR="005449E9" w:rsidRPr="005449E9">
        <w:rPr>
          <w:rFonts w:cs="Arial"/>
          <w:sz w:val="22"/>
          <w:szCs w:val="22"/>
        </w:rPr>
        <w:t>CL74/16</w:t>
      </w:r>
      <w:r w:rsidR="00C4295C" w:rsidRPr="002C494A">
        <w:rPr>
          <w:rFonts w:cs="Arial"/>
          <w:sz w:val="22"/>
          <w:szCs w:val="22"/>
        </w:rPr>
        <w:t>) is designed to</w:t>
      </w:r>
      <w:r w:rsidR="00136A07" w:rsidRPr="002C494A">
        <w:rPr>
          <w:rFonts w:cs="Arial"/>
          <w:sz w:val="22"/>
          <w:szCs w:val="22"/>
        </w:rPr>
        <w:t xml:space="preserve"> </w:t>
      </w:r>
      <w:r w:rsidR="00033CB0" w:rsidRPr="002C494A">
        <w:rPr>
          <w:rFonts w:cs="Arial"/>
          <w:sz w:val="22"/>
          <w:szCs w:val="22"/>
        </w:rPr>
        <w:t xml:space="preserve">ensure </w:t>
      </w:r>
      <w:r w:rsidR="00C4295C" w:rsidRPr="002C494A">
        <w:rPr>
          <w:rFonts w:cs="Arial"/>
          <w:sz w:val="22"/>
          <w:szCs w:val="22"/>
        </w:rPr>
        <w:t xml:space="preserve">that </w:t>
      </w:r>
      <w:r w:rsidR="00033CB0" w:rsidRPr="002C494A">
        <w:rPr>
          <w:rFonts w:cs="Arial"/>
          <w:sz w:val="22"/>
          <w:szCs w:val="22"/>
        </w:rPr>
        <w:t>cash</w:t>
      </w:r>
      <w:r w:rsidR="00DC3F55" w:rsidRPr="002C494A">
        <w:rPr>
          <w:rFonts w:cs="Arial"/>
          <w:sz w:val="22"/>
          <w:szCs w:val="22"/>
        </w:rPr>
        <w:t xml:space="preserve"> flow</w:t>
      </w:r>
      <w:r w:rsidR="00C4295C" w:rsidRPr="002C494A">
        <w:rPr>
          <w:rFonts w:cs="Arial"/>
          <w:sz w:val="22"/>
          <w:szCs w:val="22"/>
        </w:rPr>
        <w:t>s are</w:t>
      </w:r>
      <w:r w:rsidR="00DC3F55" w:rsidRPr="002C494A">
        <w:rPr>
          <w:rFonts w:cs="Arial"/>
          <w:sz w:val="22"/>
          <w:szCs w:val="22"/>
        </w:rPr>
        <w:t xml:space="preserve"> adequately planned, with surplus monies being invested in low risk counterparties, providing adequate liquidity before considering optimising investment return.</w:t>
      </w:r>
      <w:r w:rsidR="00123CE5" w:rsidRPr="002C494A">
        <w:rPr>
          <w:rFonts w:cs="Arial"/>
          <w:sz w:val="22"/>
          <w:szCs w:val="22"/>
        </w:rPr>
        <w:t xml:space="preserve"> </w:t>
      </w:r>
    </w:p>
    <w:p w:rsidR="00C4295C" w:rsidRPr="002C494A" w:rsidRDefault="00C4295C" w:rsidP="009B331C">
      <w:pPr>
        <w:tabs>
          <w:tab w:val="num" w:pos="709"/>
        </w:tabs>
        <w:ind w:left="851" w:hanging="851"/>
        <w:jc w:val="both"/>
        <w:rPr>
          <w:rFonts w:cs="Arial"/>
          <w:sz w:val="22"/>
          <w:szCs w:val="22"/>
        </w:rPr>
      </w:pPr>
    </w:p>
    <w:p w:rsidR="00DC3F55" w:rsidRPr="002C494A" w:rsidRDefault="001920A1" w:rsidP="009B331C">
      <w:pPr>
        <w:tabs>
          <w:tab w:val="num" w:pos="709"/>
        </w:tabs>
        <w:ind w:left="851" w:hanging="851"/>
        <w:jc w:val="both"/>
        <w:rPr>
          <w:rFonts w:cs="Arial"/>
          <w:noProof/>
          <w:sz w:val="22"/>
          <w:szCs w:val="22"/>
        </w:rPr>
      </w:pPr>
      <w:r w:rsidRPr="002C494A">
        <w:rPr>
          <w:rFonts w:cs="Arial"/>
          <w:sz w:val="22"/>
          <w:szCs w:val="22"/>
        </w:rPr>
        <w:t>2.3</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4B46C5" w:rsidRPr="002C494A">
        <w:rPr>
          <w:rFonts w:cs="Arial"/>
          <w:sz w:val="22"/>
          <w:szCs w:val="22"/>
        </w:rPr>
        <w:t>This report</w:t>
      </w:r>
      <w:r w:rsidR="00CE3503" w:rsidRPr="002C494A">
        <w:rPr>
          <w:rFonts w:cs="Arial"/>
          <w:sz w:val="22"/>
          <w:szCs w:val="22"/>
        </w:rPr>
        <w:t xml:space="preserve"> updates </w:t>
      </w:r>
      <w:r w:rsidR="004949B2">
        <w:rPr>
          <w:rFonts w:cs="Arial"/>
          <w:sz w:val="22"/>
          <w:szCs w:val="22"/>
        </w:rPr>
        <w:t>the Committee</w:t>
      </w:r>
      <w:r w:rsidR="00CE3503" w:rsidRPr="002C494A">
        <w:rPr>
          <w:rFonts w:cs="Arial"/>
          <w:sz w:val="22"/>
          <w:szCs w:val="22"/>
        </w:rPr>
        <w:t xml:space="preserve"> with the progress</w:t>
      </w:r>
      <w:r w:rsidR="00C4295C" w:rsidRPr="002C494A">
        <w:rPr>
          <w:rFonts w:cs="Arial"/>
          <w:sz w:val="22"/>
          <w:szCs w:val="22"/>
        </w:rPr>
        <w:t xml:space="preserve"> on</w:t>
      </w:r>
      <w:r w:rsidR="00CE3503" w:rsidRPr="002C494A">
        <w:rPr>
          <w:rFonts w:cs="Arial"/>
          <w:sz w:val="22"/>
          <w:szCs w:val="22"/>
        </w:rPr>
        <w:t xml:space="preserve"> whether the Council is meeting the </w:t>
      </w:r>
      <w:r w:rsidR="00C4295C" w:rsidRPr="002C494A">
        <w:rPr>
          <w:rFonts w:cs="Arial"/>
          <w:sz w:val="22"/>
          <w:szCs w:val="22"/>
        </w:rPr>
        <w:t>TMS</w:t>
      </w:r>
      <w:r w:rsidR="00CE3503" w:rsidRPr="002C494A">
        <w:rPr>
          <w:rFonts w:cs="Arial"/>
          <w:sz w:val="22"/>
          <w:szCs w:val="22"/>
        </w:rPr>
        <w:t xml:space="preserve"> and </w:t>
      </w:r>
      <w:r w:rsidR="00C4295C" w:rsidRPr="002C494A">
        <w:rPr>
          <w:rFonts w:cs="Arial"/>
          <w:sz w:val="22"/>
          <w:szCs w:val="22"/>
        </w:rPr>
        <w:t xml:space="preserve">the </w:t>
      </w:r>
      <w:r w:rsidR="00CE3503" w:rsidRPr="002C494A">
        <w:rPr>
          <w:rFonts w:cs="Arial"/>
          <w:sz w:val="22"/>
          <w:szCs w:val="22"/>
        </w:rPr>
        <w:t>policies</w:t>
      </w:r>
      <w:r w:rsidR="00C4295C" w:rsidRPr="002C494A">
        <w:rPr>
          <w:rFonts w:cs="Arial"/>
          <w:sz w:val="22"/>
          <w:szCs w:val="22"/>
        </w:rPr>
        <w:t xml:space="preserve"> contained therein for the first </w:t>
      </w:r>
      <w:r w:rsidR="004949B2">
        <w:rPr>
          <w:rFonts w:cs="Arial"/>
          <w:sz w:val="22"/>
          <w:szCs w:val="22"/>
        </w:rPr>
        <w:t>six</w:t>
      </w:r>
      <w:r w:rsidR="00C4295C" w:rsidRPr="002C494A">
        <w:rPr>
          <w:rFonts w:cs="Arial"/>
          <w:sz w:val="22"/>
          <w:szCs w:val="22"/>
        </w:rPr>
        <w:t xml:space="preserve"> months of </w:t>
      </w:r>
      <w:r w:rsidR="00C21C08" w:rsidRPr="002C494A">
        <w:rPr>
          <w:rFonts w:cs="Arial"/>
          <w:sz w:val="22"/>
          <w:szCs w:val="22"/>
        </w:rPr>
        <w:t>201</w:t>
      </w:r>
      <w:r w:rsidR="004949B2">
        <w:rPr>
          <w:rFonts w:cs="Arial"/>
          <w:sz w:val="22"/>
          <w:szCs w:val="22"/>
        </w:rPr>
        <w:t>7</w:t>
      </w:r>
      <w:r w:rsidR="00C21C08" w:rsidRPr="002C494A">
        <w:rPr>
          <w:rFonts w:cs="Arial"/>
          <w:sz w:val="22"/>
          <w:szCs w:val="22"/>
        </w:rPr>
        <w:t>/1</w:t>
      </w:r>
      <w:r w:rsidR="004949B2">
        <w:rPr>
          <w:rFonts w:cs="Arial"/>
          <w:sz w:val="22"/>
          <w:szCs w:val="22"/>
        </w:rPr>
        <w:t>8</w:t>
      </w:r>
      <w:r w:rsidR="00C4295C" w:rsidRPr="002C494A">
        <w:rPr>
          <w:rFonts w:cs="Arial"/>
          <w:sz w:val="22"/>
          <w:szCs w:val="22"/>
        </w:rPr>
        <w:t>.</w:t>
      </w:r>
    </w:p>
    <w:p w:rsidR="00CE3503" w:rsidRPr="002C494A" w:rsidRDefault="00CE3503" w:rsidP="009B331C">
      <w:pPr>
        <w:tabs>
          <w:tab w:val="num" w:pos="540"/>
        </w:tabs>
        <w:ind w:left="851" w:hanging="851"/>
        <w:jc w:val="both"/>
        <w:rPr>
          <w:rFonts w:cs="Arial"/>
          <w:sz w:val="22"/>
          <w:szCs w:val="22"/>
        </w:rPr>
      </w:pPr>
    </w:p>
    <w:p w:rsidR="00851E27" w:rsidRPr="002C494A" w:rsidRDefault="000267D8" w:rsidP="009B331C">
      <w:pPr>
        <w:tabs>
          <w:tab w:val="num" w:pos="709"/>
        </w:tabs>
        <w:ind w:left="851" w:hanging="851"/>
        <w:jc w:val="both"/>
        <w:rPr>
          <w:rFonts w:cs="Arial"/>
          <w:sz w:val="22"/>
          <w:szCs w:val="22"/>
        </w:rPr>
      </w:pPr>
      <w:r w:rsidRPr="002C494A">
        <w:rPr>
          <w:rFonts w:cs="Arial"/>
          <w:sz w:val="22"/>
          <w:szCs w:val="22"/>
        </w:rPr>
        <w:t>2.4</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4949B2">
        <w:rPr>
          <w:rFonts w:cs="Arial"/>
          <w:noProof/>
          <w:sz w:val="22"/>
          <w:szCs w:val="22"/>
        </w:rPr>
        <w:t xml:space="preserve">The Council has appointed treasury advisors to assit with our </w:t>
      </w:r>
      <w:r w:rsidR="009B331C">
        <w:rPr>
          <w:rFonts w:cs="Arial"/>
          <w:noProof/>
          <w:sz w:val="22"/>
          <w:szCs w:val="22"/>
        </w:rPr>
        <w:t>T</w:t>
      </w:r>
      <w:r w:rsidR="004949B2">
        <w:rPr>
          <w:rFonts w:cs="Arial"/>
          <w:noProof/>
          <w:sz w:val="22"/>
          <w:szCs w:val="22"/>
        </w:rPr>
        <w:t xml:space="preserve">reasury </w:t>
      </w:r>
      <w:r w:rsidR="009B331C">
        <w:rPr>
          <w:rFonts w:cs="Arial"/>
          <w:noProof/>
          <w:sz w:val="22"/>
          <w:szCs w:val="22"/>
        </w:rPr>
        <w:t>M</w:t>
      </w:r>
      <w:r w:rsidR="004949B2">
        <w:rPr>
          <w:rFonts w:cs="Arial"/>
          <w:noProof/>
          <w:sz w:val="22"/>
          <w:szCs w:val="22"/>
        </w:rPr>
        <w:t xml:space="preserve">anageemnt .  These are Link Asset Services (formerly Capita Asset Services).  The advisors have provided the following  </w:t>
      </w:r>
      <w:r w:rsidR="00A61AC3" w:rsidRPr="002C494A">
        <w:rPr>
          <w:rFonts w:cs="Arial"/>
          <w:sz w:val="22"/>
          <w:szCs w:val="22"/>
        </w:rPr>
        <w:fldChar w:fldCharType="begin"/>
      </w:r>
      <w:r w:rsidR="00A61AC3" w:rsidRPr="002C494A">
        <w:rPr>
          <w:rFonts w:cs="Arial"/>
          <w:sz w:val="22"/>
          <w:szCs w:val="22"/>
        </w:rPr>
        <w:instrText xml:space="preserve">  </w:instrText>
      </w:r>
      <w:r w:rsidR="00A61AC3" w:rsidRPr="002C494A">
        <w:rPr>
          <w:rFonts w:cs="Arial"/>
          <w:sz w:val="22"/>
          <w:szCs w:val="22"/>
        </w:rPr>
        <w:fldChar w:fldCharType="end"/>
      </w:r>
      <w:r w:rsidR="004949B2">
        <w:rPr>
          <w:rFonts w:cs="Arial"/>
          <w:sz w:val="22"/>
          <w:szCs w:val="22"/>
        </w:rPr>
        <w:t>f</w:t>
      </w:r>
      <w:r w:rsidR="00851E27" w:rsidRPr="002C494A">
        <w:rPr>
          <w:rFonts w:cs="Arial"/>
          <w:sz w:val="22"/>
          <w:szCs w:val="22"/>
        </w:rPr>
        <w:t>orecast:</w:t>
      </w:r>
    </w:p>
    <w:p w:rsidR="002C494A" w:rsidRDefault="002C494A" w:rsidP="00851E27">
      <w:pPr>
        <w:tabs>
          <w:tab w:val="num" w:pos="709"/>
        </w:tabs>
        <w:ind w:left="851" w:hanging="851"/>
        <w:rPr>
          <w:rFonts w:cs="Arial"/>
          <w:i/>
          <w:sz w:val="22"/>
          <w:szCs w:val="22"/>
        </w:rPr>
      </w:pPr>
    </w:p>
    <w:p w:rsidR="00F41F19" w:rsidRPr="002C494A" w:rsidRDefault="00851E27" w:rsidP="00851E27">
      <w:pPr>
        <w:tabs>
          <w:tab w:val="num" w:pos="709"/>
        </w:tabs>
        <w:ind w:left="851" w:hanging="851"/>
        <w:rPr>
          <w:rFonts w:cs="Arial"/>
          <w:b/>
          <w:sz w:val="22"/>
          <w:szCs w:val="22"/>
        </w:rPr>
      </w:pPr>
      <w:r w:rsidRPr="002C494A">
        <w:rPr>
          <w:rFonts w:cs="Arial"/>
          <w:i/>
          <w:sz w:val="22"/>
          <w:szCs w:val="22"/>
        </w:rPr>
        <w:tab/>
      </w:r>
      <w:r w:rsidRPr="002C494A">
        <w:rPr>
          <w:rFonts w:cs="Arial"/>
          <w:i/>
          <w:sz w:val="22"/>
          <w:szCs w:val="22"/>
        </w:rPr>
        <w:tab/>
      </w:r>
      <w:r w:rsidRPr="002C494A">
        <w:rPr>
          <w:rFonts w:cs="Arial"/>
          <w:i/>
          <w:sz w:val="22"/>
          <w:szCs w:val="22"/>
        </w:rPr>
        <w:tab/>
      </w:r>
      <w:r w:rsidRPr="002C494A">
        <w:rPr>
          <w:rFonts w:cs="Arial"/>
          <w:i/>
          <w:sz w:val="22"/>
          <w:szCs w:val="22"/>
        </w:rPr>
        <w:tab/>
      </w:r>
      <w:r w:rsidRPr="002C494A">
        <w:rPr>
          <w:rFonts w:cs="Arial"/>
          <w:i/>
          <w:sz w:val="22"/>
          <w:szCs w:val="22"/>
        </w:rPr>
        <w:tab/>
      </w:r>
      <w:r w:rsidRPr="002C494A">
        <w:rPr>
          <w:rFonts w:cs="Arial"/>
          <w:i/>
          <w:sz w:val="22"/>
          <w:szCs w:val="22"/>
        </w:rPr>
        <w:tab/>
      </w:r>
      <w:r w:rsidR="00DC3F55" w:rsidRPr="002C494A">
        <w:rPr>
          <w:rFonts w:cs="Arial"/>
          <w:i/>
          <w:sz w:val="22"/>
          <w:szCs w:val="22"/>
        </w:rPr>
        <w:t>Interest rate forecasts</w:t>
      </w:r>
      <w:r w:rsidR="00DC3F55" w:rsidRPr="002C494A">
        <w:rPr>
          <w:rFonts w:cs="Arial"/>
          <w:b/>
          <w:sz w:val="22"/>
          <w:szCs w:val="22"/>
        </w:rPr>
        <w:t xml:space="preserve"> </w:t>
      </w:r>
    </w:p>
    <w:p w:rsidR="00851E27" w:rsidRPr="002C494A" w:rsidRDefault="00851E27" w:rsidP="00851E27">
      <w:pPr>
        <w:tabs>
          <w:tab w:val="num" w:pos="709"/>
        </w:tabs>
        <w:ind w:left="851" w:hanging="851"/>
        <w:rPr>
          <w:rFonts w:cs="Arial"/>
          <w:b/>
          <w:sz w:val="22"/>
          <w:szCs w:val="22"/>
        </w:rPr>
      </w:pPr>
    </w:p>
    <w:tbl>
      <w:tblPr>
        <w:tblpPr w:leftFromText="180" w:rightFromText="180" w:vertAnchor="text" w:horzAnchor="page" w:tblpX="4696"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94"/>
      </w:tblGrid>
      <w:tr w:rsidR="003F631D" w:rsidRPr="002C494A" w:rsidTr="00851E27">
        <w:trPr>
          <w:trHeight w:val="521"/>
        </w:trPr>
        <w:tc>
          <w:tcPr>
            <w:tcW w:w="1668" w:type="dxa"/>
            <w:shd w:val="clear" w:color="auto" w:fill="B3B3B3"/>
          </w:tcPr>
          <w:p w:rsidR="003F631D" w:rsidRPr="002C494A" w:rsidRDefault="003F631D" w:rsidP="00851E27">
            <w:pPr>
              <w:ind w:left="851" w:hanging="851"/>
              <w:rPr>
                <w:rFonts w:cs="Arial"/>
                <w:b/>
                <w:sz w:val="22"/>
                <w:szCs w:val="22"/>
              </w:rPr>
            </w:pPr>
            <w:r w:rsidRPr="002C494A">
              <w:rPr>
                <w:rFonts w:cs="Arial"/>
                <w:b/>
                <w:sz w:val="22"/>
                <w:szCs w:val="22"/>
              </w:rPr>
              <w:t>Month &amp; Year</w:t>
            </w:r>
          </w:p>
        </w:tc>
        <w:tc>
          <w:tcPr>
            <w:tcW w:w="1894" w:type="dxa"/>
            <w:shd w:val="clear" w:color="auto" w:fill="B3B3B3"/>
          </w:tcPr>
          <w:p w:rsidR="003F631D" w:rsidRPr="002C494A" w:rsidRDefault="003F631D" w:rsidP="00851E27">
            <w:pPr>
              <w:ind w:left="851" w:hanging="851"/>
              <w:jc w:val="center"/>
              <w:rPr>
                <w:rFonts w:cs="Arial"/>
                <w:b/>
                <w:sz w:val="22"/>
                <w:szCs w:val="22"/>
              </w:rPr>
            </w:pPr>
            <w:r w:rsidRPr="002C494A">
              <w:rPr>
                <w:rFonts w:cs="Arial"/>
                <w:b/>
                <w:sz w:val="22"/>
                <w:szCs w:val="22"/>
              </w:rPr>
              <w:t>Bank</w:t>
            </w:r>
          </w:p>
          <w:p w:rsidR="003F631D" w:rsidRPr="002C494A" w:rsidRDefault="003F631D" w:rsidP="00851E27">
            <w:pPr>
              <w:ind w:left="851" w:hanging="851"/>
              <w:jc w:val="center"/>
              <w:rPr>
                <w:rFonts w:cs="Arial"/>
                <w:b/>
                <w:sz w:val="22"/>
                <w:szCs w:val="22"/>
              </w:rPr>
            </w:pPr>
            <w:r w:rsidRPr="002C494A">
              <w:rPr>
                <w:rFonts w:cs="Arial"/>
                <w:b/>
                <w:sz w:val="22"/>
                <w:szCs w:val="22"/>
              </w:rPr>
              <w:t>Rate %</w:t>
            </w:r>
          </w:p>
        </w:tc>
      </w:tr>
      <w:tr w:rsidR="003F631D" w:rsidRPr="002C494A" w:rsidTr="00851E27">
        <w:trPr>
          <w:trHeight w:val="254"/>
        </w:trPr>
        <w:tc>
          <w:tcPr>
            <w:tcW w:w="1668" w:type="dxa"/>
          </w:tcPr>
          <w:p w:rsidR="003F631D" w:rsidRPr="002C494A" w:rsidRDefault="003F631D" w:rsidP="00851E27">
            <w:pPr>
              <w:ind w:left="851" w:hanging="851"/>
              <w:rPr>
                <w:rFonts w:cs="Arial"/>
                <w:sz w:val="22"/>
                <w:szCs w:val="22"/>
              </w:rPr>
            </w:pPr>
            <w:r w:rsidRPr="002C494A">
              <w:rPr>
                <w:rFonts w:cs="Arial"/>
                <w:sz w:val="22"/>
                <w:szCs w:val="22"/>
              </w:rPr>
              <w:t>Dec 201</w:t>
            </w:r>
            <w:r w:rsidR="00C21C08" w:rsidRPr="002C494A">
              <w:rPr>
                <w:rFonts w:cs="Arial"/>
                <w:sz w:val="22"/>
                <w:szCs w:val="22"/>
              </w:rPr>
              <w:t>7</w:t>
            </w:r>
          </w:p>
        </w:tc>
        <w:tc>
          <w:tcPr>
            <w:tcW w:w="1894" w:type="dxa"/>
          </w:tcPr>
          <w:p w:rsidR="003F631D" w:rsidRPr="00FB10B7" w:rsidRDefault="00C21C08" w:rsidP="004949B2">
            <w:pPr>
              <w:ind w:left="851" w:hanging="851"/>
              <w:jc w:val="center"/>
              <w:rPr>
                <w:rFonts w:cs="Arial"/>
                <w:sz w:val="22"/>
                <w:szCs w:val="22"/>
              </w:rPr>
            </w:pPr>
            <w:r w:rsidRPr="00FB10B7">
              <w:rPr>
                <w:rFonts w:cs="Arial"/>
                <w:sz w:val="22"/>
                <w:szCs w:val="22"/>
              </w:rPr>
              <w:t>0.</w:t>
            </w:r>
            <w:r w:rsidR="004949B2" w:rsidRPr="00FB10B7">
              <w:rPr>
                <w:rFonts w:cs="Arial"/>
                <w:sz w:val="22"/>
                <w:szCs w:val="22"/>
              </w:rPr>
              <w:t>5</w:t>
            </w:r>
            <w:r w:rsidRPr="00FB10B7">
              <w:rPr>
                <w:rFonts w:cs="Arial"/>
                <w:sz w:val="22"/>
                <w:szCs w:val="22"/>
              </w:rPr>
              <w:t>0</w:t>
            </w:r>
          </w:p>
        </w:tc>
      </w:tr>
      <w:tr w:rsidR="003F631D" w:rsidRPr="002C494A" w:rsidTr="00851E27">
        <w:trPr>
          <w:trHeight w:val="254"/>
        </w:trPr>
        <w:tc>
          <w:tcPr>
            <w:tcW w:w="1668" w:type="dxa"/>
          </w:tcPr>
          <w:p w:rsidR="003F631D" w:rsidRPr="002C494A" w:rsidRDefault="003F631D" w:rsidP="00851E27">
            <w:pPr>
              <w:ind w:left="851" w:hanging="851"/>
              <w:rPr>
                <w:rFonts w:cs="Arial"/>
                <w:sz w:val="22"/>
                <w:szCs w:val="22"/>
              </w:rPr>
            </w:pPr>
            <w:r w:rsidRPr="002C494A">
              <w:rPr>
                <w:rFonts w:cs="Arial"/>
                <w:sz w:val="22"/>
                <w:szCs w:val="22"/>
              </w:rPr>
              <w:t>Mar 201</w:t>
            </w:r>
            <w:r w:rsidR="00C21C08" w:rsidRPr="002C494A">
              <w:rPr>
                <w:rFonts w:cs="Arial"/>
                <w:sz w:val="22"/>
                <w:szCs w:val="22"/>
              </w:rPr>
              <w:t>8</w:t>
            </w:r>
          </w:p>
        </w:tc>
        <w:tc>
          <w:tcPr>
            <w:tcW w:w="1894" w:type="dxa"/>
          </w:tcPr>
          <w:p w:rsidR="003F631D" w:rsidRPr="00FB10B7" w:rsidRDefault="00FB10B7" w:rsidP="00851E27">
            <w:pPr>
              <w:ind w:left="851" w:hanging="851"/>
              <w:jc w:val="center"/>
              <w:rPr>
                <w:rFonts w:cs="Arial"/>
                <w:sz w:val="22"/>
                <w:szCs w:val="22"/>
              </w:rPr>
            </w:pPr>
            <w:r w:rsidRPr="00FB10B7">
              <w:rPr>
                <w:rFonts w:cs="Arial"/>
                <w:sz w:val="22"/>
                <w:szCs w:val="22"/>
              </w:rPr>
              <w:t>0.5</w:t>
            </w:r>
            <w:r w:rsidR="00C21C08" w:rsidRPr="00FB10B7">
              <w:rPr>
                <w:rFonts w:cs="Arial"/>
                <w:sz w:val="22"/>
                <w:szCs w:val="22"/>
              </w:rPr>
              <w:t>0</w:t>
            </w:r>
          </w:p>
        </w:tc>
      </w:tr>
      <w:tr w:rsidR="003F631D" w:rsidRPr="002C494A" w:rsidTr="00851E27">
        <w:trPr>
          <w:trHeight w:val="238"/>
        </w:trPr>
        <w:tc>
          <w:tcPr>
            <w:tcW w:w="1668" w:type="dxa"/>
          </w:tcPr>
          <w:p w:rsidR="003F631D" w:rsidRPr="002C494A" w:rsidRDefault="003F631D" w:rsidP="00851E27">
            <w:pPr>
              <w:ind w:left="851" w:hanging="851"/>
              <w:rPr>
                <w:rFonts w:cs="Arial"/>
                <w:sz w:val="22"/>
                <w:szCs w:val="22"/>
              </w:rPr>
            </w:pPr>
            <w:r w:rsidRPr="002C494A">
              <w:rPr>
                <w:rFonts w:cs="Arial"/>
                <w:sz w:val="22"/>
                <w:szCs w:val="22"/>
              </w:rPr>
              <w:t>Jun 201</w:t>
            </w:r>
            <w:r w:rsidR="00C21C08" w:rsidRPr="002C494A">
              <w:rPr>
                <w:rFonts w:cs="Arial"/>
                <w:sz w:val="22"/>
                <w:szCs w:val="22"/>
              </w:rPr>
              <w:t>8</w:t>
            </w:r>
          </w:p>
        </w:tc>
        <w:tc>
          <w:tcPr>
            <w:tcW w:w="1894" w:type="dxa"/>
          </w:tcPr>
          <w:p w:rsidR="003F631D" w:rsidRPr="00FB10B7" w:rsidRDefault="00FB10B7" w:rsidP="00851E27">
            <w:pPr>
              <w:ind w:left="851" w:hanging="851"/>
              <w:jc w:val="center"/>
              <w:rPr>
                <w:rFonts w:cs="Arial"/>
                <w:sz w:val="22"/>
                <w:szCs w:val="22"/>
              </w:rPr>
            </w:pPr>
            <w:r w:rsidRPr="00FB10B7">
              <w:rPr>
                <w:rFonts w:cs="Arial"/>
                <w:sz w:val="22"/>
                <w:szCs w:val="22"/>
              </w:rPr>
              <w:t>0.</w:t>
            </w:r>
            <w:r w:rsidR="00C21C08" w:rsidRPr="00FB10B7">
              <w:rPr>
                <w:rFonts w:cs="Arial"/>
                <w:sz w:val="22"/>
                <w:szCs w:val="22"/>
              </w:rPr>
              <w:t>5</w:t>
            </w:r>
            <w:r w:rsidRPr="00FB10B7">
              <w:rPr>
                <w:rFonts w:cs="Arial"/>
                <w:sz w:val="22"/>
                <w:szCs w:val="22"/>
              </w:rPr>
              <w:t>0</w:t>
            </w:r>
          </w:p>
        </w:tc>
      </w:tr>
      <w:tr w:rsidR="003F631D" w:rsidRPr="002C494A" w:rsidTr="00851E27">
        <w:trPr>
          <w:trHeight w:val="254"/>
        </w:trPr>
        <w:tc>
          <w:tcPr>
            <w:tcW w:w="1668" w:type="dxa"/>
          </w:tcPr>
          <w:p w:rsidR="003F631D" w:rsidRPr="002C494A" w:rsidRDefault="003F631D" w:rsidP="00851E27">
            <w:pPr>
              <w:ind w:left="851" w:hanging="851"/>
              <w:rPr>
                <w:rFonts w:cs="Arial"/>
                <w:sz w:val="22"/>
                <w:szCs w:val="22"/>
              </w:rPr>
            </w:pPr>
            <w:r w:rsidRPr="002C494A">
              <w:rPr>
                <w:rFonts w:cs="Arial"/>
                <w:sz w:val="22"/>
                <w:szCs w:val="22"/>
              </w:rPr>
              <w:t>Sep 201</w:t>
            </w:r>
            <w:r w:rsidR="00C21C08" w:rsidRPr="002C494A">
              <w:rPr>
                <w:rFonts w:cs="Arial"/>
                <w:sz w:val="22"/>
                <w:szCs w:val="22"/>
              </w:rPr>
              <w:t>8</w:t>
            </w:r>
          </w:p>
        </w:tc>
        <w:tc>
          <w:tcPr>
            <w:tcW w:w="1894" w:type="dxa"/>
          </w:tcPr>
          <w:p w:rsidR="003F631D" w:rsidRPr="00FB10B7" w:rsidRDefault="00FB10B7" w:rsidP="00851E27">
            <w:pPr>
              <w:ind w:left="851" w:hanging="851"/>
              <w:jc w:val="center"/>
              <w:rPr>
                <w:rFonts w:cs="Arial"/>
                <w:sz w:val="22"/>
                <w:szCs w:val="22"/>
              </w:rPr>
            </w:pPr>
            <w:r w:rsidRPr="00FB10B7">
              <w:rPr>
                <w:rFonts w:cs="Arial"/>
                <w:sz w:val="22"/>
                <w:szCs w:val="22"/>
              </w:rPr>
              <w:t>0.</w:t>
            </w:r>
            <w:r w:rsidR="00C21C08" w:rsidRPr="00FB10B7">
              <w:rPr>
                <w:rFonts w:cs="Arial"/>
                <w:sz w:val="22"/>
                <w:szCs w:val="22"/>
              </w:rPr>
              <w:t>5</w:t>
            </w:r>
            <w:r w:rsidRPr="00FB10B7">
              <w:rPr>
                <w:rFonts w:cs="Arial"/>
                <w:sz w:val="22"/>
                <w:szCs w:val="22"/>
              </w:rPr>
              <w:t>0</w:t>
            </w:r>
          </w:p>
        </w:tc>
      </w:tr>
      <w:tr w:rsidR="003F631D" w:rsidRPr="002C494A" w:rsidTr="00851E27">
        <w:trPr>
          <w:trHeight w:val="254"/>
        </w:trPr>
        <w:tc>
          <w:tcPr>
            <w:tcW w:w="1668" w:type="dxa"/>
          </w:tcPr>
          <w:p w:rsidR="003F631D" w:rsidRPr="002C494A" w:rsidRDefault="003F631D" w:rsidP="00851E27">
            <w:pPr>
              <w:ind w:left="851" w:hanging="851"/>
              <w:rPr>
                <w:rFonts w:cs="Arial"/>
                <w:sz w:val="22"/>
                <w:szCs w:val="22"/>
              </w:rPr>
            </w:pPr>
            <w:r w:rsidRPr="002C494A">
              <w:rPr>
                <w:rFonts w:cs="Arial"/>
                <w:sz w:val="22"/>
                <w:szCs w:val="22"/>
              </w:rPr>
              <w:t>Dec 201</w:t>
            </w:r>
            <w:r w:rsidR="00C21C08" w:rsidRPr="002C494A">
              <w:rPr>
                <w:rFonts w:cs="Arial"/>
                <w:sz w:val="22"/>
                <w:szCs w:val="22"/>
              </w:rPr>
              <w:t>8</w:t>
            </w:r>
          </w:p>
        </w:tc>
        <w:tc>
          <w:tcPr>
            <w:tcW w:w="1894" w:type="dxa"/>
          </w:tcPr>
          <w:p w:rsidR="003F631D" w:rsidRPr="00FB10B7" w:rsidRDefault="00FB10B7" w:rsidP="00851E27">
            <w:pPr>
              <w:ind w:left="851" w:hanging="851"/>
              <w:jc w:val="center"/>
              <w:rPr>
                <w:rFonts w:cs="Arial"/>
                <w:sz w:val="22"/>
                <w:szCs w:val="22"/>
              </w:rPr>
            </w:pPr>
            <w:r w:rsidRPr="00FB10B7">
              <w:rPr>
                <w:rFonts w:cs="Arial"/>
                <w:sz w:val="22"/>
                <w:szCs w:val="22"/>
              </w:rPr>
              <w:t>0.7</w:t>
            </w:r>
            <w:r w:rsidR="00C21C08" w:rsidRPr="00FB10B7">
              <w:rPr>
                <w:rFonts w:cs="Arial"/>
                <w:sz w:val="22"/>
                <w:szCs w:val="22"/>
              </w:rPr>
              <w:t>5</w:t>
            </w:r>
          </w:p>
        </w:tc>
      </w:tr>
      <w:tr w:rsidR="003F631D" w:rsidRPr="002C494A" w:rsidTr="00851E27">
        <w:trPr>
          <w:trHeight w:val="254"/>
        </w:trPr>
        <w:tc>
          <w:tcPr>
            <w:tcW w:w="1668" w:type="dxa"/>
          </w:tcPr>
          <w:p w:rsidR="003F631D" w:rsidRPr="002C494A" w:rsidRDefault="003F631D" w:rsidP="00851E27">
            <w:pPr>
              <w:ind w:left="851" w:hanging="851"/>
              <w:rPr>
                <w:rFonts w:cs="Arial"/>
                <w:sz w:val="22"/>
                <w:szCs w:val="22"/>
              </w:rPr>
            </w:pPr>
            <w:r w:rsidRPr="002C494A">
              <w:rPr>
                <w:rFonts w:cs="Arial"/>
                <w:sz w:val="22"/>
                <w:szCs w:val="22"/>
              </w:rPr>
              <w:t>Mar 201</w:t>
            </w:r>
            <w:r w:rsidR="00C21C08" w:rsidRPr="002C494A">
              <w:rPr>
                <w:rFonts w:cs="Arial"/>
                <w:sz w:val="22"/>
                <w:szCs w:val="22"/>
              </w:rPr>
              <w:t>9</w:t>
            </w:r>
          </w:p>
        </w:tc>
        <w:tc>
          <w:tcPr>
            <w:tcW w:w="1894" w:type="dxa"/>
          </w:tcPr>
          <w:p w:rsidR="003F631D" w:rsidRPr="00FB10B7" w:rsidRDefault="00FB10B7" w:rsidP="00851E27">
            <w:pPr>
              <w:ind w:left="851" w:hanging="851"/>
              <w:jc w:val="center"/>
              <w:rPr>
                <w:rFonts w:cs="Arial"/>
                <w:sz w:val="22"/>
                <w:szCs w:val="22"/>
              </w:rPr>
            </w:pPr>
            <w:r w:rsidRPr="00FB10B7">
              <w:rPr>
                <w:rFonts w:cs="Arial"/>
                <w:sz w:val="22"/>
                <w:szCs w:val="22"/>
              </w:rPr>
              <w:t>0.7</w:t>
            </w:r>
            <w:r w:rsidR="00C21C08" w:rsidRPr="00FB10B7">
              <w:rPr>
                <w:rFonts w:cs="Arial"/>
                <w:sz w:val="22"/>
                <w:szCs w:val="22"/>
              </w:rPr>
              <w:t>5</w:t>
            </w:r>
          </w:p>
        </w:tc>
      </w:tr>
      <w:tr w:rsidR="003F631D" w:rsidRPr="002C494A" w:rsidTr="00851E27">
        <w:trPr>
          <w:trHeight w:val="254"/>
        </w:trPr>
        <w:tc>
          <w:tcPr>
            <w:tcW w:w="1668" w:type="dxa"/>
          </w:tcPr>
          <w:p w:rsidR="003F631D" w:rsidRPr="002C494A" w:rsidRDefault="003F631D" w:rsidP="00851E27">
            <w:pPr>
              <w:ind w:left="851" w:hanging="851"/>
              <w:rPr>
                <w:rFonts w:cs="Arial"/>
                <w:sz w:val="22"/>
                <w:szCs w:val="22"/>
              </w:rPr>
            </w:pPr>
            <w:r w:rsidRPr="002C494A">
              <w:rPr>
                <w:rFonts w:cs="Arial"/>
                <w:sz w:val="22"/>
                <w:szCs w:val="22"/>
              </w:rPr>
              <w:t>Jun 201</w:t>
            </w:r>
            <w:r w:rsidR="00C21C08" w:rsidRPr="002C494A">
              <w:rPr>
                <w:rFonts w:cs="Arial"/>
                <w:sz w:val="22"/>
                <w:szCs w:val="22"/>
              </w:rPr>
              <w:t>9</w:t>
            </w:r>
          </w:p>
        </w:tc>
        <w:tc>
          <w:tcPr>
            <w:tcW w:w="1894" w:type="dxa"/>
          </w:tcPr>
          <w:p w:rsidR="003F631D" w:rsidRPr="00FB10B7" w:rsidRDefault="00C21C08" w:rsidP="00851E27">
            <w:pPr>
              <w:ind w:left="851" w:hanging="851"/>
              <w:jc w:val="center"/>
              <w:rPr>
                <w:rFonts w:cs="Arial"/>
                <w:sz w:val="22"/>
                <w:szCs w:val="22"/>
              </w:rPr>
            </w:pPr>
            <w:r w:rsidRPr="00FB10B7">
              <w:rPr>
                <w:rFonts w:cs="Arial"/>
                <w:sz w:val="22"/>
                <w:szCs w:val="22"/>
              </w:rPr>
              <w:t>0.</w:t>
            </w:r>
            <w:r w:rsidR="00FB10B7" w:rsidRPr="00FB10B7">
              <w:rPr>
                <w:rFonts w:cs="Arial"/>
                <w:sz w:val="22"/>
                <w:szCs w:val="22"/>
              </w:rPr>
              <w:t>7</w:t>
            </w:r>
            <w:r w:rsidRPr="00FB10B7">
              <w:rPr>
                <w:rFonts w:cs="Arial"/>
                <w:sz w:val="22"/>
                <w:szCs w:val="22"/>
              </w:rPr>
              <w:t>5</w:t>
            </w:r>
          </w:p>
        </w:tc>
      </w:tr>
    </w:tbl>
    <w:p w:rsidR="00F41F19" w:rsidRPr="002C494A" w:rsidRDefault="00F41F19" w:rsidP="00851E27">
      <w:pPr>
        <w:tabs>
          <w:tab w:val="num" w:pos="709"/>
        </w:tabs>
        <w:ind w:left="851" w:hanging="851"/>
        <w:rPr>
          <w:rFonts w:cs="Arial"/>
          <w:b/>
          <w:sz w:val="22"/>
          <w:szCs w:val="22"/>
        </w:rPr>
      </w:pPr>
    </w:p>
    <w:p w:rsidR="00851E27" w:rsidRPr="002C494A" w:rsidRDefault="00F41F19" w:rsidP="00851E27">
      <w:pPr>
        <w:tabs>
          <w:tab w:val="num" w:pos="709"/>
        </w:tabs>
        <w:ind w:left="851" w:hanging="851"/>
        <w:rPr>
          <w:rFonts w:cs="Arial"/>
          <w:noProof/>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851E27" w:rsidRPr="002C494A" w:rsidRDefault="00851E27" w:rsidP="00851E27">
      <w:pPr>
        <w:tabs>
          <w:tab w:val="num" w:pos="709"/>
        </w:tabs>
        <w:ind w:left="851" w:hanging="851"/>
        <w:rPr>
          <w:rFonts w:cs="Arial"/>
          <w:noProof/>
          <w:sz w:val="22"/>
          <w:szCs w:val="22"/>
        </w:rPr>
      </w:pPr>
    </w:p>
    <w:p w:rsidR="007C1BF3" w:rsidRPr="002C494A" w:rsidRDefault="00F41F19" w:rsidP="00851E27">
      <w:pPr>
        <w:ind w:left="851"/>
        <w:jc w:val="both"/>
        <w:rPr>
          <w:rFonts w:cs="Arial"/>
          <w:sz w:val="22"/>
          <w:szCs w:val="22"/>
        </w:rPr>
      </w:pP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004949B2">
        <w:rPr>
          <w:rFonts w:cs="Arial"/>
          <w:sz w:val="22"/>
          <w:szCs w:val="22"/>
        </w:rPr>
        <w:t xml:space="preserve">In November this year the Bank of England raised interest rates to 0.50%.  The Bank has </w:t>
      </w:r>
      <w:r w:rsidR="00C21C08" w:rsidRPr="002C494A">
        <w:rPr>
          <w:rFonts w:cs="Arial"/>
          <w:sz w:val="22"/>
          <w:szCs w:val="22"/>
        </w:rPr>
        <w:t xml:space="preserve">repeatedly stated that </w:t>
      </w:r>
      <w:r w:rsidR="004949B2">
        <w:rPr>
          <w:rFonts w:cs="Arial"/>
          <w:sz w:val="22"/>
          <w:szCs w:val="22"/>
        </w:rPr>
        <w:t xml:space="preserve">any further </w:t>
      </w:r>
      <w:r w:rsidR="00C21C08" w:rsidRPr="002C494A">
        <w:rPr>
          <w:rFonts w:cs="Arial"/>
          <w:sz w:val="22"/>
          <w:szCs w:val="22"/>
        </w:rPr>
        <w:t>increases in Bank Rate will be slow and gradual</w:t>
      </w:r>
      <w:r w:rsidR="004949B2">
        <w:rPr>
          <w:rFonts w:cs="Arial"/>
          <w:sz w:val="22"/>
          <w:szCs w:val="22"/>
        </w:rPr>
        <w:t xml:space="preserve">.  The Bank’s </w:t>
      </w:r>
      <w:r w:rsidR="00C21C08" w:rsidRPr="002C494A">
        <w:rPr>
          <w:rFonts w:cs="Arial"/>
          <w:sz w:val="22"/>
          <w:szCs w:val="22"/>
        </w:rPr>
        <w:t xml:space="preserve">MPC is concerned about the impact of increases on </w:t>
      </w:r>
      <w:r w:rsidR="004949B2">
        <w:rPr>
          <w:rFonts w:cs="Arial"/>
          <w:sz w:val="22"/>
          <w:szCs w:val="22"/>
        </w:rPr>
        <w:t xml:space="preserve">the growth of the economy and also the </w:t>
      </w:r>
      <w:r w:rsidR="00C21C08" w:rsidRPr="002C494A">
        <w:rPr>
          <w:rFonts w:cs="Arial"/>
          <w:sz w:val="22"/>
          <w:szCs w:val="22"/>
        </w:rPr>
        <w:t>many heavily indebted consumers, especially wh</w:t>
      </w:r>
      <w:r w:rsidR="004949B2">
        <w:rPr>
          <w:rFonts w:cs="Arial"/>
          <w:sz w:val="22"/>
          <w:szCs w:val="22"/>
        </w:rPr>
        <w:t xml:space="preserve">ilst </w:t>
      </w:r>
      <w:r w:rsidR="00C21C08" w:rsidRPr="002C494A">
        <w:rPr>
          <w:rFonts w:cs="Arial"/>
          <w:sz w:val="22"/>
          <w:szCs w:val="22"/>
        </w:rPr>
        <w:t>growth in average disposable income is still weak and wh</w:t>
      </w:r>
      <w:r w:rsidR="004949B2">
        <w:rPr>
          <w:rFonts w:cs="Arial"/>
          <w:sz w:val="22"/>
          <w:szCs w:val="22"/>
        </w:rPr>
        <w:t xml:space="preserve">ile </w:t>
      </w:r>
      <w:r w:rsidR="00C21C08" w:rsidRPr="002C494A">
        <w:rPr>
          <w:rFonts w:cs="Arial"/>
          <w:sz w:val="22"/>
          <w:szCs w:val="22"/>
        </w:rPr>
        <w:t xml:space="preserve">inflation rises </w:t>
      </w:r>
      <w:r w:rsidR="004949B2">
        <w:rPr>
          <w:rFonts w:cs="Arial"/>
          <w:sz w:val="22"/>
          <w:szCs w:val="22"/>
        </w:rPr>
        <w:t xml:space="preserve">continue to </w:t>
      </w:r>
      <w:r w:rsidR="00C21C08" w:rsidRPr="002C494A">
        <w:rPr>
          <w:rFonts w:cs="Arial"/>
          <w:sz w:val="22"/>
          <w:szCs w:val="22"/>
        </w:rPr>
        <w:t>exceed average pay increases</w:t>
      </w:r>
      <w:r w:rsidR="007C1BF3" w:rsidRPr="002C494A">
        <w:rPr>
          <w:rFonts w:cs="Arial"/>
          <w:sz w:val="22"/>
          <w:szCs w:val="22"/>
        </w:rPr>
        <w:t xml:space="preserve">. </w:t>
      </w:r>
    </w:p>
    <w:p w:rsidR="00C4295C" w:rsidRPr="002C494A" w:rsidRDefault="00A36DBD" w:rsidP="00851E27">
      <w:pPr>
        <w:tabs>
          <w:tab w:val="num" w:pos="709"/>
        </w:tabs>
        <w:ind w:left="851"/>
        <w:rPr>
          <w:rFonts w:cs="Arial"/>
          <w:noProof/>
          <w:sz w:val="22"/>
          <w:szCs w:val="22"/>
        </w:rPr>
      </w:pP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007D393F" w:rsidRPr="002C494A">
        <w:rPr>
          <w:rFonts w:cs="Arial"/>
          <w:sz w:val="22"/>
          <w:szCs w:val="22"/>
        </w:rPr>
        <w:fldChar w:fldCharType="begin"/>
      </w:r>
      <w:r w:rsidR="007D393F" w:rsidRPr="002C494A">
        <w:rPr>
          <w:rFonts w:cs="Arial"/>
          <w:sz w:val="22"/>
          <w:szCs w:val="22"/>
        </w:rPr>
        <w:instrText xml:space="preserve">  </w:instrText>
      </w:r>
      <w:r w:rsidR="007D393F" w:rsidRPr="002C494A">
        <w:rPr>
          <w:rFonts w:cs="Arial"/>
          <w:sz w:val="22"/>
          <w:szCs w:val="22"/>
        </w:rPr>
        <w:fldChar w:fldCharType="end"/>
      </w:r>
      <w:r w:rsidR="007D393F" w:rsidRPr="002C494A">
        <w:rPr>
          <w:rFonts w:cs="Arial"/>
          <w:noProof/>
          <w:sz w:val="22"/>
          <w:szCs w:val="22"/>
        </w:rPr>
        <w:t xml:space="preserve"> </w:t>
      </w:r>
      <w:r w:rsidR="007D393F" w:rsidRPr="002C494A">
        <w:rPr>
          <w:rFonts w:cs="Arial"/>
          <w:noProof/>
          <w:sz w:val="22"/>
          <w:szCs w:val="22"/>
        </w:rPr>
        <w:tab/>
      </w:r>
    </w:p>
    <w:p w:rsidR="00EC4ABB" w:rsidRDefault="00EC4ABB" w:rsidP="004949B2">
      <w:pPr>
        <w:tabs>
          <w:tab w:val="num" w:pos="709"/>
        </w:tabs>
        <w:ind w:left="851" w:hanging="851"/>
        <w:rPr>
          <w:rFonts w:cs="Arial"/>
          <w:sz w:val="22"/>
          <w:szCs w:val="22"/>
        </w:rPr>
      </w:pPr>
    </w:p>
    <w:p w:rsidR="00EC4ABB" w:rsidRDefault="00EC4ABB" w:rsidP="004949B2">
      <w:pPr>
        <w:tabs>
          <w:tab w:val="num" w:pos="709"/>
        </w:tabs>
        <w:ind w:left="851" w:hanging="851"/>
        <w:rPr>
          <w:rFonts w:cs="Arial"/>
          <w:sz w:val="22"/>
          <w:szCs w:val="22"/>
        </w:rPr>
      </w:pPr>
    </w:p>
    <w:p w:rsidR="00EC4ABB" w:rsidRDefault="00EC4ABB" w:rsidP="004949B2">
      <w:pPr>
        <w:tabs>
          <w:tab w:val="num" w:pos="709"/>
        </w:tabs>
        <w:ind w:left="851" w:hanging="851"/>
        <w:rPr>
          <w:rFonts w:cs="Arial"/>
          <w:sz w:val="22"/>
          <w:szCs w:val="22"/>
        </w:rPr>
      </w:pPr>
    </w:p>
    <w:p w:rsidR="003378A9" w:rsidRPr="002C494A" w:rsidRDefault="008F35A6" w:rsidP="004949B2">
      <w:pPr>
        <w:tabs>
          <w:tab w:val="num" w:pos="709"/>
        </w:tabs>
        <w:ind w:left="851" w:hanging="851"/>
        <w:rPr>
          <w:rFonts w:cs="Arial"/>
          <w:sz w:val="22"/>
          <w:szCs w:val="22"/>
        </w:rPr>
      </w:pPr>
      <w:r w:rsidRPr="002C494A">
        <w:rPr>
          <w:rFonts w:cs="Arial"/>
          <w:sz w:val="22"/>
          <w:szCs w:val="22"/>
        </w:rPr>
        <w:tab/>
      </w:r>
      <w:r w:rsidRPr="002C494A">
        <w:rPr>
          <w:rFonts w:cs="Arial"/>
          <w:sz w:val="22"/>
          <w:szCs w:val="22"/>
        </w:rPr>
        <w:tab/>
      </w:r>
      <w:r w:rsidR="00C21C08" w:rsidRPr="002C494A">
        <w:rPr>
          <w:rFonts w:cs="Arial"/>
          <w:color w:val="0D0D0D"/>
          <w:spacing w:val="-5"/>
          <w:sz w:val="22"/>
          <w:szCs w:val="22"/>
        </w:rPr>
        <w:t xml:space="preserve"> </w:t>
      </w:r>
    </w:p>
    <w:p w:rsidR="00A723BC" w:rsidRPr="002C494A" w:rsidRDefault="00B545C9" w:rsidP="009B331C">
      <w:pPr>
        <w:tabs>
          <w:tab w:val="num" w:pos="709"/>
        </w:tabs>
        <w:ind w:left="851" w:hanging="851"/>
        <w:jc w:val="both"/>
        <w:rPr>
          <w:rStyle w:val="CharChar"/>
          <w:rFonts w:ascii="Arial" w:hAnsi="Arial" w:cs="Arial"/>
          <w:bCs w:val="0"/>
          <w:i/>
          <w:sz w:val="22"/>
          <w:szCs w:val="22"/>
        </w:rPr>
      </w:pPr>
      <w:r>
        <w:rPr>
          <w:rFonts w:cs="Arial"/>
          <w:sz w:val="22"/>
          <w:szCs w:val="22"/>
        </w:rPr>
        <w:lastRenderedPageBreak/>
        <w:t>2.5</w:t>
      </w:r>
      <w:r w:rsidR="007D393F" w:rsidRPr="002C494A">
        <w:rPr>
          <w:rFonts w:cs="Arial"/>
          <w:sz w:val="22"/>
          <w:szCs w:val="22"/>
        </w:rPr>
        <w:tab/>
      </w:r>
      <w:r w:rsidR="007D393F" w:rsidRPr="002C494A">
        <w:rPr>
          <w:rFonts w:cs="Arial"/>
          <w:sz w:val="22"/>
          <w:szCs w:val="22"/>
        </w:rPr>
        <w:fldChar w:fldCharType="begin"/>
      </w:r>
      <w:r w:rsidR="007D393F" w:rsidRPr="002C494A">
        <w:rPr>
          <w:rFonts w:cs="Arial"/>
          <w:sz w:val="22"/>
          <w:szCs w:val="22"/>
        </w:rPr>
        <w:instrText xml:space="preserve">  </w:instrText>
      </w:r>
      <w:r w:rsidR="007D393F" w:rsidRPr="002C494A">
        <w:rPr>
          <w:rFonts w:cs="Arial"/>
          <w:sz w:val="22"/>
          <w:szCs w:val="22"/>
        </w:rPr>
        <w:fldChar w:fldCharType="end"/>
      </w:r>
      <w:r w:rsidR="007D393F" w:rsidRPr="002C494A">
        <w:rPr>
          <w:rFonts w:cs="Arial"/>
          <w:noProof/>
          <w:sz w:val="22"/>
          <w:szCs w:val="22"/>
        </w:rPr>
        <w:t xml:space="preserve"> </w:t>
      </w:r>
      <w:r w:rsidR="007D393F" w:rsidRPr="002C494A">
        <w:rPr>
          <w:rFonts w:cs="Arial"/>
          <w:noProof/>
          <w:sz w:val="22"/>
          <w:szCs w:val="22"/>
        </w:rPr>
        <w:tab/>
      </w:r>
      <w:r w:rsidR="007D393F" w:rsidRPr="002C494A">
        <w:rPr>
          <w:rFonts w:cs="Arial"/>
          <w:i/>
          <w:sz w:val="22"/>
          <w:szCs w:val="22"/>
        </w:rPr>
        <w:t>T</w:t>
      </w:r>
      <w:r w:rsidR="00A723BC" w:rsidRPr="002C494A">
        <w:rPr>
          <w:rStyle w:val="CharChar"/>
          <w:rFonts w:ascii="Arial" w:hAnsi="Arial" w:cs="Arial"/>
          <w:b w:val="0"/>
          <w:i/>
          <w:sz w:val="22"/>
          <w:szCs w:val="22"/>
        </w:rPr>
        <w:t>he Council’s Capital Position (Prudential Indicators)</w:t>
      </w:r>
    </w:p>
    <w:p w:rsidR="003F420A" w:rsidRPr="002C494A" w:rsidRDefault="003F420A" w:rsidP="009B331C">
      <w:pPr>
        <w:tabs>
          <w:tab w:val="num" w:pos="709"/>
        </w:tabs>
        <w:ind w:left="851" w:hanging="851"/>
        <w:jc w:val="both"/>
        <w:rPr>
          <w:rFonts w:cs="Arial"/>
          <w:sz w:val="22"/>
          <w:szCs w:val="22"/>
        </w:rPr>
      </w:pPr>
    </w:p>
    <w:p w:rsidR="00A723BC" w:rsidRPr="002C494A" w:rsidRDefault="003F420A" w:rsidP="009B331C">
      <w:pPr>
        <w:tabs>
          <w:tab w:val="num" w:pos="709"/>
        </w:tabs>
        <w:ind w:left="851" w:hanging="851"/>
        <w:jc w:val="both"/>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A723BC" w:rsidRPr="002C494A">
        <w:rPr>
          <w:rFonts w:cs="Arial"/>
          <w:sz w:val="22"/>
          <w:szCs w:val="22"/>
        </w:rPr>
        <w:t>The Council’s capital expenditure plans are one of the key drivers of treasury management activity. The outputs of the capital expenditure plans are reflected in prudential indicators, which are designed to assist members’ overview and confirm capital expenditure plans.</w:t>
      </w:r>
    </w:p>
    <w:p w:rsidR="003F420A" w:rsidRPr="002C494A" w:rsidRDefault="003F420A" w:rsidP="009B331C">
      <w:pPr>
        <w:tabs>
          <w:tab w:val="num" w:pos="709"/>
        </w:tabs>
        <w:ind w:left="851" w:hanging="851"/>
        <w:jc w:val="both"/>
        <w:rPr>
          <w:rFonts w:cs="Arial"/>
          <w:sz w:val="22"/>
          <w:szCs w:val="22"/>
        </w:rPr>
      </w:pPr>
    </w:p>
    <w:p w:rsidR="00A723BC" w:rsidRPr="002C494A" w:rsidRDefault="003F420A" w:rsidP="009B331C">
      <w:pPr>
        <w:tabs>
          <w:tab w:val="num" w:pos="709"/>
        </w:tabs>
        <w:ind w:left="851" w:hanging="851"/>
        <w:jc w:val="both"/>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A723BC" w:rsidRPr="002C494A">
        <w:rPr>
          <w:rFonts w:cs="Arial"/>
          <w:sz w:val="22"/>
          <w:szCs w:val="22"/>
        </w:rPr>
        <w:t>The capital expenditure plans are financed in fu</w:t>
      </w:r>
      <w:r w:rsidR="00270811" w:rsidRPr="002C494A">
        <w:rPr>
          <w:rFonts w:cs="Arial"/>
          <w:sz w:val="22"/>
          <w:szCs w:val="22"/>
        </w:rPr>
        <w:t xml:space="preserve">ll by capital receipts, </w:t>
      </w:r>
      <w:r w:rsidR="00A723BC" w:rsidRPr="002C494A">
        <w:rPr>
          <w:rFonts w:cs="Arial"/>
          <w:sz w:val="22"/>
          <w:szCs w:val="22"/>
        </w:rPr>
        <w:t>grants or capital reserves. Over the next three years there are no planned shortfalls of resources which would resul</w:t>
      </w:r>
      <w:r w:rsidR="00270811" w:rsidRPr="002C494A">
        <w:rPr>
          <w:rFonts w:cs="Arial"/>
          <w:sz w:val="22"/>
          <w:szCs w:val="22"/>
        </w:rPr>
        <w:t>t in a funding need (borrowing).</w:t>
      </w:r>
      <w:r w:rsidR="00A723BC" w:rsidRPr="002C494A">
        <w:rPr>
          <w:rFonts w:cs="Arial"/>
          <w:sz w:val="22"/>
          <w:szCs w:val="22"/>
        </w:rPr>
        <w:t xml:space="preserve"> </w:t>
      </w:r>
      <w:r w:rsidR="00270811" w:rsidRPr="002C494A">
        <w:rPr>
          <w:rFonts w:cs="Arial"/>
          <w:sz w:val="22"/>
          <w:szCs w:val="22"/>
        </w:rPr>
        <w:t xml:space="preserve">The Council is </w:t>
      </w:r>
      <w:r w:rsidRPr="002C494A">
        <w:rPr>
          <w:rFonts w:cs="Arial"/>
          <w:sz w:val="22"/>
          <w:szCs w:val="22"/>
        </w:rPr>
        <w:t xml:space="preserve">currently </w:t>
      </w:r>
      <w:r w:rsidR="00270811" w:rsidRPr="002C494A">
        <w:rPr>
          <w:rFonts w:cs="Arial"/>
          <w:sz w:val="22"/>
          <w:szCs w:val="22"/>
        </w:rPr>
        <w:t xml:space="preserve">debt </w:t>
      </w:r>
      <w:r w:rsidR="003378A9" w:rsidRPr="002C494A">
        <w:rPr>
          <w:rFonts w:cs="Arial"/>
          <w:sz w:val="22"/>
          <w:szCs w:val="22"/>
        </w:rPr>
        <w:t>free;</w:t>
      </w:r>
      <w:r w:rsidR="00270811" w:rsidRPr="002C494A">
        <w:rPr>
          <w:rFonts w:cs="Arial"/>
          <w:sz w:val="22"/>
          <w:szCs w:val="22"/>
        </w:rPr>
        <w:t xml:space="preserve"> </w:t>
      </w:r>
      <w:r w:rsidR="00A723BC" w:rsidRPr="002C494A">
        <w:rPr>
          <w:rFonts w:cs="Arial"/>
          <w:sz w:val="22"/>
          <w:szCs w:val="22"/>
        </w:rPr>
        <w:t xml:space="preserve">however </w:t>
      </w:r>
      <w:r w:rsidR="00B545C9">
        <w:rPr>
          <w:rFonts w:cs="Arial"/>
          <w:sz w:val="22"/>
          <w:szCs w:val="22"/>
        </w:rPr>
        <w:t xml:space="preserve">the major leisure project </w:t>
      </w:r>
      <w:r w:rsidR="00A723BC" w:rsidRPr="002C494A">
        <w:rPr>
          <w:rFonts w:cs="Arial"/>
          <w:sz w:val="22"/>
          <w:szCs w:val="22"/>
        </w:rPr>
        <w:t xml:space="preserve">in South Oxhey </w:t>
      </w:r>
      <w:r w:rsidR="00270811" w:rsidRPr="002C494A">
        <w:rPr>
          <w:rFonts w:cs="Arial"/>
          <w:sz w:val="22"/>
          <w:szCs w:val="22"/>
        </w:rPr>
        <w:t xml:space="preserve">may require </w:t>
      </w:r>
      <w:r w:rsidR="00A723BC" w:rsidRPr="002C494A">
        <w:rPr>
          <w:rFonts w:cs="Arial"/>
          <w:sz w:val="22"/>
          <w:szCs w:val="22"/>
        </w:rPr>
        <w:t>significant funding and involve borrowing funds</w:t>
      </w:r>
      <w:r w:rsidR="00B545C9">
        <w:rPr>
          <w:rFonts w:cs="Arial"/>
          <w:sz w:val="22"/>
          <w:szCs w:val="22"/>
        </w:rPr>
        <w:t xml:space="preserve"> – the costs of which would be met from the increased income from the contractor</w:t>
      </w:r>
      <w:r w:rsidR="00270811" w:rsidRPr="002C494A">
        <w:rPr>
          <w:rFonts w:cs="Arial"/>
          <w:sz w:val="22"/>
          <w:szCs w:val="22"/>
        </w:rPr>
        <w:t>.</w:t>
      </w:r>
      <w:r w:rsidR="00A723BC" w:rsidRPr="002C494A">
        <w:rPr>
          <w:rFonts w:cs="Arial"/>
          <w:sz w:val="22"/>
          <w:szCs w:val="22"/>
        </w:rPr>
        <w:t xml:space="preserve"> </w:t>
      </w:r>
    </w:p>
    <w:p w:rsidR="003F420A" w:rsidRPr="002C494A" w:rsidRDefault="003F420A" w:rsidP="009B331C">
      <w:pPr>
        <w:tabs>
          <w:tab w:val="num" w:pos="709"/>
        </w:tabs>
        <w:ind w:left="851" w:hanging="851"/>
        <w:jc w:val="both"/>
        <w:rPr>
          <w:rFonts w:cs="Arial"/>
          <w:sz w:val="22"/>
          <w:szCs w:val="22"/>
        </w:rPr>
      </w:pPr>
    </w:p>
    <w:p w:rsidR="00A723BC" w:rsidRPr="002C494A" w:rsidRDefault="00B545C9" w:rsidP="009B331C">
      <w:pPr>
        <w:tabs>
          <w:tab w:val="num" w:pos="709"/>
        </w:tabs>
        <w:ind w:left="851" w:hanging="851"/>
        <w:jc w:val="both"/>
        <w:rPr>
          <w:rFonts w:cs="Arial"/>
          <w:sz w:val="22"/>
          <w:szCs w:val="22"/>
        </w:rPr>
      </w:pPr>
      <w:r>
        <w:rPr>
          <w:rFonts w:cs="Arial"/>
          <w:sz w:val="22"/>
          <w:szCs w:val="22"/>
        </w:rPr>
        <w:t>2.6</w:t>
      </w:r>
      <w:r w:rsidR="003F420A" w:rsidRPr="002C494A">
        <w:rPr>
          <w:rFonts w:cs="Arial"/>
          <w:sz w:val="22"/>
          <w:szCs w:val="22"/>
        </w:rPr>
        <w:tab/>
      </w:r>
      <w:r w:rsidR="003F420A" w:rsidRPr="002C494A">
        <w:rPr>
          <w:rFonts w:cs="Arial"/>
          <w:sz w:val="22"/>
          <w:szCs w:val="22"/>
        </w:rPr>
        <w:fldChar w:fldCharType="begin"/>
      </w:r>
      <w:r w:rsidR="003F420A" w:rsidRPr="002C494A">
        <w:rPr>
          <w:rFonts w:cs="Arial"/>
          <w:sz w:val="22"/>
          <w:szCs w:val="22"/>
        </w:rPr>
        <w:instrText xml:space="preserve">  </w:instrText>
      </w:r>
      <w:r w:rsidR="003F420A" w:rsidRPr="002C494A">
        <w:rPr>
          <w:rFonts w:cs="Arial"/>
          <w:sz w:val="22"/>
          <w:szCs w:val="22"/>
        </w:rPr>
        <w:fldChar w:fldCharType="end"/>
      </w:r>
      <w:r w:rsidR="003F420A" w:rsidRPr="002C494A">
        <w:rPr>
          <w:rFonts w:cs="Arial"/>
          <w:noProof/>
          <w:sz w:val="22"/>
          <w:szCs w:val="22"/>
        </w:rPr>
        <w:t xml:space="preserve"> </w:t>
      </w:r>
      <w:r w:rsidR="003F420A" w:rsidRPr="002C494A">
        <w:rPr>
          <w:rFonts w:cs="Arial"/>
          <w:noProof/>
          <w:sz w:val="22"/>
          <w:szCs w:val="22"/>
        </w:rPr>
        <w:tab/>
      </w:r>
      <w:r w:rsidR="00A723BC" w:rsidRPr="002C494A">
        <w:rPr>
          <w:rFonts w:cs="Arial"/>
          <w:i/>
          <w:sz w:val="22"/>
          <w:szCs w:val="22"/>
        </w:rPr>
        <w:t>Capital Financing Requirement (CFR), External Debt and Operational Boundary</w:t>
      </w:r>
    </w:p>
    <w:p w:rsidR="003F420A" w:rsidRPr="002C494A" w:rsidRDefault="003F420A" w:rsidP="009B331C">
      <w:pPr>
        <w:tabs>
          <w:tab w:val="num" w:pos="709"/>
        </w:tabs>
        <w:ind w:left="851" w:hanging="851"/>
        <w:jc w:val="both"/>
        <w:rPr>
          <w:rFonts w:cs="Arial"/>
          <w:b/>
          <w:sz w:val="22"/>
          <w:szCs w:val="22"/>
        </w:rPr>
      </w:pPr>
    </w:p>
    <w:p w:rsidR="00A723BC" w:rsidRDefault="003F420A" w:rsidP="009B331C">
      <w:pPr>
        <w:tabs>
          <w:tab w:val="num" w:pos="709"/>
        </w:tabs>
        <w:ind w:left="851" w:hanging="851"/>
        <w:jc w:val="both"/>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A723BC" w:rsidRPr="002C494A">
        <w:rPr>
          <w:rFonts w:cs="Arial"/>
          <w:sz w:val="22"/>
          <w:szCs w:val="22"/>
        </w:rPr>
        <w:t>The CFR and Operational Boundary estimates are shown below:</w:t>
      </w:r>
    </w:p>
    <w:p w:rsidR="00851E27" w:rsidRPr="002C494A" w:rsidRDefault="00851E27" w:rsidP="009B331C">
      <w:pPr>
        <w:pStyle w:val="BodyText"/>
        <w:ind w:left="851" w:hanging="851"/>
        <w:jc w:val="both"/>
        <w:rPr>
          <w:rFonts w:cs="Arial"/>
          <w:b/>
          <w:bCs/>
          <w:szCs w:val="22"/>
        </w:rPr>
      </w:pPr>
    </w:p>
    <w:tbl>
      <w:tblPr>
        <w:tblpPr w:leftFromText="180" w:rightFromText="180" w:vertAnchor="text" w:horzAnchor="margin" w:tblpXSpec="right" w:tblpY="48"/>
        <w:tblW w:w="82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66"/>
        <w:gridCol w:w="1682"/>
        <w:gridCol w:w="1869"/>
        <w:gridCol w:w="1591"/>
      </w:tblGrid>
      <w:tr w:rsidR="00A723BC" w:rsidRPr="002C494A" w:rsidTr="003F420A">
        <w:trPr>
          <w:trHeight w:val="833"/>
        </w:trPr>
        <w:tc>
          <w:tcPr>
            <w:tcW w:w="3066" w:type="dxa"/>
            <w:shd w:val="clear" w:color="auto" w:fill="B3B3B3"/>
            <w:vAlign w:val="bottom"/>
          </w:tcPr>
          <w:p w:rsidR="00A723BC" w:rsidRPr="002C494A" w:rsidRDefault="00A723BC" w:rsidP="009B331C">
            <w:pPr>
              <w:pStyle w:val="BodyText"/>
              <w:ind w:left="851" w:hanging="851"/>
              <w:jc w:val="both"/>
              <w:rPr>
                <w:rFonts w:cs="Arial"/>
                <w:b/>
                <w:bCs/>
                <w:szCs w:val="22"/>
              </w:rPr>
            </w:pPr>
            <w:r w:rsidRPr="002C494A">
              <w:rPr>
                <w:rFonts w:cs="Arial"/>
                <w:b/>
                <w:bCs/>
                <w:szCs w:val="22"/>
              </w:rPr>
              <w:t>Prudential Indicator</w:t>
            </w:r>
          </w:p>
          <w:p w:rsidR="00A723BC" w:rsidRPr="002C494A" w:rsidRDefault="00A723BC" w:rsidP="009B331C">
            <w:pPr>
              <w:pStyle w:val="BodyText"/>
              <w:ind w:left="851" w:hanging="851"/>
              <w:jc w:val="both"/>
              <w:rPr>
                <w:rFonts w:cs="Arial"/>
                <w:szCs w:val="22"/>
              </w:rPr>
            </w:pPr>
          </w:p>
        </w:tc>
        <w:tc>
          <w:tcPr>
            <w:tcW w:w="1682" w:type="dxa"/>
            <w:shd w:val="clear" w:color="auto" w:fill="B3B3B3"/>
          </w:tcPr>
          <w:p w:rsidR="00A723BC" w:rsidRPr="002C494A" w:rsidRDefault="00C21C08" w:rsidP="009B331C">
            <w:pPr>
              <w:pStyle w:val="BodyText"/>
              <w:ind w:left="851" w:hanging="851"/>
              <w:jc w:val="both"/>
              <w:rPr>
                <w:rFonts w:cs="Arial"/>
                <w:b/>
                <w:bCs/>
                <w:szCs w:val="22"/>
              </w:rPr>
            </w:pPr>
            <w:r w:rsidRPr="002C494A">
              <w:rPr>
                <w:rFonts w:cs="Arial"/>
                <w:b/>
                <w:bCs/>
                <w:szCs w:val="22"/>
              </w:rPr>
              <w:t>201</w:t>
            </w:r>
            <w:r w:rsidR="00B545C9">
              <w:rPr>
                <w:rFonts w:cs="Arial"/>
                <w:b/>
                <w:bCs/>
                <w:szCs w:val="22"/>
              </w:rPr>
              <w:t>7</w:t>
            </w:r>
            <w:r w:rsidRPr="002C494A">
              <w:rPr>
                <w:rFonts w:cs="Arial"/>
                <w:b/>
                <w:bCs/>
                <w:szCs w:val="22"/>
              </w:rPr>
              <w:t>/1</w:t>
            </w:r>
            <w:r w:rsidR="00B545C9">
              <w:rPr>
                <w:rFonts w:cs="Arial"/>
                <w:b/>
                <w:bCs/>
                <w:szCs w:val="22"/>
              </w:rPr>
              <w:t>8</w:t>
            </w:r>
          </w:p>
          <w:p w:rsidR="00A723BC" w:rsidRPr="002C494A" w:rsidRDefault="00A723BC" w:rsidP="009B331C">
            <w:pPr>
              <w:pStyle w:val="BodyText"/>
              <w:ind w:left="851" w:hanging="851"/>
              <w:jc w:val="both"/>
              <w:rPr>
                <w:rFonts w:cs="Arial"/>
                <w:b/>
                <w:bCs/>
                <w:szCs w:val="22"/>
              </w:rPr>
            </w:pPr>
            <w:r w:rsidRPr="002C494A">
              <w:rPr>
                <w:rFonts w:cs="Arial"/>
                <w:b/>
                <w:bCs/>
                <w:szCs w:val="22"/>
              </w:rPr>
              <w:t>Original</w:t>
            </w:r>
          </w:p>
          <w:p w:rsidR="00A723BC" w:rsidRPr="002C494A" w:rsidRDefault="00A723BC" w:rsidP="009B331C">
            <w:pPr>
              <w:pStyle w:val="BodyText"/>
              <w:ind w:left="851" w:hanging="851"/>
              <w:jc w:val="both"/>
              <w:rPr>
                <w:rFonts w:cs="Arial"/>
                <w:b/>
                <w:bCs/>
                <w:szCs w:val="22"/>
              </w:rPr>
            </w:pPr>
            <w:r w:rsidRPr="002C494A">
              <w:rPr>
                <w:rFonts w:cs="Arial"/>
                <w:b/>
                <w:bCs/>
                <w:szCs w:val="22"/>
              </w:rPr>
              <w:t>Estimate</w:t>
            </w:r>
          </w:p>
        </w:tc>
        <w:tc>
          <w:tcPr>
            <w:tcW w:w="1869" w:type="dxa"/>
            <w:tcBorders>
              <w:bottom w:val="single" w:sz="6" w:space="0" w:color="auto"/>
            </w:tcBorders>
            <w:shd w:val="clear" w:color="auto" w:fill="B3B3B3"/>
          </w:tcPr>
          <w:p w:rsidR="00CD4462" w:rsidRDefault="00CD4462" w:rsidP="009B331C">
            <w:pPr>
              <w:pStyle w:val="BodyText"/>
              <w:ind w:left="851" w:hanging="851"/>
              <w:jc w:val="both"/>
              <w:rPr>
                <w:rFonts w:cs="Arial"/>
                <w:b/>
                <w:bCs/>
                <w:szCs w:val="22"/>
              </w:rPr>
            </w:pPr>
            <w:r>
              <w:rPr>
                <w:rFonts w:cs="Arial"/>
                <w:b/>
                <w:bCs/>
                <w:szCs w:val="22"/>
              </w:rPr>
              <w:t>Current</w:t>
            </w:r>
          </w:p>
          <w:p w:rsidR="00CD4462" w:rsidRDefault="00CD4462" w:rsidP="009B331C">
            <w:pPr>
              <w:pStyle w:val="BodyText"/>
              <w:ind w:left="851" w:hanging="851"/>
              <w:jc w:val="both"/>
              <w:rPr>
                <w:rFonts w:cs="Arial"/>
                <w:b/>
                <w:bCs/>
                <w:szCs w:val="22"/>
              </w:rPr>
            </w:pPr>
            <w:r>
              <w:rPr>
                <w:rFonts w:cs="Arial"/>
                <w:b/>
                <w:bCs/>
                <w:szCs w:val="22"/>
              </w:rPr>
              <w:t>Borrowing</w:t>
            </w:r>
          </w:p>
          <w:p w:rsidR="00A723BC" w:rsidRPr="002C494A" w:rsidRDefault="00A723BC" w:rsidP="009B331C">
            <w:pPr>
              <w:pStyle w:val="BodyText"/>
              <w:ind w:left="851" w:hanging="851"/>
              <w:jc w:val="both"/>
              <w:rPr>
                <w:rFonts w:cs="Arial"/>
                <w:b/>
                <w:bCs/>
                <w:szCs w:val="22"/>
              </w:rPr>
            </w:pPr>
            <w:r w:rsidRPr="002C494A">
              <w:rPr>
                <w:rFonts w:cs="Arial"/>
                <w:b/>
                <w:bCs/>
                <w:szCs w:val="22"/>
              </w:rPr>
              <w:t>Position</w:t>
            </w:r>
          </w:p>
        </w:tc>
        <w:tc>
          <w:tcPr>
            <w:tcW w:w="1591" w:type="dxa"/>
            <w:shd w:val="clear" w:color="auto" w:fill="B3B3B3"/>
          </w:tcPr>
          <w:p w:rsidR="00A723BC" w:rsidRPr="002C494A" w:rsidRDefault="00B545C9" w:rsidP="009B331C">
            <w:pPr>
              <w:pStyle w:val="BodyText"/>
              <w:ind w:left="851" w:hanging="851"/>
              <w:jc w:val="both"/>
              <w:rPr>
                <w:rFonts w:cs="Arial"/>
                <w:b/>
                <w:bCs/>
                <w:szCs w:val="22"/>
              </w:rPr>
            </w:pPr>
            <w:r>
              <w:rPr>
                <w:rFonts w:cs="Arial"/>
                <w:b/>
                <w:bCs/>
                <w:szCs w:val="22"/>
              </w:rPr>
              <w:t>2017</w:t>
            </w:r>
            <w:r w:rsidR="00C21C08" w:rsidRPr="002C494A">
              <w:rPr>
                <w:rFonts w:cs="Arial"/>
                <w:b/>
                <w:bCs/>
                <w:szCs w:val="22"/>
              </w:rPr>
              <w:t>/1</w:t>
            </w:r>
            <w:r>
              <w:rPr>
                <w:rFonts w:cs="Arial"/>
                <w:b/>
                <w:bCs/>
                <w:szCs w:val="22"/>
              </w:rPr>
              <w:t>8</w:t>
            </w:r>
          </w:p>
          <w:p w:rsidR="00A723BC" w:rsidRPr="002C494A" w:rsidRDefault="00A723BC" w:rsidP="009B331C">
            <w:pPr>
              <w:pStyle w:val="BodyText"/>
              <w:ind w:left="851" w:hanging="851"/>
              <w:jc w:val="both"/>
              <w:rPr>
                <w:rFonts w:cs="Arial"/>
                <w:b/>
                <w:bCs/>
                <w:szCs w:val="22"/>
              </w:rPr>
            </w:pPr>
            <w:r w:rsidRPr="002C494A">
              <w:rPr>
                <w:rFonts w:cs="Arial"/>
                <w:b/>
                <w:bCs/>
                <w:szCs w:val="22"/>
              </w:rPr>
              <w:t>Revised</w:t>
            </w:r>
          </w:p>
          <w:p w:rsidR="00A723BC" w:rsidRPr="002C494A" w:rsidRDefault="00A723BC" w:rsidP="009B331C">
            <w:pPr>
              <w:pStyle w:val="BodyText"/>
              <w:ind w:left="851" w:hanging="851"/>
              <w:jc w:val="both"/>
              <w:rPr>
                <w:rFonts w:cs="Arial"/>
                <w:b/>
                <w:bCs/>
                <w:szCs w:val="22"/>
              </w:rPr>
            </w:pPr>
            <w:r w:rsidRPr="002C494A">
              <w:rPr>
                <w:rFonts w:cs="Arial"/>
                <w:b/>
                <w:bCs/>
                <w:szCs w:val="22"/>
              </w:rPr>
              <w:t>Estimate</w:t>
            </w:r>
          </w:p>
        </w:tc>
      </w:tr>
      <w:tr w:rsidR="00A723BC" w:rsidRPr="002C494A" w:rsidTr="003F420A">
        <w:trPr>
          <w:trHeight w:val="267"/>
        </w:trPr>
        <w:tc>
          <w:tcPr>
            <w:tcW w:w="3066" w:type="dxa"/>
          </w:tcPr>
          <w:p w:rsidR="00A723BC" w:rsidRPr="00CD4462" w:rsidRDefault="00A723BC" w:rsidP="009B331C">
            <w:pPr>
              <w:pStyle w:val="BodyText"/>
              <w:ind w:left="851" w:hanging="851"/>
              <w:jc w:val="both"/>
              <w:rPr>
                <w:rFonts w:cs="Arial"/>
                <w:b/>
                <w:szCs w:val="22"/>
              </w:rPr>
            </w:pPr>
            <w:r w:rsidRPr="00CD4462">
              <w:rPr>
                <w:rFonts w:cs="Arial"/>
                <w:b/>
                <w:bCs/>
                <w:szCs w:val="22"/>
              </w:rPr>
              <w:t>Capital Financing Requirement</w:t>
            </w:r>
          </w:p>
        </w:tc>
        <w:tc>
          <w:tcPr>
            <w:tcW w:w="1682" w:type="dxa"/>
          </w:tcPr>
          <w:p w:rsidR="00A723BC" w:rsidRPr="00CD4462" w:rsidRDefault="00A723BC" w:rsidP="009B331C">
            <w:pPr>
              <w:pStyle w:val="BodyText"/>
              <w:ind w:left="851" w:hanging="851"/>
              <w:jc w:val="both"/>
              <w:rPr>
                <w:rFonts w:cs="Arial"/>
                <w:szCs w:val="22"/>
              </w:rPr>
            </w:pPr>
          </w:p>
          <w:p w:rsidR="00A723BC" w:rsidRPr="00CD4462" w:rsidRDefault="00CD4462" w:rsidP="009B331C">
            <w:pPr>
              <w:pStyle w:val="BodyText"/>
              <w:ind w:left="851" w:hanging="851"/>
              <w:jc w:val="both"/>
              <w:rPr>
                <w:rFonts w:cs="Arial"/>
                <w:szCs w:val="22"/>
              </w:rPr>
            </w:pPr>
            <w:r w:rsidRPr="00CD4462">
              <w:rPr>
                <w:rFonts w:cs="Arial"/>
                <w:szCs w:val="22"/>
              </w:rPr>
              <w:t>£4.7</w:t>
            </w:r>
            <w:r w:rsidR="00A723BC" w:rsidRPr="00CD4462">
              <w:rPr>
                <w:rFonts w:cs="Arial"/>
                <w:szCs w:val="22"/>
              </w:rPr>
              <w:t>m</w:t>
            </w:r>
          </w:p>
        </w:tc>
        <w:tc>
          <w:tcPr>
            <w:tcW w:w="1869" w:type="dxa"/>
            <w:tcBorders>
              <w:top w:val="single" w:sz="6" w:space="0" w:color="auto"/>
              <w:bottom w:val="single" w:sz="6" w:space="0" w:color="auto"/>
            </w:tcBorders>
            <w:shd w:val="clear" w:color="auto" w:fill="auto"/>
          </w:tcPr>
          <w:p w:rsidR="00A723BC" w:rsidRPr="00CD4462" w:rsidRDefault="00A723BC" w:rsidP="009B331C">
            <w:pPr>
              <w:pStyle w:val="BodyText"/>
              <w:ind w:left="851" w:hanging="851"/>
              <w:jc w:val="both"/>
              <w:rPr>
                <w:rFonts w:cs="Arial"/>
                <w:szCs w:val="22"/>
              </w:rPr>
            </w:pPr>
          </w:p>
          <w:p w:rsidR="00A723BC" w:rsidRPr="00CD4462" w:rsidRDefault="00A723BC" w:rsidP="009B331C">
            <w:pPr>
              <w:pStyle w:val="BodyText"/>
              <w:ind w:left="851" w:hanging="851"/>
              <w:jc w:val="both"/>
              <w:rPr>
                <w:rFonts w:cs="Arial"/>
                <w:szCs w:val="22"/>
              </w:rPr>
            </w:pPr>
            <w:r w:rsidRPr="00CD4462">
              <w:rPr>
                <w:rFonts w:cs="Arial"/>
                <w:szCs w:val="22"/>
              </w:rPr>
              <w:t>£0</w:t>
            </w:r>
            <w:r w:rsidR="00CD4462" w:rsidRPr="00CD4462">
              <w:rPr>
                <w:rFonts w:cs="Arial"/>
                <w:szCs w:val="22"/>
              </w:rPr>
              <w:t>.0</w:t>
            </w:r>
            <w:r w:rsidRPr="00CD4462">
              <w:rPr>
                <w:rFonts w:cs="Arial"/>
                <w:szCs w:val="22"/>
              </w:rPr>
              <w:t>m</w:t>
            </w:r>
          </w:p>
        </w:tc>
        <w:tc>
          <w:tcPr>
            <w:tcW w:w="1591" w:type="dxa"/>
          </w:tcPr>
          <w:p w:rsidR="00A723BC" w:rsidRPr="00CD4462" w:rsidRDefault="00A723BC" w:rsidP="009B331C">
            <w:pPr>
              <w:pStyle w:val="BodyText"/>
              <w:ind w:left="851" w:hanging="851"/>
              <w:jc w:val="both"/>
              <w:rPr>
                <w:rFonts w:cs="Arial"/>
                <w:szCs w:val="22"/>
              </w:rPr>
            </w:pPr>
          </w:p>
          <w:p w:rsidR="00A723BC" w:rsidRPr="00CD4462" w:rsidRDefault="00CD4462" w:rsidP="009B331C">
            <w:pPr>
              <w:pStyle w:val="BodyText"/>
              <w:ind w:left="851" w:hanging="851"/>
              <w:jc w:val="both"/>
              <w:rPr>
                <w:rFonts w:cs="Arial"/>
                <w:szCs w:val="22"/>
              </w:rPr>
            </w:pPr>
            <w:r w:rsidRPr="00CD4462">
              <w:rPr>
                <w:rFonts w:cs="Arial"/>
                <w:szCs w:val="22"/>
              </w:rPr>
              <w:t>£4.7</w:t>
            </w:r>
            <w:r w:rsidR="00A723BC" w:rsidRPr="00CD4462">
              <w:rPr>
                <w:rFonts w:cs="Arial"/>
                <w:szCs w:val="22"/>
              </w:rPr>
              <w:t>m</w:t>
            </w:r>
          </w:p>
        </w:tc>
      </w:tr>
      <w:tr w:rsidR="00A723BC" w:rsidRPr="002C494A" w:rsidTr="003F420A">
        <w:trPr>
          <w:trHeight w:val="283"/>
        </w:trPr>
        <w:tc>
          <w:tcPr>
            <w:tcW w:w="8208" w:type="dxa"/>
            <w:gridSpan w:val="4"/>
          </w:tcPr>
          <w:p w:rsidR="00A723BC" w:rsidRPr="002F0DD8" w:rsidRDefault="00A723BC" w:rsidP="009B331C">
            <w:pPr>
              <w:pStyle w:val="BodyText"/>
              <w:ind w:left="851" w:hanging="851"/>
              <w:jc w:val="both"/>
              <w:rPr>
                <w:rFonts w:cs="Arial"/>
                <w:szCs w:val="22"/>
              </w:rPr>
            </w:pPr>
            <w:r w:rsidRPr="002F0DD8">
              <w:rPr>
                <w:rFonts w:cs="Arial"/>
                <w:b/>
                <w:bCs/>
                <w:szCs w:val="22"/>
              </w:rPr>
              <w:t>External Debt / the Operational Boundary</w:t>
            </w:r>
          </w:p>
        </w:tc>
      </w:tr>
      <w:tr w:rsidR="00A723BC" w:rsidRPr="002C494A" w:rsidTr="003F631D">
        <w:trPr>
          <w:trHeight w:val="65"/>
        </w:trPr>
        <w:tc>
          <w:tcPr>
            <w:tcW w:w="3066" w:type="dxa"/>
          </w:tcPr>
          <w:p w:rsidR="00A723BC" w:rsidRPr="002F0DD8" w:rsidRDefault="00A723BC" w:rsidP="009B331C">
            <w:pPr>
              <w:ind w:left="851" w:hanging="851"/>
              <w:jc w:val="both"/>
              <w:rPr>
                <w:rFonts w:cs="Arial"/>
                <w:sz w:val="22"/>
                <w:szCs w:val="22"/>
              </w:rPr>
            </w:pPr>
          </w:p>
        </w:tc>
        <w:tc>
          <w:tcPr>
            <w:tcW w:w="1682" w:type="dxa"/>
          </w:tcPr>
          <w:p w:rsidR="00A723BC" w:rsidRPr="002F0DD8" w:rsidRDefault="00A723BC" w:rsidP="009B331C">
            <w:pPr>
              <w:pStyle w:val="BodyText"/>
              <w:ind w:left="851" w:hanging="851"/>
              <w:jc w:val="both"/>
              <w:rPr>
                <w:rFonts w:cs="Arial"/>
                <w:szCs w:val="22"/>
              </w:rPr>
            </w:pPr>
          </w:p>
        </w:tc>
        <w:tc>
          <w:tcPr>
            <w:tcW w:w="1869" w:type="dxa"/>
          </w:tcPr>
          <w:p w:rsidR="00A723BC" w:rsidRPr="002F0DD8" w:rsidRDefault="00A723BC" w:rsidP="009B331C">
            <w:pPr>
              <w:pStyle w:val="BodyText"/>
              <w:ind w:left="851" w:hanging="851"/>
              <w:jc w:val="both"/>
              <w:rPr>
                <w:rFonts w:cs="Arial"/>
                <w:szCs w:val="22"/>
              </w:rPr>
            </w:pPr>
          </w:p>
        </w:tc>
        <w:tc>
          <w:tcPr>
            <w:tcW w:w="1591" w:type="dxa"/>
          </w:tcPr>
          <w:p w:rsidR="00A723BC" w:rsidRPr="002F0DD8" w:rsidRDefault="00A723BC" w:rsidP="009B331C">
            <w:pPr>
              <w:pStyle w:val="BodyText"/>
              <w:ind w:left="851" w:hanging="851"/>
              <w:jc w:val="both"/>
              <w:rPr>
                <w:rFonts w:cs="Arial"/>
                <w:szCs w:val="22"/>
              </w:rPr>
            </w:pPr>
          </w:p>
        </w:tc>
      </w:tr>
      <w:tr w:rsidR="00A723BC" w:rsidRPr="002C494A" w:rsidTr="003F631D">
        <w:trPr>
          <w:trHeight w:val="83"/>
        </w:trPr>
        <w:tc>
          <w:tcPr>
            <w:tcW w:w="3066" w:type="dxa"/>
          </w:tcPr>
          <w:p w:rsidR="00A723BC" w:rsidRPr="002F0DD8" w:rsidRDefault="00A723BC" w:rsidP="009B331C">
            <w:pPr>
              <w:ind w:left="851" w:hanging="851"/>
              <w:jc w:val="both"/>
              <w:rPr>
                <w:rFonts w:cs="Arial"/>
                <w:sz w:val="22"/>
                <w:szCs w:val="22"/>
              </w:rPr>
            </w:pPr>
            <w:r w:rsidRPr="002F0DD8">
              <w:rPr>
                <w:rFonts w:cs="Arial"/>
                <w:sz w:val="22"/>
                <w:szCs w:val="22"/>
              </w:rPr>
              <w:t>Borrowing</w:t>
            </w:r>
          </w:p>
        </w:tc>
        <w:tc>
          <w:tcPr>
            <w:tcW w:w="1682" w:type="dxa"/>
          </w:tcPr>
          <w:p w:rsidR="00A723BC" w:rsidRPr="002F0DD8" w:rsidRDefault="003F631D" w:rsidP="009B331C">
            <w:pPr>
              <w:pStyle w:val="BodyText"/>
              <w:ind w:left="851" w:hanging="851"/>
              <w:jc w:val="both"/>
              <w:rPr>
                <w:rFonts w:cs="Arial"/>
                <w:szCs w:val="22"/>
              </w:rPr>
            </w:pPr>
            <w:r w:rsidRPr="002F0DD8">
              <w:rPr>
                <w:rFonts w:cs="Arial"/>
                <w:szCs w:val="22"/>
              </w:rPr>
              <w:t>£10</w:t>
            </w:r>
            <w:r w:rsidR="00144542" w:rsidRPr="002F0DD8">
              <w:rPr>
                <w:rFonts w:cs="Arial"/>
                <w:szCs w:val="22"/>
              </w:rPr>
              <w:t>m</w:t>
            </w:r>
          </w:p>
        </w:tc>
        <w:tc>
          <w:tcPr>
            <w:tcW w:w="1869" w:type="dxa"/>
          </w:tcPr>
          <w:p w:rsidR="00A723BC" w:rsidRPr="002F0DD8" w:rsidRDefault="002A0A99" w:rsidP="009B331C">
            <w:pPr>
              <w:pStyle w:val="BodyText"/>
              <w:ind w:left="851" w:hanging="851"/>
              <w:jc w:val="both"/>
              <w:rPr>
                <w:rFonts w:cs="Arial"/>
                <w:szCs w:val="22"/>
              </w:rPr>
            </w:pPr>
            <w:r w:rsidRPr="002F0DD8">
              <w:rPr>
                <w:rFonts w:cs="Arial"/>
                <w:szCs w:val="22"/>
              </w:rPr>
              <w:t>£</w:t>
            </w:r>
            <w:r w:rsidR="003F631D" w:rsidRPr="002F0DD8">
              <w:rPr>
                <w:rFonts w:cs="Arial"/>
                <w:szCs w:val="22"/>
              </w:rPr>
              <w:t>0</w:t>
            </w:r>
            <w:r w:rsidRPr="002F0DD8">
              <w:rPr>
                <w:rFonts w:cs="Arial"/>
                <w:szCs w:val="22"/>
              </w:rPr>
              <w:t>m</w:t>
            </w:r>
          </w:p>
        </w:tc>
        <w:tc>
          <w:tcPr>
            <w:tcW w:w="1591" w:type="dxa"/>
          </w:tcPr>
          <w:p w:rsidR="00A723BC" w:rsidRPr="002F0DD8" w:rsidRDefault="003F631D" w:rsidP="009B331C">
            <w:pPr>
              <w:pStyle w:val="BodyText"/>
              <w:ind w:left="851" w:hanging="851"/>
              <w:jc w:val="both"/>
              <w:rPr>
                <w:rFonts w:cs="Arial"/>
                <w:szCs w:val="22"/>
              </w:rPr>
            </w:pPr>
            <w:r w:rsidRPr="002F0DD8">
              <w:rPr>
                <w:rFonts w:cs="Arial"/>
                <w:szCs w:val="22"/>
              </w:rPr>
              <w:t>£10m</w:t>
            </w:r>
          </w:p>
        </w:tc>
      </w:tr>
    </w:tbl>
    <w:p w:rsidR="00A723BC" w:rsidRPr="002C494A" w:rsidRDefault="00A723BC" w:rsidP="009B331C">
      <w:pPr>
        <w:pStyle w:val="BodyText"/>
        <w:ind w:left="851" w:hanging="851"/>
        <w:jc w:val="both"/>
        <w:rPr>
          <w:rFonts w:cs="Arial"/>
          <w:b/>
          <w:bCs/>
          <w:szCs w:val="22"/>
        </w:rPr>
      </w:pPr>
    </w:p>
    <w:p w:rsidR="00A723BC" w:rsidRPr="002C494A" w:rsidRDefault="00A723BC"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3F420A" w:rsidRPr="002C494A" w:rsidRDefault="003F420A" w:rsidP="009B331C">
      <w:pPr>
        <w:pStyle w:val="BodyText"/>
        <w:ind w:left="851" w:hanging="851"/>
        <w:jc w:val="both"/>
        <w:rPr>
          <w:rFonts w:cs="Arial"/>
          <w:b/>
          <w:bCs/>
          <w:szCs w:val="22"/>
        </w:rPr>
      </w:pPr>
    </w:p>
    <w:p w:rsidR="00851E27" w:rsidRPr="002C494A" w:rsidRDefault="00851E27" w:rsidP="009B331C">
      <w:pPr>
        <w:tabs>
          <w:tab w:val="num" w:pos="709"/>
        </w:tabs>
        <w:ind w:left="851" w:hanging="851"/>
        <w:jc w:val="both"/>
        <w:rPr>
          <w:rFonts w:cs="Arial"/>
          <w:sz w:val="22"/>
          <w:szCs w:val="22"/>
        </w:rPr>
      </w:pPr>
    </w:p>
    <w:p w:rsidR="006F33CC" w:rsidRPr="002C494A" w:rsidRDefault="006F33CC" w:rsidP="009B331C">
      <w:pPr>
        <w:tabs>
          <w:tab w:val="num" w:pos="709"/>
        </w:tabs>
        <w:ind w:left="851" w:hanging="851"/>
        <w:jc w:val="both"/>
        <w:rPr>
          <w:rFonts w:cs="Arial"/>
          <w:sz w:val="22"/>
          <w:szCs w:val="22"/>
        </w:rPr>
      </w:pPr>
    </w:p>
    <w:p w:rsidR="00A723BC" w:rsidRPr="002C494A" w:rsidRDefault="003F420A" w:rsidP="009B331C">
      <w:pPr>
        <w:tabs>
          <w:tab w:val="num" w:pos="709"/>
        </w:tabs>
        <w:ind w:left="851" w:hanging="851"/>
        <w:jc w:val="both"/>
        <w:rPr>
          <w:rFonts w:cs="Arial"/>
          <w:bCs/>
          <w:i/>
          <w:sz w:val="22"/>
          <w:szCs w:val="22"/>
        </w:rPr>
      </w:pPr>
      <w:r w:rsidRPr="002C494A">
        <w:rPr>
          <w:rFonts w:cs="Arial"/>
          <w:sz w:val="22"/>
          <w:szCs w:val="22"/>
        </w:rPr>
        <w:t>2.</w:t>
      </w:r>
      <w:r w:rsidR="00B545C9">
        <w:rPr>
          <w:rFonts w:cs="Arial"/>
          <w:sz w:val="22"/>
          <w:szCs w:val="22"/>
        </w:rPr>
        <w:t>7</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A723BC" w:rsidRPr="002C494A">
        <w:rPr>
          <w:rFonts w:cs="Arial"/>
          <w:bCs/>
          <w:i/>
          <w:sz w:val="22"/>
          <w:szCs w:val="22"/>
        </w:rPr>
        <w:t>Limits to Borrowing Activity</w:t>
      </w:r>
    </w:p>
    <w:p w:rsidR="003F420A" w:rsidRPr="002C494A" w:rsidRDefault="003F420A" w:rsidP="009B331C">
      <w:pPr>
        <w:tabs>
          <w:tab w:val="num" w:pos="709"/>
        </w:tabs>
        <w:ind w:left="851" w:hanging="851"/>
        <w:jc w:val="both"/>
        <w:rPr>
          <w:rFonts w:cs="Arial"/>
          <w:bCs/>
          <w:sz w:val="22"/>
          <w:szCs w:val="22"/>
        </w:rPr>
      </w:pPr>
    </w:p>
    <w:p w:rsidR="00A723BC" w:rsidRPr="002C494A" w:rsidRDefault="003F420A" w:rsidP="009B331C">
      <w:pPr>
        <w:tabs>
          <w:tab w:val="num" w:pos="709"/>
        </w:tabs>
        <w:ind w:left="851" w:hanging="851"/>
        <w:jc w:val="both"/>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A723BC" w:rsidRPr="002C494A">
        <w:rPr>
          <w:rFonts w:cs="Arial"/>
          <w:sz w:val="22"/>
          <w:szCs w:val="22"/>
        </w:rPr>
        <w:t xml:space="preserve">The first key control over the treasury activity is a Performance Indicator (PI) to ensure that over the medium term, net borrowing (borrowings less investments) will only be for a capital purpose.  Gross external borrowing should not, except in the short term, exceed the total of CFR in the preceding year plus the estimates of any additional CFR for </w:t>
      </w:r>
      <w:r w:rsidR="00B545C9">
        <w:rPr>
          <w:rFonts w:cs="Arial"/>
          <w:sz w:val="22"/>
          <w:szCs w:val="22"/>
        </w:rPr>
        <w:t>2017</w:t>
      </w:r>
      <w:r w:rsidR="00C21C08" w:rsidRPr="002C494A">
        <w:rPr>
          <w:rFonts w:cs="Arial"/>
          <w:sz w:val="22"/>
          <w:szCs w:val="22"/>
        </w:rPr>
        <w:t>/1</w:t>
      </w:r>
      <w:r w:rsidR="00B545C9">
        <w:rPr>
          <w:rFonts w:cs="Arial"/>
          <w:sz w:val="22"/>
          <w:szCs w:val="22"/>
        </w:rPr>
        <w:t>8</w:t>
      </w:r>
      <w:r w:rsidR="00A723BC" w:rsidRPr="002C494A">
        <w:rPr>
          <w:rFonts w:cs="Arial"/>
          <w:sz w:val="22"/>
          <w:szCs w:val="22"/>
        </w:rPr>
        <w:t xml:space="preserve"> and next two financial years. This allows some flexibility for limited early borrowing for future years.  The Council has approved a policy for borrowing in advance of need which will be adhered to if this proves prudent.  </w:t>
      </w:r>
    </w:p>
    <w:p w:rsidR="003F420A" w:rsidRPr="002C494A" w:rsidRDefault="003F420A" w:rsidP="009B331C">
      <w:pPr>
        <w:tabs>
          <w:tab w:val="num" w:pos="709"/>
        </w:tabs>
        <w:ind w:left="851" w:hanging="851"/>
        <w:jc w:val="both"/>
        <w:rPr>
          <w:rFonts w:cs="Arial"/>
          <w:sz w:val="22"/>
          <w:szCs w:val="22"/>
        </w:rPr>
      </w:pPr>
    </w:p>
    <w:p w:rsidR="00A723BC" w:rsidRPr="002C494A" w:rsidRDefault="00B545C9" w:rsidP="009B331C">
      <w:pPr>
        <w:tabs>
          <w:tab w:val="num" w:pos="709"/>
        </w:tabs>
        <w:ind w:left="851" w:hanging="851"/>
        <w:jc w:val="both"/>
        <w:rPr>
          <w:rFonts w:cs="Arial"/>
          <w:sz w:val="22"/>
          <w:szCs w:val="22"/>
        </w:rPr>
      </w:pPr>
      <w:r>
        <w:rPr>
          <w:rFonts w:cs="Arial"/>
          <w:sz w:val="22"/>
          <w:szCs w:val="22"/>
        </w:rPr>
        <w:t>2.8</w:t>
      </w:r>
      <w:r w:rsidR="003F420A" w:rsidRPr="002C494A">
        <w:rPr>
          <w:rFonts w:cs="Arial"/>
          <w:sz w:val="22"/>
          <w:szCs w:val="22"/>
        </w:rPr>
        <w:tab/>
      </w:r>
      <w:r w:rsidR="003F420A" w:rsidRPr="002C494A">
        <w:rPr>
          <w:rFonts w:cs="Arial"/>
          <w:sz w:val="22"/>
          <w:szCs w:val="22"/>
        </w:rPr>
        <w:fldChar w:fldCharType="begin"/>
      </w:r>
      <w:r w:rsidR="003F420A" w:rsidRPr="002C494A">
        <w:rPr>
          <w:rFonts w:cs="Arial"/>
          <w:sz w:val="22"/>
          <w:szCs w:val="22"/>
        </w:rPr>
        <w:instrText xml:space="preserve">  </w:instrText>
      </w:r>
      <w:r w:rsidR="003F420A" w:rsidRPr="002C494A">
        <w:rPr>
          <w:rFonts w:cs="Arial"/>
          <w:sz w:val="22"/>
          <w:szCs w:val="22"/>
        </w:rPr>
        <w:fldChar w:fldCharType="end"/>
      </w:r>
      <w:r w:rsidR="003F420A" w:rsidRPr="002C494A">
        <w:rPr>
          <w:rFonts w:cs="Arial"/>
          <w:noProof/>
          <w:sz w:val="22"/>
          <w:szCs w:val="22"/>
        </w:rPr>
        <w:t xml:space="preserve"> </w:t>
      </w:r>
      <w:r w:rsidR="003F420A" w:rsidRPr="002C494A">
        <w:rPr>
          <w:rFonts w:cs="Arial"/>
          <w:noProof/>
          <w:sz w:val="22"/>
          <w:szCs w:val="22"/>
        </w:rPr>
        <w:tab/>
      </w:r>
      <w:r w:rsidR="00A723BC" w:rsidRPr="002C494A">
        <w:rPr>
          <w:rFonts w:cs="Arial"/>
          <w:i/>
          <w:sz w:val="22"/>
          <w:szCs w:val="22"/>
        </w:rPr>
        <w:t>The Authorised Limit</w:t>
      </w:r>
      <w:r w:rsidR="00A723BC" w:rsidRPr="002C494A">
        <w:rPr>
          <w:rFonts w:cs="Arial"/>
          <w:sz w:val="22"/>
          <w:szCs w:val="22"/>
        </w:rPr>
        <w:t xml:space="preserve"> </w:t>
      </w:r>
    </w:p>
    <w:p w:rsidR="003F420A" w:rsidRPr="002C494A" w:rsidRDefault="003F420A" w:rsidP="009B331C">
      <w:pPr>
        <w:tabs>
          <w:tab w:val="num" w:pos="709"/>
        </w:tabs>
        <w:ind w:left="851" w:hanging="851"/>
        <w:jc w:val="both"/>
        <w:rPr>
          <w:rFonts w:cs="Arial"/>
          <w:sz w:val="22"/>
          <w:szCs w:val="22"/>
        </w:rPr>
      </w:pPr>
    </w:p>
    <w:p w:rsidR="00A723BC" w:rsidRPr="002C494A" w:rsidRDefault="003F420A" w:rsidP="009B331C">
      <w:pPr>
        <w:tabs>
          <w:tab w:val="num" w:pos="709"/>
        </w:tabs>
        <w:ind w:left="851" w:hanging="851"/>
        <w:jc w:val="both"/>
        <w:rPr>
          <w:rFonts w:cs="Arial"/>
          <w:b/>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A723BC" w:rsidRPr="002C494A">
        <w:rPr>
          <w:rFonts w:cs="Arial"/>
          <w:sz w:val="22"/>
          <w:szCs w:val="22"/>
        </w:rPr>
        <w:t xml:space="preserve">This PI, which is required to be set and revised by Members, controls the overall level of borrowing and represents the limit beyond which borrowing is prohibited.  It reflects the level of borrowing which, while not desired, could be afforded in the short term, but is not sustainable in the longer term.  It is the expected maximum borrowing need with some headroom for unexpected movements. </w:t>
      </w:r>
      <w:r w:rsidR="00A723BC" w:rsidRPr="002C494A">
        <w:rPr>
          <w:rFonts w:cs="Arial"/>
          <w:iCs/>
          <w:sz w:val="22"/>
          <w:szCs w:val="22"/>
        </w:rPr>
        <w:t>This is the statutory limit determined under</w:t>
      </w:r>
      <w:r w:rsidR="00A723BC" w:rsidRPr="002C494A">
        <w:rPr>
          <w:rFonts w:cs="Arial"/>
          <w:i/>
          <w:iCs/>
          <w:sz w:val="22"/>
          <w:szCs w:val="22"/>
        </w:rPr>
        <w:t xml:space="preserve"> </w:t>
      </w:r>
      <w:r w:rsidR="00A723BC" w:rsidRPr="002C494A">
        <w:rPr>
          <w:rFonts w:cs="Arial"/>
          <w:iCs/>
          <w:sz w:val="22"/>
          <w:szCs w:val="22"/>
        </w:rPr>
        <w:t>section 3 (1) of the Local Government Act 2003.</w:t>
      </w:r>
      <w:r w:rsidR="00A723BC" w:rsidRPr="002C494A">
        <w:rPr>
          <w:rFonts w:cs="Arial"/>
          <w:i/>
          <w:iCs/>
          <w:sz w:val="22"/>
          <w:szCs w:val="22"/>
        </w:rPr>
        <w:t xml:space="preserve"> </w:t>
      </w:r>
    </w:p>
    <w:p w:rsidR="00926095" w:rsidRPr="002C494A" w:rsidRDefault="00926095" w:rsidP="00851E27">
      <w:pPr>
        <w:autoSpaceDE w:val="0"/>
        <w:autoSpaceDN w:val="0"/>
        <w:adjustRightInd w:val="0"/>
        <w:ind w:left="851" w:hanging="851"/>
        <w:rPr>
          <w:rFonts w:cs="Arial"/>
          <w:i/>
          <w:iCs/>
          <w:sz w:val="22"/>
          <w:szCs w:val="22"/>
        </w:rPr>
      </w:pPr>
    </w:p>
    <w:tbl>
      <w:tblPr>
        <w:tblpPr w:leftFromText="180" w:rightFromText="180" w:vertAnchor="text" w:horzAnchor="margin" w:tblpXSpec="right" w:tblpY="94"/>
        <w:tblW w:w="799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24"/>
        <w:gridCol w:w="1620"/>
        <w:gridCol w:w="1800"/>
        <w:gridCol w:w="2052"/>
      </w:tblGrid>
      <w:tr w:rsidR="00A723BC" w:rsidRPr="002C494A" w:rsidTr="0028593C">
        <w:trPr>
          <w:trHeight w:val="858"/>
        </w:trPr>
        <w:tc>
          <w:tcPr>
            <w:tcW w:w="2524" w:type="dxa"/>
            <w:tcBorders>
              <w:top w:val="single" w:sz="18" w:space="0" w:color="auto"/>
              <w:bottom w:val="single" w:sz="6" w:space="0" w:color="auto"/>
            </w:tcBorders>
            <w:shd w:val="clear" w:color="auto" w:fill="B3B3B3"/>
            <w:vAlign w:val="bottom"/>
          </w:tcPr>
          <w:p w:rsidR="00A723BC" w:rsidRPr="002C494A" w:rsidRDefault="00A723BC" w:rsidP="00851E27">
            <w:pPr>
              <w:pStyle w:val="BodyText"/>
              <w:ind w:left="851" w:hanging="851"/>
              <w:rPr>
                <w:rFonts w:cs="Arial"/>
                <w:b/>
                <w:bCs/>
                <w:szCs w:val="22"/>
              </w:rPr>
            </w:pPr>
            <w:r w:rsidRPr="002C494A">
              <w:rPr>
                <w:rFonts w:cs="Arial"/>
                <w:b/>
                <w:bCs/>
                <w:szCs w:val="22"/>
              </w:rPr>
              <w:t>Authorised Limit For</w:t>
            </w:r>
          </w:p>
          <w:p w:rsidR="00A723BC" w:rsidRPr="002C494A" w:rsidRDefault="00A723BC" w:rsidP="00851E27">
            <w:pPr>
              <w:pStyle w:val="BodyText"/>
              <w:tabs>
                <w:tab w:val="left" w:pos="649"/>
              </w:tabs>
              <w:ind w:left="851" w:hanging="851"/>
              <w:rPr>
                <w:rFonts w:cs="Arial"/>
                <w:b/>
                <w:bCs/>
                <w:szCs w:val="22"/>
              </w:rPr>
            </w:pPr>
            <w:r w:rsidRPr="002C494A">
              <w:rPr>
                <w:rFonts w:cs="Arial"/>
                <w:b/>
                <w:bCs/>
                <w:szCs w:val="22"/>
              </w:rPr>
              <w:t xml:space="preserve"> External Debt</w:t>
            </w:r>
          </w:p>
          <w:p w:rsidR="00A723BC" w:rsidRPr="002C494A" w:rsidRDefault="00A723BC" w:rsidP="00851E27">
            <w:pPr>
              <w:pStyle w:val="BodyText"/>
              <w:ind w:left="851" w:hanging="851"/>
              <w:rPr>
                <w:rFonts w:cs="Arial"/>
                <w:szCs w:val="22"/>
              </w:rPr>
            </w:pPr>
          </w:p>
        </w:tc>
        <w:tc>
          <w:tcPr>
            <w:tcW w:w="1620" w:type="dxa"/>
            <w:tcBorders>
              <w:top w:val="single" w:sz="18" w:space="0" w:color="auto"/>
              <w:bottom w:val="single" w:sz="6" w:space="0" w:color="auto"/>
            </w:tcBorders>
            <w:shd w:val="clear" w:color="auto" w:fill="B3B3B3"/>
          </w:tcPr>
          <w:p w:rsidR="00A723BC" w:rsidRPr="002C494A" w:rsidRDefault="00B545C9" w:rsidP="00851E27">
            <w:pPr>
              <w:pStyle w:val="BodyText"/>
              <w:ind w:left="851" w:hanging="851"/>
              <w:rPr>
                <w:rFonts w:cs="Arial"/>
                <w:b/>
                <w:bCs/>
                <w:szCs w:val="22"/>
              </w:rPr>
            </w:pPr>
            <w:r>
              <w:rPr>
                <w:rFonts w:cs="Arial"/>
                <w:b/>
                <w:bCs/>
                <w:szCs w:val="22"/>
              </w:rPr>
              <w:t>2017</w:t>
            </w:r>
            <w:r w:rsidR="00C21C08" w:rsidRPr="002C494A">
              <w:rPr>
                <w:rFonts w:cs="Arial"/>
                <w:b/>
                <w:bCs/>
                <w:szCs w:val="22"/>
              </w:rPr>
              <w:t>/1</w:t>
            </w:r>
            <w:r>
              <w:rPr>
                <w:rFonts w:cs="Arial"/>
                <w:b/>
                <w:bCs/>
                <w:szCs w:val="22"/>
              </w:rPr>
              <w:t>8</w:t>
            </w:r>
          </w:p>
          <w:p w:rsidR="00A723BC" w:rsidRPr="002C494A" w:rsidRDefault="00A723BC" w:rsidP="00851E27">
            <w:pPr>
              <w:pStyle w:val="BodyText"/>
              <w:ind w:left="851" w:hanging="851"/>
              <w:rPr>
                <w:rFonts w:cs="Arial"/>
                <w:b/>
                <w:bCs/>
                <w:szCs w:val="22"/>
              </w:rPr>
            </w:pPr>
            <w:r w:rsidRPr="002C494A">
              <w:rPr>
                <w:rFonts w:cs="Arial"/>
                <w:b/>
                <w:bCs/>
                <w:szCs w:val="22"/>
              </w:rPr>
              <w:t>Original</w:t>
            </w:r>
          </w:p>
          <w:p w:rsidR="00A723BC" w:rsidRPr="002C494A" w:rsidRDefault="00A723BC" w:rsidP="00851E27">
            <w:pPr>
              <w:pStyle w:val="BodyText"/>
              <w:ind w:left="851" w:hanging="851"/>
              <w:rPr>
                <w:rFonts w:cs="Arial"/>
                <w:b/>
                <w:bCs/>
                <w:szCs w:val="22"/>
              </w:rPr>
            </w:pPr>
            <w:r w:rsidRPr="002C494A">
              <w:rPr>
                <w:rFonts w:cs="Arial"/>
                <w:b/>
                <w:bCs/>
                <w:szCs w:val="22"/>
              </w:rPr>
              <w:t>Indicator</w:t>
            </w:r>
          </w:p>
        </w:tc>
        <w:tc>
          <w:tcPr>
            <w:tcW w:w="1800" w:type="dxa"/>
            <w:tcBorders>
              <w:top w:val="single" w:sz="18" w:space="0" w:color="auto"/>
              <w:bottom w:val="single" w:sz="6" w:space="0" w:color="auto"/>
            </w:tcBorders>
            <w:shd w:val="clear" w:color="auto" w:fill="B3B3B3"/>
          </w:tcPr>
          <w:p w:rsidR="00A723BC" w:rsidRPr="002C494A" w:rsidRDefault="00A723BC" w:rsidP="00851E27">
            <w:pPr>
              <w:pStyle w:val="BodyText"/>
              <w:ind w:left="851" w:hanging="851"/>
              <w:rPr>
                <w:rFonts w:cs="Arial"/>
                <w:b/>
                <w:bCs/>
                <w:szCs w:val="22"/>
              </w:rPr>
            </w:pPr>
            <w:r w:rsidRPr="002C494A">
              <w:rPr>
                <w:rFonts w:cs="Arial"/>
                <w:b/>
                <w:bCs/>
                <w:szCs w:val="22"/>
              </w:rPr>
              <w:t xml:space="preserve">Current </w:t>
            </w:r>
          </w:p>
          <w:p w:rsidR="00471A49" w:rsidRDefault="00471A49" w:rsidP="00851E27">
            <w:pPr>
              <w:pStyle w:val="BodyText"/>
              <w:ind w:left="851" w:hanging="851"/>
              <w:rPr>
                <w:rFonts w:cs="Arial"/>
                <w:b/>
                <w:bCs/>
                <w:szCs w:val="22"/>
              </w:rPr>
            </w:pPr>
            <w:r>
              <w:rPr>
                <w:rFonts w:cs="Arial"/>
                <w:b/>
                <w:bCs/>
                <w:szCs w:val="22"/>
              </w:rPr>
              <w:t>Borrowing</w:t>
            </w:r>
          </w:p>
          <w:p w:rsidR="00A723BC" w:rsidRPr="002C494A" w:rsidRDefault="00A723BC" w:rsidP="00851E27">
            <w:pPr>
              <w:pStyle w:val="BodyText"/>
              <w:ind w:left="851" w:hanging="851"/>
              <w:rPr>
                <w:rFonts w:cs="Arial"/>
                <w:b/>
                <w:bCs/>
                <w:szCs w:val="22"/>
              </w:rPr>
            </w:pPr>
            <w:r w:rsidRPr="002C494A">
              <w:rPr>
                <w:rFonts w:cs="Arial"/>
                <w:b/>
                <w:bCs/>
                <w:szCs w:val="22"/>
              </w:rPr>
              <w:t>Position</w:t>
            </w:r>
          </w:p>
        </w:tc>
        <w:tc>
          <w:tcPr>
            <w:tcW w:w="2052" w:type="dxa"/>
            <w:tcBorders>
              <w:top w:val="single" w:sz="18" w:space="0" w:color="auto"/>
              <w:bottom w:val="single" w:sz="6" w:space="0" w:color="auto"/>
            </w:tcBorders>
            <w:shd w:val="clear" w:color="auto" w:fill="B3B3B3"/>
          </w:tcPr>
          <w:p w:rsidR="00A723BC" w:rsidRPr="002C494A" w:rsidRDefault="00C21C08" w:rsidP="00851E27">
            <w:pPr>
              <w:pStyle w:val="BodyText"/>
              <w:ind w:left="851" w:hanging="851"/>
              <w:rPr>
                <w:rFonts w:cs="Arial"/>
                <w:b/>
                <w:bCs/>
                <w:szCs w:val="22"/>
              </w:rPr>
            </w:pPr>
            <w:r w:rsidRPr="002C494A">
              <w:rPr>
                <w:rFonts w:cs="Arial"/>
                <w:b/>
                <w:bCs/>
                <w:szCs w:val="22"/>
              </w:rPr>
              <w:t>201</w:t>
            </w:r>
            <w:r w:rsidR="00B545C9">
              <w:rPr>
                <w:rFonts w:cs="Arial"/>
                <w:b/>
                <w:bCs/>
                <w:szCs w:val="22"/>
              </w:rPr>
              <w:t>7</w:t>
            </w:r>
            <w:r w:rsidRPr="002C494A">
              <w:rPr>
                <w:rFonts w:cs="Arial"/>
                <w:b/>
                <w:bCs/>
                <w:szCs w:val="22"/>
              </w:rPr>
              <w:t>/1</w:t>
            </w:r>
            <w:r w:rsidR="00B545C9">
              <w:rPr>
                <w:rFonts w:cs="Arial"/>
                <w:b/>
                <w:bCs/>
                <w:szCs w:val="22"/>
              </w:rPr>
              <w:t>8</w:t>
            </w:r>
          </w:p>
          <w:p w:rsidR="00A723BC" w:rsidRPr="002C494A" w:rsidRDefault="00A723BC" w:rsidP="00851E27">
            <w:pPr>
              <w:pStyle w:val="BodyText"/>
              <w:ind w:left="851" w:hanging="851"/>
              <w:rPr>
                <w:rFonts w:cs="Arial"/>
                <w:b/>
                <w:bCs/>
                <w:szCs w:val="22"/>
              </w:rPr>
            </w:pPr>
            <w:r w:rsidRPr="002C494A">
              <w:rPr>
                <w:rFonts w:cs="Arial"/>
                <w:b/>
                <w:bCs/>
                <w:szCs w:val="22"/>
              </w:rPr>
              <w:t>Revised</w:t>
            </w:r>
          </w:p>
          <w:p w:rsidR="00A723BC" w:rsidRPr="002C494A" w:rsidRDefault="00A723BC" w:rsidP="00851E27">
            <w:pPr>
              <w:pStyle w:val="BodyText"/>
              <w:ind w:left="851" w:hanging="851"/>
              <w:rPr>
                <w:rFonts w:cs="Arial"/>
                <w:b/>
                <w:bCs/>
                <w:szCs w:val="22"/>
              </w:rPr>
            </w:pPr>
            <w:r w:rsidRPr="002C494A">
              <w:rPr>
                <w:rFonts w:cs="Arial"/>
                <w:b/>
                <w:bCs/>
                <w:szCs w:val="22"/>
              </w:rPr>
              <w:t>Indicator</w:t>
            </w:r>
          </w:p>
        </w:tc>
      </w:tr>
      <w:tr w:rsidR="00A723BC" w:rsidRPr="002C494A" w:rsidTr="0028593C">
        <w:trPr>
          <w:trHeight w:val="339"/>
        </w:trPr>
        <w:tc>
          <w:tcPr>
            <w:tcW w:w="2524" w:type="dxa"/>
            <w:tcBorders>
              <w:top w:val="single" w:sz="6" w:space="0" w:color="auto"/>
            </w:tcBorders>
          </w:tcPr>
          <w:p w:rsidR="0055207B" w:rsidRPr="00471A49" w:rsidRDefault="0055207B" w:rsidP="00851E27">
            <w:pPr>
              <w:pStyle w:val="BodyText"/>
              <w:ind w:left="851" w:hanging="851"/>
              <w:rPr>
                <w:rFonts w:cs="Arial"/>
                <w:szCs w:val="22"/>
              </w:rPr>
            </w:pPr>
          </w:p>
          <w:p w:rsidR="00A723BC" w:rsidRPr="00471A49" w:rsidRDefault="00A723BC" w:rsidP="00851E27">
            <w:pPr>
              <w:pStyle w:val="BodyText"/>
              <w:ind w:left="851" w:hanging="851"/>
              <w:rPr>
                <w:rFonts w:cs="Arial"/>
                <w:szCs w:val="22"/>
              </w:rPr>
            </w:pPr>
            <w:r w:rsidRPr="00471A49">
              <w:rPr>
                <w:rFonts w:cs="Arial"/>
                <w:szCs w:val="22"/>
              </w:rPr>
              <w:t>Borrowing</w:t>
            </w:r>
          </w:p>
        </w:tc>
        <w:tc>
          <w:tcPr>
            <w:tcW w:w="1620" w:type="dxa"/>
            <w:tcBorders>
              <w:top w:val="single" w:sz="6" w:space="0" w:color="auto"/>
            </w:tcBorders>
          </w:tcPr>
          <w:p w:rsidR="00F43FDA" w:rsidRPr="00471A49" w:rsidRDefault="00F43FDA" w:rsidP="00851E27">
            <w:pPr>
              <w:pStyle w:val="BodyText"/>
              <w:ind w:left="851" w:hanging="851"/>
              <w:rPr>
                <w:rFonts w:cs="Arial"/>
                <w:szCs w:val="22"/>
              </w:rPr>
            </w:pPr>
          </w:p>
          <w:p w:rsidR="00A723BC" w:rsidRPr="00471A49" w:rsidRDefault="00471A49" w:rsidP="00851E27">
            <w:pPr>
              <w:pStyle w:val="BodyText"/>
              <w:ind w:left="851" w:hanging="851"/>
              <w:rPr>
                <w:rFonts w:cs="Arial"/>
                <w:szCs w:val="22"/>
              </w:rPr>
            </w:pPr>
            <w:r>
              <w:rPr>
                <w:rFonts w:cs="Arial"/>
                <w:szCs w:val="22"/>
              </w:rPr>
              <w:t>£12</w:t>
            </w:r>
            <w:r w:rsidR="009D7764" w:rsidRPr="00471A49">
              <w:rPr>
                <w:rFonts w:cs="Arial"/>
                <w:szCs w:val="22"/>
              </w:rPr>
              <w:t>m</w:t>
            </w:r>
          </w:p>
        </w:tc>
        <w:tc>
          <w:tcPr>
            <w:tcW w:w="1800" w:type="dxa"/>
            <w:tcBorders>
              <w:top w:val="single" w:sz="6" w:space="0" w:color="auto"/>
            </w:tcBorders>
          </w:tcPr>
          <w:p w:rsidR="00F43FDA" w:rsidRPr="00471A49" w:rsidRDefault="00F43FDA" w:rsidP="00851E27">
            <w:pPr>
              <w:pStyle w:val="BodyText"/>
              <w:ind w:left="851" w:hanging="851"/>
              <w:rPr>
                <w:rFonts w:cs="Arial"/>
                <w:szCs w:val="22"/>
              </w:rPr>
            </w:pPr>
          </w:p>
          <w:p w:rsidR="00A723BC" w:rsidRPr="00471A49" w:rsidRDefault="00471A49" w:rsidP="00851E27">
            <w:pPr>
              <w:pStyle w:val="BodyText"/>
              <w:ind w:left="851" w:hanging="851"/>
              <w:rPr>
                <w:rFonts w:cs="Arial"/>
                <w:szCs w:val="22"/>
              </w:rPr>
            </w:pPr>
            <w:r>
              <w:rPr>
                <w:rFonts w:cs="Arial"/>
                <w:szCs w:val="22"/>
              </w:rPr>
              <w:t>£0</w:t>
            </w:r>
            <w:r w:rsidR="009D7764" w:rsidRPr="00471A49">
              <w:rPr>
                <w:rFonts w:cs="Arial"/>
                <w:szCs w:val="22"/>
              </w:rPr>
              <w:t>m</w:t>
            </w:r>
          </w:p>
        </w:tc>
        <w:tc>
          <w:tcPr>
            <w:tcW w:w="2052" w:type="dxa"/>
            <w:tcBorders>
              <w:top w:val="single" w:sz="6" w:space="0" w:color="auto"/>
            </w:tcBorders>
          </w:tcPr>
          <w:p w:rsidR="00F43FDA" w:rsidRPr="00471A49" w:rsidRDefault="00F43FDA" w:rsidP="00851E27">
            <w:pPr>
              <w:pStyle w:val="BodyText"/>
              <w:ind w:left="851" w:hanging="851"/>
              <w:rPr>
                <w:rFonts w:cs="Arial"/>
                <w:szCs w:val="22"/>
              </w:rPr>
            </w:pPr>
          </w:p>
          <w:p w:rsidR="00A723BC" w:rsidRPr="00471A49" w:rsidRDefault="00471A49" w:rsidP="00851E27">
            <w:pPr>
              <w:pStyle w:val="BodyText"/>
              <w:ind w:left="851" w:hanging="851"/>
              <w:rPr>
                <w:rFonts w:cs="Arial"/>
                <w:szCs w:val="22"/>
              </w:rPr>
            </w:pPr>
            <w:r>
              <w:rPr>
                <w:rFonts w:cs="Arial"/>
                <w:szCs w:val="22"/>
              </w:rPr>
              <w:t>£12</w:t>
            </w:r>
            <w:r w:rsidR="009D7764" w:rsidRPr="00471A49">
              <w:rPr>
                <w:rFonts w:cs="Arial"/>
                <w:szCs w:val="22"/>
              </w:rPr>
              <w:t>m</w:t>
            </w:r>
          </w:p>
        </w:tc>
      </w:tr>
    </w:tbl>
    <w:p w:rsidR="001B355B" w:rsidRPr="002C494A" w:rsidRDefault="001B355B" w:rsidP="00851E27">
      <w:pPr>
        <w:tabs>
          <w:tab w:val="num" w:pos="540"/>
          <w:tab w:val="left" w:pos="720"/>
        </w:tabs>
        <w:spacing w:before="240" w:after="120"/>
        <w:ind w:left="851" w:hanging="851"/>
        <w:rPr>
          <w:rStyle w:val="CharChar"/>
          <w:rFonts w:ascii="Arial" w:hAnsi="Arial" w:cs="Arial"/>
          <w:sz w:val="22"/>
          <w:szCs w:val="22"/>
        </w:rPr>
      </w:pPr>
    </w:p>
    <w:p w:rsidR="00E62DA4" w:rsidRPr="002C494A" w:rsidRDefault="00E62DA4" w:rsidP="00851E27">
      <w:pPr>
        <w:tabs>
          <w:tab w:val="num" w:pos="540"/>
          <w:tab w:val="left" w:pos="720"/>
        </w:tabs>
        <w:spacing w:before="240" w:after="120"/>
        <w:ind w:left="851" w:hanging="851"/>
        <w:rPr>
          <w:rStyle w:val="CharChar"/>
          <w:rFonts w:ascii="Arial" w:hAnsi="Arial" w:cs="Arial"/>
          <w:sz w:val="22"/>
          <w:szCs w:val="22"/>
        </w:rPr>
      </w:pPr>
    </w:p>
    <w:p w:rsidR="00E62DA4" w:rsidRPr="002C494A" w:rsidRDefault="00E62DA4" w:rsidP="00851E27">
      <w:pPr>
        <w:tabs>
          <w:tab w:val="num" w:pos="540"/>
          <w:tab w:val="left" w:pos="720"/>
        </w:tabs>
        <w:spacing w:before="240" w:after="120"/>
        <w:ind w:left="851" w:hanging="851"/>
        <w:rPr>
          <w:rStyle w:val="CharChar"/>
          <w:rFonts w:ascii="Arial" w:hAnsi="Arial" w:cs="Arial"/>
          <w:sz w:val="22"/>
          <w:szCs w:val="22"/>
        </w:rPr>
      </w:pPr>
    </w:p>
    <w:p w:rsidR="00E62DA4" w:rsidRPr="002C494A" w:rsidRDefault="00E62DA4" w:rsidP="00851E27">
      <w:pPr>
        <w:tabs>
          <w:tab w:val="num" w:pos="709"/>
        </w:tabs>
        <w:ind w:left="851" w:hanging="851"/>
        <w:rPr>
          <w:rFonts w:cs="Arial"/>
          <w:sz w:val="22"/>
          <w:szCs w:val="22"/>
        </w:rPr>
      </w:pPr>
    </w:p>
    <w:p w:rsidR="00851E27" w:rsidRPr="002C494A" w:rsidRDefault="00851E27" w:rsidP="00851E27">
      <w:pPr>
        <w:tabs>
          <w:tab w:val="num" w:pos="709"/>
        </w:tabs>
        <w:ind w:left="851" w:hanging="851"/>
        <w:rPr>
          <w:rFonts w:cs="Arial"/>
          <w:sz w:val="22"/>
          <w:szCs w:val="22"/>
        </w:rPr>
      </w:pPr>
    </w:p>
    <w:p w:rsidR="006F33CC" w:rsidRPr="002C494A" w:rsidRDefault="006F33CC" w:rsidP="00851E27">
      <w:pPr>
        <w:tabs>
          <w:tab w:val="num" w:pos="709"/>
        </w:tabs>
        <w:ind w:left="851" w:hanging="851"/>
        <w:rPr>
          <w:rFonts w:cs="Arial"/>
          <w:sz w:val="22"/>
          <w:szCs w:val="22"/>
        </w:rPr>
      </w:pPr>
    </w:p>
    <w:p w:rsidR="00E62DA4" w:rsidRPr="002C494A" w:rsidRDefault="00E62DA4" w:rsidP="00851E27">
      <w:pPr>
        <w:tabs>
          <w:tab w:val="num" w:pos="709"/>
        </w:tabs>
        <w:ind w:left="851" w:hanging="851"/>
        <w:rPr>
          <w:rStyle w:val="CharChar"/>
          <w:rFonts w:ascii="Arial" w:hAnsi="Arial" w:cs="Arial"/>
          <w:b w:val="0"/>
          <w:bCs w:val="0"/>
          <w:sz w:val="22"/>
          <w:szCs w:val="22"/>
        </w:rPr>
      </w:pPr>
      <w:r w:rsidRPr="002C494A">
        <w:rPr>
          <w:rFonts w:cs="Arial"/>
          <w:sz w:val="22"/>
          <w:szCs w:val="22"/>
        </w:rPr>
        <w:t>2.</w:t>
      </w:r>
      <w:r w:rsidR="00B545C9">
        <w:rPr>
          <w:rFonts w:cs="Arial"/>
          <w:sz w:val="22"/>
          <w:szCs w:val="22"/>
        </w:rPr>
        <w:t>9</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8F2482" w:rsidRPr="002C494A">
        <w:rPr>
          <w:rStyle w:val="CharChar"/>
          <w:rFonts w:ascii="Arial" w:hAnsi="Arial" w:cs="Arial"/>
          <w:b w:val="0"/>
          <w:i/>
          <w:sz w:val="22"/>
          <w:szCs w:val="22"/>
        </w:rPr>
        <w:t xml:space="preserve">Investment Portfolio </w:t>
      </w:r>
      <w:bookmarkStart w:id="0" w:name="_Toc260128222"/>
      <w:bookmarkStart w:id="1" w:name="_Toc260128486"/>
      <w:bookmarkStart w:id="2" w:name="_Toc260143042"/>
      <w:bookmarkStart w:id="3" w:name="_Toc260144062"/>
      <w:r w:rsidR="00C21C08" w:rsidRPr="002C494A">
        <w:rPr>
          <w:rStyle w:val="CharChar"/>
          <w:rFonts w:ascii="Arial" w:hAnsi="Arial" w:cs="Arial"/>
          <w:b w:val="0"/>
          <w:i/>
          <w:sz w:val="22"/>
          <w:szCs w:val="22"/>
        </w:rPr>
        <w:t>201</w:t>
      </w:r>
      <w:r w:rsidR="00B545C9">
        <w:rPr>
          <w:rStyle w:val="CharChar"/>
          <w:rFonts w:ascii="Arial" w:hAnsi="Arial" w:cs="Arial"/>
          <w:b w:val="0"/>
          <w:i/>
          <w:sz w:val="22"/>
          <w:szCs w:val="22"/>
        </w:rPr>
        <w:t>7</w:t>
      </w:r>
      <w:r w:rsidR="00C21C08" w:rsidRPr="002C494A">
        <w:rPr>
          <w:rStyle w:val="CharChar"/>
          <w:rFonts w:ascii="Arial" w:hAnsi="Arial" w:cs="Arial"/>
          <w:b w:val="0"/>
          <w:i/>
          <w:sz w:val="22"/>
          <w:szCs w:val="22"/>
        </w:rPr>
        <w:t>/1</w:t>
      </w:r>
      <w:r w:rsidR="00B545C9">
        <w:rPr>
          <w:rStyle w:val="CharChar"/>
          <w:rFonts w:ascii="Arial" w:hAnsi="Arial" w:cs="Arial"/>
          <w:b w:val="0"/>
          <w:i/>
          <w:sz w:val="22"/>
          <w:szCs w:val="22"/>
        </w:rPr>
        <w:t>8</w:t>
      </w:r>
    </w:p>
    <w:p w:rsidR="007D393F" w:rsidRPr="002C494A" w:rsidRDefault="007D393F" w:rsidP="00851E27">
      <w:pPr>
        <w:tabs>
          <w:tab w:val="num" w:pos="709"/>
        </w:tabs>
        <w:ind w:left="851" w:hanging="851"/>
        <w:rPr>
          <w:rFonts w:cs="Arial"/>
          <w:sz w:val="22"/>
          <w:szCs w:val="22"/>
        </w:rPr>
      </w:pPr>
    </w:p>
    <w:p w:rsidR="008F2482" w:rsidRPr="002C494A" w:rsidRDefault="00E62DA4" w:rsidP="00851E27">
      <w:pPr>
        <w:tabs>
          <w:tab w:val="num" w:pos="709"/>
        </w:tabs>
        <w:ind w:left="851" w:hanging="851"/>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8F2482" w:rsidRPr="002C494A">
        <w:rPr>
          <w:rFonts w:cs="Arial"/>
          <w:sz w:val="22"/>
          <w:szCs w:val="22"/>
        </w:rPr>
        <w:t>In accordance with the Code, it is the Council’s priority to ensure security of capital and liquidity, and to obtain an appropriate level of return which is consistent with the Council’s risk ap</w:t>
      </w:r>
      <w:r w:rsidR="003E778C" w:rsidRPr="002C494A">
        <w:rPr>
          <w:rFonts w:cs="Arial"/>
          <w:sz w:val="22"/>
          <w:szCs w:val="22"/>
        </w:rPr>
        <w:t>petite.  As set out in Section 2</w:t>
      </w:r>
      <w:r w:rsidR="008F2482" w:rsidRPr="002C494A">
        <w:rPr>
          <w:rFonts w:cs="Arial"/>
          <w:sz w:val="22"/>
          <w:szCs w:val="22"/>
        </w:rPr>
        <w:t xml:space="preserve">, it is a very difficult investment market in terms of earning the level of interest rates commonly seen in previous decades as rates are very low and in line with the 0.5% Bank Rate.  Indeed, the Funding for Lending scheme has reduced market investment rates even further.  The potential for a prolonging of the Eurozone sovereign debt crisis, and its impact on banks, prompts a low risk and short term strategy.  Given this risk environment, investment returns are likely to remain low. </w:t>
      </w:r>
    </w:p>
    <w:p w:rsidR="00C4295C" w:rsidRPr="002C494A" w:rsidRDefault="00C4295C" w:rsidP="00851E27">
      <w:pPr>
        <w:tabs>
          <w:tab w:val="num" w:pos="709"/>
        </w:tabs>
        <w:ind w:left="851" w:hanging="851"/>
        <w:rPr>
          <w:rFonts w:cs="Arial"/>
          <w:sz w:val="22"/>
          <w:szCs w:val="22"/>
        </w:rPr>
      </w:pPr>
    </w:p>
    <w:p w:rsidR="00940EA4" w:rsidRPr="002C494A" w:rsidRDefault="00E62DA4" w:rsidP="00851E27">
      <w:pPr>
        <w:tabs>
          <w:tab w:val="num" w:pos="709"/>
        </w:tabs>
        <w:ind w:left="851" w:hanging="851"/>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8F2482" w:rsidRPr="002C494A">
        <w:rPr>
          <w:rFonts w:cs="Arial"/>
          <w:sz w:val="22"/>
          <w:szCs w:val="22"/>
        </w:rPr>
        <w:t xml:space="preserve">The Council held </w:t>
      </w:r>
      <w:r w:rsidR="003B0BB2" w:rsidRPr="00432C0A">
        <w:rPr>
          <w:rFonts w:cs="Arial"/>
          <w:sz w:val="22"/>
          <w:szCs w:val="22"/>
        </w:rPr>
        <w:t>£</w:t>
      </w:r>
      <w:r w:rsidR="004322D2" w:rsidRPr="00432C0A">
        <w:rPr>
          <w:rFonts w:cs="Arial"/>
          <w:sz w:val="22"/>
          <w:szCs w:val="22"/>
        </w:rPr>
        <w:t>26</w:t>
      </w:r>
      <w:r w:rsidR="00432C0A" w:rsidRPr="00432C0A">
        <w:rPr>
          <w:rFonts w:cs="Arial"/>
          <w:sz w:val="22"/>
          <w:szCs w:val="22"/>
        </w:rPr>
        <w:t>.6</w:t>
      </w:r>
      <w:r w:rsidR="003B0BB2" w:rsidRPr="00432C0A">
        <w:rPr>
          <w:rFonts w:cs="Arial"/>
          <w:sz w:val="22"/>
          <w:szCs w:val="22"/>
        </w:rPr>
        <w:t>m</w:t>
      </w:r>
      <w:r w:rsidR="008F2482" w:rsidRPr="002C494A">
        <w:rPr>
          <w:rFonts w:cs="Arial"/>
          <w:sz w:val="22"/>
          <w:szCs w:val="22"/>
        </w:rPr>
        <w:t xml:space="preserve"> of investments as at 30 September</w:t>
      </w:r>
      <w:r w:rsidRPr="002C494A">
        <w:rPr>
          <w:rFonts w:cs="Arial"/>
          <w:sz w:val="22"/>
          <w:szCs w:val="22"/>
        </w:rPr>
        <w:t xml:space="preserve"> </w:t>
      </w:r>
      <w:r w:rsidR="00AB6267" w:rsidRPr="002C494A">
        <w:rPr>
          <w:rFonts w:cs="Arial"/>
          <w:sz w:val="22"/>
          <w:szCs w:val="22"/>
        </w:rPr>
        <w:t>201</w:t>
      </w:r>
      <w:r w:rsidR="00B545C9">
        <w:rPr>
          <w:rFonts w:cs="Arial"/>
          <w:sz w:val="22"/>
          <w:szCs w:val="22"/>
        </w:rPr>
        <w:t>7</w:t>
      </w:r>
      <w:r w:rsidR="00C4295C" w:rsidRPr="002C494A">
        <w:rPr>
          <w:rFonts w:cs="Arial"/>
          <w:sz w:val="22"/>
          <w:szCs w:val="22"/>
        </w:rPr>
        <w:t xml:space="preserve"> (</w:t>
      </w:r>
      <w:r w:rsidR="00851E27" w:rsidRPr="002C494A">
        <w:rPr>
          <w:rFonts w:cs="Arial"/>
          <w:sz w:val="22"/>
          <w:szCs w:val="22"/>
        </w:rPr>
        <w:t>s</w:t>
      </w:r>
      <w:r w:rsidR="00C4295C" w:rsidRPr="002C494A">
        <w:rPr>
          <w:rFonts w:cs="Arial"/>
          <w:sz w:val="22"/>
          <w:szCs w:val="22"/>
        </w:rPr>
        <w:t>ee table below)</w:t>
      </w:r>
      <w:r w:rsidR="002C494A">
        <w:rPr>
          <w:rFonts w:cs="Arial"/>
          <w:sz w:val="22"/>
          <w:szCs w:val="22"/>
        </w:rPr>
        <w:t>.</w:t>
      </w:r>
      <w:r w:rsidRPr="002C494A">
        <w:rPr>
          <w:rFonts w:cs="Arial"/>
          <w:sz w:val="22"/>
          <w:szCs w:val="22"/>
        </w:rPr>
        <w:t xml:space="preserve"> </w:t>
      </w:r>
      <w:r w:rsidR="008F2482" w:rsidRPr="002C494A">
        <w:rPr>
          <w:rFonts w:cs="Arial"/>
          <w:sz w:val="22"/>
          <w:szCs w:val="22"/>
        </w:rPr>
        <w:t xml:space="preserve">This information is reported in the </w:t>
      </w:r>
      <w:r w:rsidR="00270811" w:rsidRPr="002C494A">
        <w:rPr>
          <w:rFonts w:cs="Arial"/>
          <w:sz w:val="22"/>
          <w:szCs w:val="22"/>
        </w:rPr>
        <w:t xml:space="preserve">monthly </w:t>
      </w:r>
      <w:r w:rsidR="008F2482" w:rsidRPr="002C494A">
        <w:rPr>
          <w:rFonts w:cs="Arial"/>
          <w:sz w:val="22"/>
          <w:szCs w:val="22"/>
        </w:rPr>
        <w:t>Members Informa</w:t>
      </w:r>
      <w:r w:rsidR="00270811" w:rsidRPr="002C494A">
        <w:rPr>
          <w:rFonts w:cs="Arial"/>
          <w:sz w:val="22"/>
          <w:szCs w:val="22"/>
        </w:rPr>
        <w:t>tion Bulletin</w:t>
      </w:r>
    </w:p>
    <w:p w:rsidR="00940EA4" w:rsidRPr="002C494A" w:rsidRDefault="00940EA4" w:rsidP="00851E27">
      <w:pPr>
        <w:tabs>
          <w:tab w:val="num" w:pos="709"/>
        </w:tabs>
        <w:ind w:left="851" w:hanging="851"/>
        <w:rPr>
          <w:rFonts w:cs="Arial"/>
          <w:sz w:val="22"/>
          <w:szCs w:val="22"/>
        </w:rPr>
      </w:pPr>
    </w:p>
    <w:p w:rsidR="008817FF" w:rsidRPr="002C494A" w:rsidRDefault="008817FF" w:rsidP="00851E27">
      <w:pPr>
        <w:ind w:left="851" w:hanging="851"/>
        <w:rPr>
          <w:rFonts w:cs="Arial"/>
          <w:sz w:val="22"/>
          <w:szCs w:val="22"/>
        </w:rPr>
      </w:pPr>
    </w:p>
    <w:tbl>
      <w:tblPr>
        <w:tblW w:w="6120" w:type="dxa"/>
        <w:tblInd w:w="1466" w:type="dxa"/>
        <w:tblLook w:val="0000" w:firstRow="0" w:lastRow="0" w:firstColumn="0" w:lastColumn="0" w:noHBand="0" w:noVBand="0"/>
      </w:tblPr>
      <w:tblGrid>
        <w:gridCol w:w="4316"/>
        <w:gridCol w:w="1804"/>
      </w:tblGrid>
      <w:tr w:rsidR="00EA7042" w:rsidRPr="002C494A" w:rsidTr="00E62DA4">
        <w:trPr>
          <w:trHeight w:val="276"/>
        </w:trPr>
        <w:tc>
          <w:tcPr>
            <w:tcW w:w="4316" w:type="dxa"/>
            <w:vMerge w:val="restart"/>
            <w:tcBorders>
              <w:top w:val="nil"/>
              <w:left w:val="nil"/>
              <w:bottom w:val="single" w:sz="4" w:space="0" w:color="C0C0C0"/>
              <w:right w:val="nil"/>
            </w:tcBorders>
            <w:shd w:val="clear" w:color="auto" w:fill="auto"/>
            <w:noWrap/>
            <w:vAlign w:val="center"/>
          </w:tcPr>
          <w:p w:rsidR="00EA7042" w:rsidRPr="002C494A" w:rsidRDefault="00EA7042" w:rsidP="00851E27">
            <w:pPr>
              <w:ind w:left="851" w:hanging="851"/>
              <w:rPr>
                <w:rFonts w:cs="Arial"/>
                <w:b/>
                <w:bCs/>
                <w:sz w:val="22"/>
                <w:szCs w:val="22"/>
                <w:lang w:eastAsia="en-GB"/>
              </w:rPr>
            </w:pPr>
            <w:r w:rsidRPr="002C494A">
              <w:rPr>
                <w:rFonts w:cs="Arial"/>
                <w:b/>
                <w:bCs/>
                <w:sz w:val="22"/>
                <w:szCs w:val="22"/>
                <w:lang w:eastAsia="en-GB"/>
              </w:rPr>
              <w:t>Institution</w:t>
            </w:r>
          </w:p>
        </w:tc>
        <w:tc>
          <w:tcPr>
            <w:tcW w:w="1804" w:type="dxa"/>
            <w:vMerge w:val="restart"/>
            <w:tcBorders>
              <w:top w:val="nil"/>
              <w:left w:val="nil"/>
              <w:bottom w:val="single" w:sz="4" w:space="0" w:color="C0C0C0"/>
              <w:right w:val="nil"/>
            </w:tcBorders>
            <w:shd w:val="clear" w:color="auto" w:fill="auto"/>
            <w:vAlign w:val="center"/>
          </w:tcPr>
          <w:p w:rsidR="00EA7042" w:rsidRPr="002C494A" w:rsidRDefault="00EA7042" w:rsidP="00851E27">
            <w:pPr>
              <w:ind w:left="851" w:hanging="851"/>
              <w:rPr>
                <w:rFonts w:cs="Arial"/>
                <w:b/>
                <w:bCs/>
                <w:sz w:val="22"/>
                <w:szCs w:val="22"/>
                <w:lang w:eastAsia="en-GB"/>
              </w:rPr>
            </w:pPr>
            <w:r w:rsidRPr="002C494A">
              <w:rPr>
                <w:rFonts w:cs="Arial"/>
                <w:b/>
                <w:bCs/>
                <w:sz w:val="22"/>
                <w:szCs w:val="22"/>
                <w:lang w:eastAsia="en-GB"/>
              </w:rPr>
              <w:t xml:space="preserve">Principal </w:t>
            </w:r>
            <w:r w:rsidR="00B90620" w:rsidRPr="002C494A">
              <w:rPr>
                <w:rFonts w:cs="Arial"/>
                <w:b/>
                <w:bCs/>
                <w:sz w:val="22"/>
                <w:szCs w:val="22"/>
                <w:lang w:eastAsia="en-GB"/>
              </w:rPr>
              <w:t>(</w:t>
            </w:r>
            <w:r w:rsidRPr="002C494A">
              <w:rPr>
                <w:rFonts w:cs="Arial"/>
                <w:b/>
                <w:bCs/>
                <w:sz w:val="22"/>
                <w:szCs w:val="22"/>
                <w:lang w:eastAsia="en-GB"/>
              </w:rPr>
              <w:t>£</w:t>
            </w:r>
            <w:r w:rsidR="00B90620" w:rsidRPr="002C494A">
              <w:rPr>
                <w:rFonts w:cs="Arial"/>
                <w:b/>
                <w:bCs/>
                <w:sz w:val="22"/>
                <w:szCs w:val="22"/>
                <w:lang w:eastAsia="en-GB"/>
              </w:rPr>
              <w:t>)</w:t>
            </w:r>
          </w:p>
        </w:tc>
      </w:tr>
      <w:tr w:rsidR="00EA7042" w:rsidRPr="002C494A" w:rsidTr="00E62DA4">
        <w:trPr>
          <w:trHeight w:val="276"/>
        </w:trPr>
        <w:tc>
          <w:tcPr>
            <w:tcW w:w="4316" w:type="dxa"/>
            <w:vMerge/>
            <w:tcBorders>
              <w:top w:val="nil"/>
              <w:left w:val="nil"/>
              <w:bottom w:val="single" w:sz="4" w:space="0" w:color="C0C0C0"/>
              <w:right w:val="nil"/>
            </w:tcBorders>
            <w:vAlign w:val="center"/>
          </w:tcPr>
          <w:p w:rsidR="00EA7042" w:rsidRPr="002C494A" w:rsidRDefault="00EA7042" w:rsidP="00851E27">
            <w:pPr>
              <w:ind w:left="851" w:hanging="851"/>
              <w:rPr>
                <w:rFonts w:cs="Arial"/>
                <w:b/>
                <w:bCs/>
                <w:sz w:val="22"/>
                <w:szCs w:val="22"/>
                <w:lang w:eastAsia="en-GB"/>
              </w:rPr>
            </w:pPr>
          </w:p>
        </w:tc>
        <w:tc>
          <w:tcPr>
            <w:tcW w:w="1804" w:type="dxa"/>
            <w:vMerge/>
            <w:tcBorders>
              <w:top w:val="nil"/>
              <w:left w:val="nil"/>
              <w:bottom w:val="single" w:sz="4" w:space="0" w:color="C0C0C0"/>
              <w:right w:val="nil"/>
            </w:tcBorders>
            <w:vAlign w:val="center"/>
          </w:tcPr>
          <w:p w:rsidR="00EA7042" w:rsidRPr="002C494A" w:rsidRDefault="00EA7042" w:rsidP="00851E27">
            <w:pPr>
              <w:ind w:left="851" w:hanging="851"/>
              <w:rPr>
                <w:rFonts w:cs="Arial"/>
                <w:b/>
                <w:bCs/>
                <w:sz w:val="22"/>
                <w:szCs w:val="22"/>
                <w:lang w:eastAsia="en-GB"/>
              </w:rPr>
            </w:pPr>
          </w:p>
        </w:tc>
      </w:tr>
      <w:tr w:rsidR="00EA7042" w:rsidRPr="002C494A" w:rsidTr="00E62DA4">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EA7042" w:rsidRPr="00432C0A" w:rsidRDefault="00EA7042" w:rsidP="00851E27">
            <w:pPr>
              <w:ind w:left="851" w:hanging="851"/>
              <w:rPr>
                <w:rFonts w:cs="Arial"/>
                <w:sz w:val="22"/>
                <w:szCs w:val="22"/>
                <w:lang w:eastAsia="en-GB"/>
              </w:rPr>
            </w:pPr>
            <w:r w:rsidRPr="00432C0A">
              <w:rPr>
                <w:rFonts w:cs="Arial"/>
                <w:sz w:val="22"/>
                <w:szCs w:val="22"/>
                <w:lang w:eastAsia="en-GB"/>
              </w:rPr>
              <w:t>Lloyds Bank plc</w:t>
            </w:r>
          </w:p>
        </w:tc>
        <w:tc>
          <w:tcPr>
            <w:tcW w:w="1804" w:type="dxa"/>
            <w:tcBorders>
              <w:top w:val="nil"/>
              <w:left w:val="nil"/>
              <w:bottom w:val="single" w:sz="4" w:space="0" w:color="C0C0C0"/>
              <w:right w:val="single" w:sz="4" w:space="0" w:color="C0C0C0"/>
            </w:tcBorders>
            <w:shd w:val="clear" w:color="auto" w:fill="auto"/>
            <w:noWrap/>
            <w:vAlign w:val="bottom"/>
          </w:tcPr>
          <w:p w:rsidR="00EA7042" w:rsidRPr="00432C0A" w:rsidRDefault="00C21C08" w:rsidP="00851E27">
            <w:pPr>
              <w:ind w:left="851" w:hanging="851"/>
              <w:jc w:val="center"/>
              <w:rPr>
                <w:rFonts w:cs="Arial"/>
                <w:sz w:val="22"/>
                <w:szCs w:val="22"/>
                <w:lang w:eastAsia="en-GB"/>
              </w:rPr>
            </w:pPr>
            <w:r w:rsidRPr="00432C0A">
              <w:rPr>
                <w:rFonts w:cs="Arial"/>
                <w:sz w:val="22"/>
                <w:szCs w:val="22"/>
                <w:lang w:eastAsia="en-GB"/>
              </w:rPr>
              <w:t>5,500,000</w:t>
            </w:r>
          </w:p>
        </w:tc>
      </w:tr>
      <w:tr w:rsidR="0028593C" w:rsidRPr="002C494A" w:rsidTr="00B90620">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28593C" w:rsidRPr="00432C0A" w:rsidRDefault="00432C0A" w:rsidP="00851E27">
            <w:pPr>
              <w:ind w:left="851" w:hanging="851"/>
              <w:rPr>
                <w:rFonts w:cs="Arial"/>
                <w:sz w:val="22"/>
                <w:szCs w:val="22"/>
                <w:lang w:eastAsia="en-GB"/>
              </w:rPr>
            </w:pPr>
            <w:r w:rsidRPr="00432C0A">
              <w:rPr>
                <w:rFonts w:cs="Arial"/>
                <w:sz w:val="22"/>
                <w:szCs w:val="22"/>
                <w:lang w:eastAsia="en-GB"/>
              </w:rPr>
              <w:t>Lloyds Bank – Current Account</w:t>
            </w:r>
          </w:p>
        </w:tc>
        <w:tc>
          <w:tcPr>
            <w:tcW w:w="1804" w:type="dxa"/>
            <w:tcBorders>
              <w:left w:val="nil"/>
              <w:bottom w:val="single" w:sz="4" w:space="0" w:color="C0C0C0"/>
              <w:right w:val="single" w:sz="4" w:space="0" w:color="C0C0C0"/>
            </w:tcBorders>
            <w:shd w:val="clear" w:color="auto" w:fill="auto"/>
            <w:noWrap/>
            <w:vAlign w:val="bottom"/>
          </w:tcPr>
          <w:p w:rsidR="0028593C" w:rsidRPr="00432C0A" w:rsidRDefault="00432C0A" w:rsidP="00851E27">
            <w:pPr>
              <w:ind w:left="851" w:hanging="851"/>
              <w:jc w:val="center"/>
              <w:rPr>
                <w:rFonts w:cs="Arial"/>
                <w:sz w:val="22"/>
                <w:szCs w:val="22"/>
                <w:lang w:eastAsia="en-GB"/>
              </w:rPr>
            </w:pPr>
            <w:r w:rsidRPr="00432C0A">
              <w:rPr>
                <w:rFonts w:cs="Arial"/>
                <w:sz w:val="22"/>
                <w:szCs w:val="22"/>
                <w:lang w:eastAsia="en-GB"/>
              </w:rPr>
              <w:t>13,144,000</w:t>
            </w:r>
          </w:p>
        </w:tc>
      </w:tr>
      <w:tr w:rsidR="00432C0A" w:rsidRPr="002C494A" w:rsidTr="00B90620">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432C0A" w:rsidRPr="00432C0A" w:rsidRDefault="00432C0A" w:rsidP="00851E27">
            <w:pPr>
              <w:ind w:left="851" w:hanging="851"/>
              <w:rPr>
                <w:rFonts w:cs="Arial"/>
                <w:i/>
                <w:sz w:val="22"/>
                <w:szCs w:val="22"/>
                <w:lang w:eastAsia="en-GB"/>
              </w:rPr>
            </w:pPr>
            <w:r w:rsidRPr="00432C0A">
              <w:rPr>
                <w:rFonts w:cs="Arial"/>
                <w:i/>
                <w:sz w:val="22"/>
                <w:szCs w:val="22"/>
                <w:lang w:eastAsia="en-GB"/>
              </w:rPr>
              <w:t>Total Banks</w:t>
            </w:r>
          </w:p>
        </w:tc>
        <w:tc>
          <w:tcPr>
            <w:tcW w:w="1804" w:type="dxa"/>
            <w:tcBorders>
              <w:left w:val="nil"/>
              <w:bottom w:val="single" w:sz="4" w:space="0" w:color="C0C0C0"/>
              <w:right w:val="single" w:sz="4" w:space="0" w:color="C0C0C0"/>
            </w:tcBorders>
            <w:shd w:val="clear" w:color="auto" w:fill="auto"/>
            <w:noWrap/>
            <w:vAlign w:val="bottom"/>
          </w:tcPr>
          <w:p w:rsidR="00432C0A" w:rsidRPr="00432C0A" w:rsidRDefault="00432C0A" w:rsidP="00851E27">
            <w:pPr>
              <w:ind w:left="851" w:hanging="851"/>
              <w:jc w:val="center"/>
              <w:rPr>
                <w:rFonts w:cs="Arial"/>
                <w:i/>
                <w:sz w:val="22"/>
                <w:szCs w:val="22"/>
                <w:lang w:eastAsia="en-GB"/>
              </w:rPr>
            </w:pPr>
            <w:r w:rsidRPr="00432C0A">
              <w:rPr>
                <w:rFonts w:cs="Arial"/>
                <w:i/>
                <w:sz w:val="22"/>
                <w:szCs w:val="22"/>
                <w:lang w:eastAsia="en-GB"/>
              </w:rPr>
              <w:t>18,644,000</w:t>
            </w:r>
          </w:p>
        </w:tc>
      </w:tr>
      <w:tr w:rsidR="0028593C" w:rsidRPr="002C494A" w:rsidTr="00B90620">
        <w:trPr>
          <w:trHeight w:val="89"/>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28593C" w:rsidRPr="00B545C9" w:rsidRDefault="0028593C" w:rsidP="00851E27">
            <w:pPr>
              <w:ind w:left="851" w:hanging="851"/>
              <w:rPr>
                <w:rFonts w:cs="Arial"/>
                <w:sz w:val="22"/>
                <w:szCs w:val="22"/>
                <w:highlight w:val="yellow"/>
                <w:lang w:eastAsia="en-GB"/>
              </w:rPr>
            </w:pPr>
          </w:p>
        </w:tc>
        <w:tc>
          <w:tcPr>
            <w:tcW w:w="1804" w:type="dxa"/>
            <w:tcBorders>
              <w:top w:val="nil"/>
              <w:left w:val="nil"/>
              <w:bottom w:val="single" w:sz="4" w:space="0" w:color="C0C0C0"/>
              <w:right w:val="single" w:sz="4" w:space="0" w:color="C0C0C0"/>
            </w:tcBorders>
            <w:shd w:val="clear" w:color="auto" w:fill="auto"/>
            <w:noWrap/>
            <w:vAlign w:val="bottom"/>
          </w:tcPr>
          <w:p w:rsidR="0028593C" w:rsidRPr="00B545C9" w:rsidRDefault="0028593C" w:rsidP="00851E27">
            <w:pPr>
              <w:ind w:left="851" w:hanging="851"/>
              <w:jc w:val="center"/>
              <w:rPr>
                <w:rFonts w:cs="Arial"/>
                <w:color w:val="FF0000"/>
                <w:sz w:val="22"/>
                <w:szCs w:val="22"/>
                <w:highlight w:val="yellow"/>
                <w:lang w:eastAsia="en-GB"/>
              </w:rPr>
            </w:pPr>
          </w:p>
        </w:tc>
      </w:tr>
      <w:tr w:rsidR="0028593C" w:rsidRPr="002C494A" w:rsidTr="00E62DA4">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28593C" w:rsidRPr="00B545C9" w:rsidRDefault="0028593C" w:rsidP="00851E27">
            <w:pPr>
              <w:ind w:left="851" w:hanging="851"/>
              <w:rPr>
                <w:rFonts w:cs="Arial"/>
                <w:sz w:val="22"/>
                <w:szCs w:val="22"/>
                <w:highlight w:val="yellow"/>
                <w:lang w:eastAsia="en-GB"/>
              </w:rPr>
            </w:pPr>
          </w:p>
        </w:tc>
        <w:tc>
          <w:tcPr>
            <w:tcW w:w="1804" w:type="dxa"/>
            <w:tcBorders>
              <w:top w:val="nil"/>
              <w:left w:val="nil"/>
              <w:bottom w:val="single" w:sz="4" w:space="0" w:color="C0C0C0"/>
              <w:right w:val="single" w:sz="4" w:space="0" w:color="C0C0C0"/>
            </w:tcBorders>
            <w:shd w:val="clear" w:color="auto" w:fill="auto"/>
            <w:noWrap/>
            <w:vAlign w:val="bottom"/>
          </w:tcPr>
          <w:p w:rsidR="0028593C" w:rsidRPr="00B545C9" w:rsidRDefault="0028593C" w:rsidP="00851E27">
            <w:pPr>
              <w:ind w:left="851" w:hanging="851"/>
              <w:jc w:val="center"/>
              <w:rPr>
                <w:rFonts w:cs="Arial"/>
                <w:color w:val="FF0000"/>
                <w:sz w:val="22"/>
                <w:szCs w:val="22"/>
                <w:highlight w:val="yellow"/>
                <w:lang w:eastAsia="en-GB"/>
              </w:rPr>
            </w:pPr>
          </w:p>
        </w:tc>
      </w:tr>
      <w:tr w:rsidR="0028593C" w:rsidRPr="002C494A" w:rsidTr="00E62DA4">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28593C" w:rsidRPr="00432C0A" w:rsidRDefault="0028593C" w:rsidP="00851E27">
            <w:pPr>
              <w:ind w:left="851" w:hanging="851"/>
              <w:rPr>
                <w:rFonts w:cs="Arial"/>
                <w:sz w:val="22"/>
                <w:szCs w:val="22"/>
                <w:lang w:eastAsia="en-GB"/>
              </w:rPr>
            </w:pPr>
            <w:r w:rsidRPr="00432C0A">
              <w:rPr>
                <w:rFonts w:cs="Arial"/>
                <w:sz w:val="22"/>
                <w:szCs w:val="22"/>
                <w:lang w:eastAsia="en-GB"/>
              </w:rPr>
              <w:t>Nationwide Building Society</w:t>
            </w:r>
          </w:p>
        </w:tc>
        <w:tc>
          <w:tcPr>
            <w:tcW w:w="1804" w:type="dxa"/>
            <w:tcBorders>
              <w:top w:val="nil"/>
              <w:left w:val="nil"/>
              <w:bottom w:val="single" w:sz="4" w:space="0" w:color="C0C0C0"/>
              <w:right w:val="single" w:sz="4" w:space="0" w:color="C0C0C0"/>
            </w:tcBorders>
            <w:shd w:val="clear" w:color="auto" w:fill="auto"/>
            <w:noWrap/>
            <w:vAlign w:val="bottom"/>
          </w:tcPr>
          <w:p w:rsidR="0028593C" w:rsidRPr="00432C0A" w:rsidRDefault="00432C0A" w:rsidP="00851E27">
            <w:pPr>
              <w:ind w:left="851" w:hanging="851"/>
              <w:jc w:val="center"/>
              <w:rPr>
                <w:rFonts w:cs="Arial"/>
                <w:sz w:val="22"/>
                <w:szCs w:val="22"/>
                <w:lang w:eastAsia="en-GB"/>
              </w:rPr>
            </w:pPr>
            <w:r w:rsidRPr="00432C0A">
              <w:rPr>
                <w:rFonts w:cs="Arial"/>
                <w:sz w:val="22"/>
                <w:szCs w:val="22"/>
                <w:lang w:eastAsia="en-GB"/>
              </w:rPr>
              <w:t>2</w:t>
            </w:r>
            <w:r w:rsidR="0028593C" w:rsidRPr="00432C0A">
              <w:rPr>
                <w:rFonts w:cs="Arial"/>
                <w:sz w:val="22"/>
                <w:szCs w:val="22"/>
                <w:lang w:eastAsia="en-GB"/>
              </w:rPr>
              <w:t>,000,000</w:t>
            </w:r>
          </w:p>
        </w:tc>
      </w:tr>
      <w:tr w:rsidR="0028593C" w:rsidRPr="002C494A" w:rsidTr="00E62DA4">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28593C" w:rsidRPr="00432C0A" w:rsidRDefault="0028593C" w:rsidP="00851E27">
            <w:pPr>
              <w:ind w:left="851" w:hanging="851"/>
              <w:rPr>
                <w:rFonts w:cs="Arial"/>
                <w:sz w:val="22"/>
                <w:szCs w:val="22"/>
                <w:lang w:eastAsia="en-GB"/>
              </w:rPr>
            </w:pPr>
            <w:r w:rsidRPr="00432C0A">
              <w:rPr>
                <w:rFonts w:cs="Arial"/>
                <w:sz w:val="22"/>
                <w:szCs w:val="22"/>
                <w:lang w:eastAsia="en-GB"/>
              </w:rPr>
              <w:t>Principality Building Society</w:t>
            </w:r>
          </w:p>
        </w:tc>
        <w:tc>
          <w:tcPr>
            <w:tcW w:w="1804" w:type="dxa"/>
            <w:tcBorders>
              <w:top w:val="nil"/>
              <w:left w:val="nil"/>
              <w:bottom w:val="single" w:sz="4" w:space="0" w:color="C0C0C0"/>
              <w:right w:val="single" w:sz="4" w:space="0" w:color="C0C0C0"/>
            </w:tcBorders>
            <w:shd w:val="clear" w:color="auto" w:fill="auto"/>
            <w:noWrap/>
            <w:vAlign w:val="bottom"/>
          </w:tcPr>
          <w:p w:rsidR="0028593C" w:rsidRPr="00432C0A" w:rsidRDefault="00432C0A" w:rsidP="00851E27">
            <w:pPr>
              <w:ind w:left="851" w:hanging="851"/>
              <w:jc w:val="center"/>
              <w:rPr>
                <w:rFonts w:cs="Arial"/>
                <w:sz w:val="22"/>
                <w:szCs w:val="22"/>
                <w:lang w:eastAsia="en-GB"/>
              </w:rPr>
            </w:pPr>
            <w:r w:rsidRPr="00432C0A">
              <w:rPr>
                <w:rFonts w:cs="Arial"/>
                <w:sz w:val="22"/>
                <w:szCs w:val="22"/>
                <w:lang w:eastAsia="en-GB"/>
              </w:rPr>
              <w:t>2</w:t>
            </w:r>
            <w:r w:rsidR="00B76303" w:rsidRPr="00432C0A">
              <w:rPr>
                <w:rFonts w:cs="Arial"/>
                <w:sz w:val="22"/>
                <w:szCs w:val="22"/>
                <w:lang w:eastAsia="en-GB"/>
              </w:rPr>
              <w:t>,0</w:t>
            </w:r>
            <w:r w:rsidR="0028593C" w:rsidRPr="00432C0A">
              <w:rPr>
                <w:rFonts w:cs="Arial"/>
                <w:sz w:val="22"/>
                <w:szCs w:val="22"/>
                <w:lang w:eastAsia="en-GB"/>
              </w:rPr>
              <w:t>00,000</w:t>
            </w:r>
          </w:p>
        </w:tc>
      </w:tr>
      <w:tr w:rsidR="0028593C" w:rsidRPr="002C494A" w:rsidTr="00E62DA4">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28593C" w:rsidRPr="00432C0A" w:rsidRDefault="0028593C" w:rsidP="00851E27">
            <w:pPr>
              <w:ind w:left="851" w:hanging="851"/>
              <w:rPr>
                <w:rFonts w:cs="Arial"/>
                <w:sz w:val="22"/>
                <w:szCs w:val="22"/>
                <w:lang w:eastAsia="en-GB"/>
              </w:rPr>
            </w:pPr>
            <w:r w:rsidRPr="00432C0A">
              <w:rPr>
                <w:rFonts w:cs="Arial"/>
                <w:sz w:val="22"/>
                <w:szCs w:val="22"/>
                <w:lang w:eastAsia="en-GB"/>
              </w:rPr>
              <w:t>Skipton Building Society</w:t>
            </w:r>
          </w:p>
        </w:tc>
        <w:tc>
          <w:tcPr>
            <w:tcW w:w="1804" w:type="dxa"/>
            <w:tcBorders>
              <w:top w:val="nil"/>
              <w:left w:val="nil"/>
              <w:bottom w:val="single" w:sz="4" w:space="0" w:color="C0C0C0"/>
              <w:right w:val="single" w:sz="4" w:space="0" w:color="C0C0C0"/>
            </w:tcBorders>
            <w:shd w:val="clear" w:color="auto" w:fill="auto"/>
            <w:noWrap/>
            <w:vAlign w:val="bottom"/>
          </w:tcPr>
          <w:p w:rsidR="0028593C" w:rsidRPr="00432C0A" w:rsidRDefault="00432C0A" w:rsidP="00851E27">
            <w:pPr>
              <w:ind w:left="851" w:hanging="851"/>
              <w:jc w:val="center"/>
              <w:rPr>
                <w:rFonts w:cs="Arial"/>
                <w:sz w:val="22"/>
                <w:szCs w:val="22"/>
                <w:lang w:eastAsia="en-GB"/>
              </w:rPr>
            </w:pPr>
            <w:r w:rsidRPr="00432C0A">
              <w:rPr>
                <w:rFonts w:cs="Arial"/>
                <w:sz w:val="22"/>
                <w:szCs w:val="22"/>
                <w:lang w:eastAsia="en-GB"/>
              </w:rPr>
              <w:t>4,0</w:t>
            </w:r>
            <w:r w:rsidR="00B76303" w:rsidRPr="00432C0A">
              <w:rPr>
                <w:rFonts w:cs="Arial"/>
                <w:sz w:val="22"/>
                <w:szCs w:val="22"/>
                <w:lang w:eastAsia="en-GB"/>
              </w:rPr>
              <w:t>00,000</w:t>
            </w:r>
          </w:p>
        </w:tc>
      </w:tr>
      <w:tr w:rsidR="0028593C" w:rsidRPr="002C494A" w:rsidTr="00E62DA4">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28593C" w:rsidRPr="00432C0A" w:rsidRDefault="00B90620" w:rsidP="00851E27">
            <w:pPr>
              <w:ind w:left="851" w:hanging="851"/>
              <w:rPr>
                <w:rFonts w:cs="Arial"/>
                <w:b/>
                <w:bCs/>
                <w:i/>
                <w:sz w:val="22"/>
                <w:szCs w:val="22"/>
                <w:lang w:eastAsia="en-GB"/>
              </w:rPr>
            </w:pPr>
            <w:r w:rsidRPr="00432C0A">
              <w:rPr>
                <w:rFonts w:cs="Arial"/>
                <w:i/>
                <w:sz w:val="22"/>
                <w:szCs w:val="22"/>
                <w:lang w:eastAsia="en-GB"/>
              </w:rPr>
              <w:t>Total Building Societies</w:t>
            </w:r>
          </w:p>
        </w:tc>
        <w:tc>
          <w:tcPr>
            <w:tcW w:w="1804" w:type="dxa"/>
            <w:tcBorders>
              <w:top w:val="single" w:sz="4" w:space="0" w:color="auto"/>
              <w:left w:val="nil"/>
              <w:bottom w:val="double" w:sz="6" w:space="0" w:color="auto"/>
              <w:right w:val="nil"/>
            </w:tcBorders>
            <w:shd w:val="clear" w:color="auto" w:fill="auto"/>
            <w:noWrap/>
            <w:vAlign w:val="bottom"/>
          </w:tcPr>
          <w:p w:rsidR="0028593C" w:rsidRPr="00432C0A" w:rsidRDefault="00432C0A" w:rsidP="00851E27">
            <w:pPr>
              <w:ind w:left="851" w:hanging="851"/>
              <w:jc w:val="center"/>
              <w:rPr>
                <w:rFonts w:cs="Arial"/>
                <w:bCs/>
                <w:i/>
                <w:sz w:val="22"/>
                <w:szCs w:val="22"/>
                <w:lang w:eastAsia="en-GB"/>
              </w:rPr>
            </w:pPr>
            <w:r w:rsidRPr="00432C0A">
              <w:rPr>
                <w:rFonts w:cs="Arial"/>
                <w:bCs/>
                <w:i/>
                <w:sz w:val="22"/>
                <w:szCs w:val="22"/>
                <w:lang w:eastAsia="en-GB"/>
              </w:rPr>
              <w:t>8,0</w:t>
            </w:r>
            <w:r w:rsidR="00B90620" w:rsidRPr="00432C0A">
              <w:rPr>
                <w:rFonts w:cs="Arial"/>
                <w:bCs/>
                <w:i/>
                <w:sz w:val="22"/>
                <w:szCs w:val="22"/>
                <w:lang w:eastAsia="en-GB"/>
              </w:rPr>
              <w:t>00,000</w:t>
            </w:r>
          </w:p>
        </w:tc>
      </w:tr>
      <w:tr w:rsidR="0028593C" w:rsidRPr="002C494A" w:rsidTr="00E62DA4">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28593C" w:rsidRPr="00432C0A" w:rsidRDefault="0028593C" w:rsidP="00851E27">
            <w:pPr>
              <w:ind w:left="851" w:hanging="851"/>
              <w:rPr>
                <w:rFonts w:cs="Arial"/>
                <w:bCs/>
                <w:i/>
                <w:sz w:val="22"/>
                <w:szCs w:val="22"/>
                <w:lang w:eastAsia="en-GB"/>
              </w:rPr>
            </w:pPr>
            <w:r w:rsidRPr="00432C0A">
              <w:rPr>
                <w:rFonts w:cs="Arial"/>
                <w:bCs/>
                <w:i/>
                <w:sz w:val="22"/>
                <w:szCs w:val="22"/>
                <w:lang w:eastAsia="en-GB"/>
              </w:rPr>
              <w:t>Total</w:t>
            </w:r>
          </w:p>
        </w:tc>
        <w:tc>
          <w:tcPr>
            <w:tcW w:w="1804" w:type="dxa"/>
            <w:tcBorders>
              <w:top w:val="single" w:sz="4" w:space="0" w:color="auto"/>
              <w:left w:val="nil"/>
              <w:bottom w:val="double" w:sz="6" w:space="0" w:color="auto"/>
              <w:right w:val="nil"/>
            </w:tcBorders>
            <w:shd w:val="clear" w:color="auto" w:fill="auto"/>
            <w:noWrap/>
            <w:vAlign w:val="bottom"/>
          </w:tcPr>
          <w:p w:rsidR="0028593C" w:rsidRPr="00432C0A" w:rsidRDefault="00C21C08" w:rsidP="00851E27">
            <w:pPr>
              <w:ind w:left="851" w:hanging="851"/>
              <w:jc w:val="center"/>
              <w:rPr>
                <w:rFonts w:cs="Arial"/>
                <w:bCs/>
                <w:i/>
                <w:sz w:val="22"/>
                <w:szCs w:val="22"/>
                <w:lang w:eastAsia="en-GB"/>
              </w:rPr>
            </w:pPr>
            <w:r w:rsidRPr="00432C0A">
              <w:rPr>
                <w:rFonts w:cs="Arial"/>
                <w:bCs/>
                <w:i/>
                <w:sz w:val="22"/>
                <w:szCs w:val="22"/>
                <w:lang w:eastAsia="en-GB"/>
              </w:rPr>
              <w:t>26</w:t>
            </w:r>
            <w:r w:rsidR="003B0BB2" w:rsidRPr="00432C0A">
              <w:rPr>
                <w:rFonts w:cs="Arial"/>
                <w:bCs/>
                <w:i/>
                <w:sz w:val="22"/>
                <w:szCs w:val="22"/>
                <w:lang w:eastAsia="en-GB"/>
              </w:rPr>
              <w:t>,</w:t>
            </w:r>
            <w:r w:rsidR="00432C0A" w:rsidRPr="00432C0A">
              <w:rPr>
                <w:rFonts w:cs="Arial"/>
                <w:bCs/>
                <w:i/>
                <w:sz w:val="22"/>
                <w:szCs w:val="22"/>
                <w:lang w:eastAsia="en-GB"/>
              </w:rPr>
              <w:t>644</w:t>
            </w:r>
            <w:r w:rsidR="003B0BB2" w:rsidRPr="00432C0A">
              <w:rPr>
                <w:rFonts w:cs="Arial"/>
                <w:bCs/>
                <w:i/>
                <w:sz w:val="22"/>
                <w:szCs w:val="22"/>
                <w:lang w:eastAsia="en-GB"/>
              </w:rPr>
              <w:t>,000</w:t>
            </w:r>
          </w:p>
        </w:tc>
      </w:tr>
    </w:tbl>
    <w:p w:rsidR="006937D9" w:rsidRPr="002C494A" w:rsidRDefault="007D393F" w:rsidP="00851E27">
      <w:pPr>
        <w:autoSpaceDE w:val="0"/>
        <w:autoSpaceDN w:val="0"/>
        <w:adjustRightInd w:val="0"/>
        <w:ind w:left="851" w:hanging="851"/>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p>
    <w:p w:rsidR="00E62DA4" w:rsidRPr="002C494A" w:rsidRDefault="00E62DA4" w:rsidP="00851E27">
      <w:pPr>
        <w:tabs>
          <w:tab w:val="num" w:pos="709"/>
        </w:tabs>
        <w:ind w:left="851" w:hanging="851"/>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8F2482" w:rsidRPr="0045279C">
        <w:rPr>
          <w:rFonts w:cs="Arial"/>
          <w:sz w:val="22"/>
          <w:szCs w:val="22"/>
        </w:rPr>
        <w:t xml:space="preserve">The approved limits within the Annual Investment Strategy were not breached during the first six months of </w:t>
      </w:r>
      <w:r w:rsidR="00C21C08" w:rsidRPr="0045279C">
        <w:rPr>
          <w:rFonts w:cs="Arial"/>
          <w:sz w:val="22"/>
          <w:szCs w:val="22"/>
        </w:rPr>
        <w:t>201</w:t>
      </w:r>
      <w:r w:rsidR="00B545C9" w:rsidRPr="0045279C">
        <w:rPr>
          <w:rFonts w:cs="Arial"/>
          <w:sz w:val="22"/>
          <w:szCs w:val="22"/>
        </w:rPr>
        <w:t>7</w:t>
      </w:r>
      <w:r w:rsidR="00C21C08" w:rsidRPr="0045279C">
        <w:rPr>
          <w:rFonts w:cs="Arial"/>
          <w:sz w:val="22"/>
          <w:szCs w:val="22"/>
        </w:rPr>
        <w:t>/1</w:t>
      </w:r>
      <w:r w:rsidR="00B545C9" w:rsidRPr="0045279C">
        <w:rPr>
          <w:rFonts w:cs="Arial"/>
          <w:sz w:val="22"/>
          <w:szCs w:val="22"/>
        </w:rPr>
        <w:t>8</w:t>
      </w:r>
      <w:r w:rsidR="008F2482" w:rsidRPr="0045279C">
        <w:rPr>
          <w:rFonts w:cs="Arial"/>
          <w:sz w:val="22"/>
          <w:szCs w:val="22"/>
        </w:rPr>
        <w:t>.</w:t>
      </w:r>
    </w:p>
    <w:p w:rsidR="00E62DA4" w:rsidRPr="002C494A" w:rsidRDefault="00E62DA4" w:rsidP="00851E27">
      <w:pPr>
        <w:tabs>
          <w:tab w:val="num" w:pos="709"/>
        </w:tabs>
        <w:ind w:left="851" w:hanging="851"/>
        <w:rPr>
          <w:rFonts w:cs="Arial"/>
          <w:sz w:val="22"/>
          <w:szCs w:val="22"/>
        </w:rPr>
      </w:pPr>
    </w:p>
    <w:p w:rsidR="008F2482" w:rsidRPr="002C494A" w:rsidRDefault="00E62DA4" w:rsidP="00851E27">
      <w:pPr>
        <w:tabs>
          <w:tab w:val="num" w:pos="709"/>
        </w:tabs>
        <w:ind w:left="851" w:hanging="851"/>
        <w:rPr>
          <w:rFonts w:cs="Arial"/>
          <w:i/>
          <w:sz w:val="22"/>
          <w:szCs w:val="22"/>
        </w:rPr>
      </w:pPr>
      <w:r w:rsidRPr="002C494A">
        <w:rPr>
          <w:rFonts w:cs="Arial"/>
          <w:sz w:val="22"/>
          <w:szCs w:val="22"/>
        </w:rPr>
        <w:t>2.1</w:t>
      </w:r>
      <w:r w:rsidR="00B545C9">
        <w:rPr>
          <w:rFonts w:cs="Arial"/>
          <w:sz w:val="22"/>
          <w:szCs w:val="22"/>
        </w:rPr>
        <w:t>0</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8F2482" w:rsidRPr="002C494A">
        <w:rPr>
          <w:rFonts w:cs="Arial"/>
          <w:i/>
          <w:sz w:val="22"/>
          <w:szCs w:val="22"/>
        </w:rPr>
        <w:t>Security</w:t>
      </w:r>
    </w:p>
    <w:p w:rsidR="00E62DA4" w:rsidRPr="002C494A" w:rsidRDefault="00E62DA4" w:rsidP="00851E27">
      <w:pPr>
        <w:tabs>
          <w:tab w:val="num" w:pos="709"/>
        </w:tabs>
        <w:ind w:left="851" w:hanging="851"/>
        <w:rPr>
          <w:rFonts w:cs="Arial"/>
          <w:b/>
          <w:sz w:val="22"/>
          <w:szCs w:val="22"/>
        </w:rPr>
      </w:pPr>
    </w:p>
    <w:p w:rsidR="008F2482" w:rsidRPr="002C494A" w:rsidRDefault="00E62DA4" w:rsidP="00212BC3">
      <w:pPr>
        <w:tabs>
          <w:tab w:val="num" w:pos="709"/>
        </w:tabs>
        <w:ind w:left="851"/>
        <w:rPr>
          <w:rFonts w:cs="Arial"/>
          <w:iCs/>
          <w:sz w:val="22"/>
          <w:szCs w:val="22"/>
        </w:rPr>
      </w:pP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008F2482" w:rsidRPr="002C494A">
        <w:rPr>
          <w:rFonts w:cs="Arial"/>
          <w:sz w:val="22"/>
          <w:szCs w:val="22"/>
        </w:rPr>
        <w:t>The Council’s maximum security risk benc</w:t>
      </w:r>
      <w:r w:rsidR="00E70037" w:rsidRPr="002C494A">
        <w:rPr>
          <w:rFonts w:cs="Arial"/>
          <w:sz w:val="22"/>
          <w:szCs w:val="22"/>
        </w:rPr>
        <w:t xml:space="preserve">hmark for the current portfolio was set </w:t>
      </w:r>
      <w:r w:rsidR="00E70037" w:rsidRPr="005D5B2F">
        <w:rPr>
          <w:rFonts w:cs="Arial"/>
          <w:sz w:val="22"/>
          <w:szCs w:val="22"/>
        </w:rPr>
        <w:t>as 0.01</w:t>
      </w:r>
      <w:r w:rsidR="008F2482" w:rsidRPr="005D5B2F">
        <w:rPr>
          <w:rFonts w:cs="Arial"/>
          <w:bCs/>
          <w:iCs/>
          <w:sz w:val="22"/>
          <w:szCs w:val="22"/>
        </w:rPr>
        <w:t>%</w:t>
      </w:r>
      <w:r w:rsidR="008F2482" w:rsidRPr="002C494A">
        <w:rPr>
          <w:rFonts w:cs="Arial"/>
          <w:bCs/>
          <w:sz w:val="22"/>
          <w:szCs w:val="22"/>
        </w:rPr>
        <w:t xml:space="preserve"> risk of default when compared to the whole portfolio</w:t>
      </w:r>
      <w:r w:rsidR="00E70037" w:rsidRPr="002C494A">
        <w:rPr>
          <w:rFonts w:cs="Arial"/>
          <w:bCs/>
          <w:sz w:val="22"/>
          <w:szCs w:val="22"/>
        </w:rPr>
        <w:t>.</w:t>
      </w:r>
      <w:r w:rsidR="00212BC3" w:rsidRPr="002C494A">
        <w:rPr>
          <w:rFonts w:cs="Arial"/>
          <w:bCs/>
          <w:sz w:val="22"/>
          <w:szCs w:val="22"/>
        </w:rPr>
        <w:t xml:space="preserve">  </w:t>
      </w:r>
      <w:r w:rsidR="008F2482" w:rsidRPr="002C494A">
        <w:rPr>
          <w:rFonts w:cs="Arial"/>
          <w:iCs/>
          <w:sz w:val="22"/>
          <w:szCs w:val="22"/>
        </w:rPr>
        <w:t>The benchmarks are an average risk of default measure, and would not constitute an expectation of loss against a particular investment.  The benchmarks are embodied in the criteria for selecting cash investment counterparties and these will be monitored and reported to Members.  As this data is collated, trends and analysis will be collected and reported.  Where counterparty is not credit rated a proxy rating will be applied.</w:t>
      </w:r>
    </w:p>
    <w:p w:rsidR="008F2482" w:rsidRPr="002C494A" w:rsidRDefault="008F2482" w:rsidP="00851E27">
      <w:pPr>
        <w:pStyle w:val="BodyText"/>
        <w:ind w:left="851"/>
        <w:rPr>
          <w:rFonts w:cs="Arial"/>
          <w:iCs/>
          <w:szCs w:val="22"/>
        </w:rPr>
      </w:pPr>
    </w:p>
    <w:p w:rsidR="00E70037" w:rsidRPr="002C494A" w:rsidRDefault="00E70037" w:rsidP="00212BC3">
      <w:pPr>
        <w:pStyle w:val="BodyText"/>
        <w:ind w:left="851"/>
        <w:rPr>
          <w:rFonts w:cs="Arial"/>
          <w:szCs w:val="22"/>
        </w:rPr>
      </w:pPr>
      <w:r w:rsidRPr="002C494A">
        <w:rPr>
          <w:rFonts w:cs="Arial"/>
          <w:szCs w:val="22"/>
        </w:rPr>
        <w:t>In line with the TMS, t</w:t>
      </w:r>
      <w:r w:rsidR="008F2482" w:rsidRPr="002C494A">
        <w:rPr>
          <w:rFonts w:cs="Arial"/>
          <w:szCs w:val="22"/>
        </w:rPr>
        <w:t xml:space="preserve">he Council </w:t>
      </w:r>
      <w:r w:rsidRPr="002C494A">
        <w:rPr>
          <w:rFonts w:cs="Arial"/>
          <w:szCs w:val="22"/>
        </w:rPr>
        <w:t xml:space="preserve">has managed to </w:t>
      </w:r>
      <w:r w:rsidR="008F2482" w:rsidRPr="002C494A">
        <w:rPr>
          <w:rFonts w:cs="Arial"/>
          <w:szCs w:val="22"/>
        </w:rPr>
        <w:t xml:space="preserve">invest with </w:t>
      </w:r>
      <w:r w:rsidRPr="002C494A">
        <w:rPr>
          <w:rFonts w:cs="Arial"/>
          <w:szCs w:val="22"/>
        </w:rPr>
        <w:t>those institutions</w:t>
      </w:r>
      <w:r w:rsidR="008F2482" w:rsidRPr="002C494A">
        <w:rPr>
          <w:rFonts w:cs="Arial"/>
          <w:szCs w:val="22"/>
        </w:rPr>
        <w:t xml:space="preserve"> </w:t>
      </w:r>
      <w:r w:rsidRPr="002C494A">
        <w:rPr>
          <w:rFonts w:cs="Arial"/>
          <w:szCs w:val="22"/>
        </w:rPr>
        <w:t xml:space="preserve">who offered </w:t>
      </w:r>
      <w:r w:rsidR="008F2482" w:rsidRPr="002C494A">
        <w:rPr>
          <w:rFonts w:cs="Arial"/>
          <w:szCs w:val="22"/>
        </w:rPr>
        <w:t xml:space="preserve">the </w:t>
      </w:r>
      <w:r w:rsidRPr="002C494A">
        <w:rPr>
          <w:rFonts w:cs="Arial"/>
          <w:szCs w:val="22"/>
        </w:rPr>
        <w:t>best</w:t>
      </w:r>
      <w:r w:rsidR="008F2482" w:rsidRPr="002C494A">
        <w:rPr>
          <w:rFonts w:cs="Arial"/>
          <w:szCs w:val="22"/>
        </w:rPr>
        <w:t xml:space="preserve"> rate</w:t>
      </w:r>
      <w:r w:rsidRPr="002C494A">
        <w:rPr>
          <w:rFonts w:cs="Arial"/>
          <w:szCs w:val="22"/>
        </w:rPr>
        <w:t xml:space="preserve"> and the investment portfolio is above the overall benchmark during the year to date.</w:t>
      </w:r>
    </w:p>
    <w:p w:rsidR="008F2482" w:rsidRPr="002C494A" w:rsidRDefault="008F2482" w:rsidP="00212BC3">
      <w:pPr>
        <w:pStyle w:val="BodyText"/>
        <w:ind w:left="851"/>
        <w:rPr>
          <w:rFonts w:cs="Arial"/>
          <w:szCs w:val="22"/>
        </w:rPr>
      </w:pPr>
    </w:p>
    <w:p w:rsidR="008F2482" w:rsidRPr="002C494A" w:rsidRDefault="00E62DA4" w:rsidP="00851E27">
      <w:pPr>
        <w:tabs>
          <w:tab w:val="num" w:pos="709"/>
        </w:tabs>
        <w:ind w:left="851" w:hanging="851"/>
        <w:rPr>
          <w:rFonts w:cs="Arial"/>
          <w:i/>
          <w:sz w:val="22"/>
          <w:szCs w:val="22"/>
        </w:rPr>
      </w:pPr>
      <w:r w:rsidRPr="002C494A">
        <w:rPr>
          <w:rFonts w:cs="Arial"/>
          <w:sz w:val="22"/>
          <w:szCs w:val="22"/>
        </w:rPr>
        <w:t>2.1</w:t>
      </w:r>
      <w:r w:rsidR="00B545C9">
        <w:rPr>
          <w:rFonts w:cs="Arial"/>
          <w:sz w:val="22"/>
          <w:szCs w:val="22"/>
        </w:rPr>
        <w:t>1</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bookmarkEnd w:id="0"/>
      <w:bookmarkEnd w:id="1"/>
      <w:bookmarkEnd w:id="2"/>
      <w:bookmarkEnd w:id="3"/>
      <w:r w:rsidR="008F2482" w:rsidRPr="002C494A">
        <w:rPr>
          <w:rFonts w:cs="Arial"/>
          <w:i/>
          <w:sz w:val="22"/>
          <w:szCs w:val="22"/>
        </w:rPr>
        <w:t>Liquidity</w:t>
      </w:r>
    </w:p>
    <w:p w:rsidR="00E62DA4" w:rsidRPr="002C494A" w:rsidRDefault="00E62DA4" w:rsidP="00851E27">
      <w:pPr>
        <w:tabs>
          <w:tab w:val="num" w:pos="709"/>
        </w:tabs>
        <w:ind w:left="851" w:hanging="851"/>
        <w:rPr>
          <w:rFonts w:cs="Arial"/>
          <w:b/>
          <w:sz w:val="22"/>
          <w:szCs w:val="22"/>
        </w:rPr>
      </w:pPr>
    </w:p>
    <w:p w:rsidR="008F2482" w:rsidRPr="002C494A" w:rsidRDefault="00EE235D" w:rsidP="00851E27">
      <w:pPr>
        <w:tabs>
          <w:tab w:val="num" w:pos="709"/>
        </w:tabs>
        <w:ind w:left="851" w:hanging="851"/>
        <w:rPr>
          <w:rFonts w:cs="Arial"/>
          <w:sz w:val="22"/>
          <w:szCs w:val="22"/>
        </w:rPr>
      </w:pPr>
      <w:r w:rsidRPr="002C494A">
        <w:rPr>
          <w:rFonts w:cs="Arial"/>
          <w:sz w:val="22"/>
          <w:szCs w:val="22"/>
        </w:rPr>
        <w:tab/>
      </w:r>
      <w:r w:rsidR="00E62DA4" w:rsidRPr="002C494A">
        <w:rPr>
          <w:rFonts w:cs="Arial"/>
          <w:sz w:val="22"/>
          <w:szCs w:val="22"/>
        </w:rPr>
        <w:fldChar w:fldCharType="begin"/>
      </w:r>
      <w:r w:rsidR="00E62DA4" w:rsidRPr="002C494A">
        <w:rPr>
          <w:rFonts w:cs="Arial"/>
          <w:sz w:val="22"/>
          <w:szCs w:val="22"/>
        </w:rPr>
        <w:instrText xml:space="preserve">  </w:instrText>
      </w:r>
      <w:r w:rsidR="00E62DA4" w:rsidRPr="002C494A">
        <w:rPr>
          <w:rFonts w:cs="Arial"/>
          <w:sz w:val="22"/>
          <w:szCs w:val="22"/>
        </w:rPr>
        <w:fldChar w:fldCharType="end"/>
      </w:r>
      <w:r w:rsidR="00E62DA4" w:rsidRPr="002C494A">
        <w:rPr>
          <w:rFonts w:cs="Arial"/>
          <w:noProof/>
          <w:sz w:val="22"/>
          <w:szCs w:val="22"/>
        </w:rPr>
        <w:t xml:space="preserve"> </w:t>
      </w:r>
      <w:r w:rsidR="00E62DA4" w:rsidRPr="002C494A">
        <w:rPr>
          <w:rFonts w:cs="Arial"/>
          <w:noProof/>
          <w:sz w:val="22"/>
          <w:szCs w:val="22"/>
        </w:rPr>
        <w:tab/>
      </w:r>
      <w:r w:rsidR="008F2482" w:rsidRPr="002C494A">
        <w:rPr>
          <w:rFonts w:cs="Arial"/>
          <w:sz w:val="22"/>
          <w:szCs w:val="22"/>
        </w:rPr>
        <w:t>The Council set liquidity facilities/benchmarks to maintain:</w:t>
      </w:r>
    </w:p>
    <w:p w:rsidR="00E62DA4" w:rsidRPr="002C494A" w:rsidRDefault="00E62DA4" w:rsidP="00851E27">
      <w:pPr>
        <w:tabs>
          <w:tab w:val="num" w:pos="709"/>
        </w:tabs>
        <w:ind w:left="851" w:hanging="851"/>
        <w:rPr>
          <w:rFonts w:cs="Arial"/>
          <w:sz w:val="22"/>
          <w:szCs w:val="22"/>
        </w:rPr>
      </w:pPr>
    </w:p>
    <w:p w:rsidR="008F2482" w:rsidRPr="00296246" w:rsidRDefault="008F2482" w:rsidP="00851E27">
      <w:pPr>
        <w:numPr>
          <w:ilvl w:val="0"/>
          <w:numId w:val="22"/>
        </w:numPr>
        <w:ind w:left="851" w:hanging="851"/>
        <w:rPr>
          <w:rFonts w:cs="Arial"/>
          <w:b/>
          <w:sz w:val="22"/>
          <w:szCs w:val="22"/>
        </w:rPr>
      </w:pPr>
      <w:r w:rsidRPr="002C494A">
        <w:rPr>
          <w:rFonts w:cs="Arial"/>
          <w:sz w:val="22"/>
          <w:szCs w:val="22"/>
        </w:rPr>
        <w:t xml:space="preserve">Bank overdraft </w:t>
      </w:r>
      <w:r w:rsidR="00B545C9" w:rsidRPr="00296246">
        <w:rPr>
          <w:rFonts w:cs="Arial"/>
          <w:sz w:val="22"/>
          <w:szCs w:val="22"/>
        </w:rPr>
        <w:t xml:space="preserve">of </w:t>
      </w:r>
      <w:r w:rsidRPr="00296246">
        <w:rPr>
          <w:rFonts w:cs="Arial"/>
          <w:sz w:val="22"/>
          <w:szCs w:val="22"/>
        </w:rPr>
        <w:t>£0m.</w:t>
      </w:r>
    </w:p>
    <w:p w:rsidR="008F2482" w:rsidRPr="002C494A" w:rsidRDefault="008F2482" w:rsidP="00851E27">
      <w:pPr>
        <w:numPr>
          <w:ilvl w:val="0"/>
          <w:numId w:val="22"/>
        </w:numPr>
        <w:ind w:left="851" w:hanging="851"/>
        <w:rPr>
          <w:rFonts w:cs="Arial"/>
          <w:b/>
          <w:sz w:val="22"/>
          <w:szCs w:val="22"/>
        </w:rPr>
      </w:pPr>
      <w:r w:rsidRPr="002C494A">
        <w:rPr>
          <w:rFonts w:cs="Arial"/>
          <w:sz w:val="22"/>
          <w:szCs w:val="22"/>
        </w:rPr>
        <w:t xml:space="preserve">The benefit of instant access to its funds on </w:t>
      </w:r>
      <w:r w:rsidR="00123CE5" w:rsidRPr="002C494A">
        <w:rPr>
          <w:rFonts w:cs="Arial"/>
          <w:sz w:val="22"/>
          <w:szCs w:val="22"/>
        </w:rPr>
        <w:t>the general account with Lloyds</w:t>
      </w:r>
      <w:r w:rsidRPr="002C494A">
        <w:rPr>
          <w:rFonts w:cs="Arial"/>
          <w:sz w:val="22"/>
          <w:szCs w:val="22"/>
        </w:rPr>
        <w:t xml:space="preserve">. </w:t>
      </w:r>
    </w:p>
    <w:p w:rsidR="00E62DA4" w:rsidRPr="002C494A" w:rsidRDefault="00E62DA4" w:rsidP="00851E27">
      <w:pPr>
        <w:ind w:left="851" w:hanging="851"/>
        <w:rPr>
          <w:rFonts w:cs="Arial"/>
          <w:sz w:val="22"/>
          <w:szCs w:val="22"/>
        </w:rPr>
      </w:pPr>
    </w:p>
    <w:p w:rsidR="008F2482" w:rsidRPr="002C494A" w:rsidRDefault="00E62DA4" w:rsidP="00851E27">
      <w:pPr>
        <w:tabs>
          <w:tab w:val="num" w:pos="709"/>
        </w:tabs>
        <w:ind w:left="851" w:hanging="851"/>
        <w:rPr>
          <w:rFonts w:cs="Arial"/>
          <w:b/>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8F2482" w:rsidRPr="002C494A">
        <w:rPr>
          <w:rFonts w:cs="Arial"/>
          <w:sz w:val="22"/>
          <w:szCs w:val="22"/>
        </w:rPr>
        <w:t>The liquidity arrangements were adequate during the year to date.</w:t>
      </w:r>
    </w:p>
    <w:p w:rsidR="008F2482" w:rsidRPr="002C494A" w:rsidRDefault="008F2482" w:rsidP="00851E27">
      <w:pPr>
        <w:tabs>
          <w:tab w:val="num" w:pos="1440"/>
        </w:tabs>
        <w:ind w:left="851" w:hanging="851"/>
        <w:rPr>
          <w:rFonts w:cs="Arial"/>
          <w:sz w:val="22"/>
          <w:szCs w:val="22"/>
        </w:rPr>
      </w:pPr>
    </w:p>
    <w:p w:rsidR="008F2482" w:rsidRPr="002C494A" w:rsidRDefault="005372D1" w:rsidP="00851E27">
      <w:pPr>
        <w:tabs>
          <w:tab w:val="num" w:pos="709"/>
        </w:tabs>
        <w:ind w:left="851" w:hanging="851"/>
        <w:rPr>
          <w:rFonts w:cs="Arial"/>
          <w:sz w:val="22"/>
          <w:szCs w:val="22"/>
        </w:rPr>
      </w:pPr>
      <w:r w:rsidRPr="002C494A">
        <w:rPr>
          <w:rFonts w:cs="Arial"/>
          <w:sz w:val="22"/>
          <w:szCs w:val="22"/>
        </w:rPr>
        <w:t>2.1</w:t>
      </w:r>
      <w:r w:rsidR="00B545C9">
        <w:rPr>
          <w:rFonts w:cs="Arial"/>
          <w:sz w:val="22"/>
          <w:szCs w:val="22"/>
        </w:rPr>
        <w:t>2</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8F2482" w:rsidRPr="002C494A">
        <w:rPr>
          <w:rFonts w:cs="Arial"/>
          <w:i/>
          <w:sz w:val="22"/>
          <w:szCs w:val="22"/>
        </w:rPr>
        <w:t>Yield</w:t>
      </w:r>
    </w:p>
    <w:p w:rsidR="00ED4BD9" w:rsidRPr="002C494A" w:rsidRDefault="00ED4BD9" w:rsidP="00851E27">
      <w:pPr>
        <w:tabs>
          <w:tab w:val="num" w:pos="709"/>
        </w:tabs>
        <w:ind w:left="851" w:hanging="851"/>
        <w:rPr>
          <w:rFonts w:cs="Arial"/>
          <w:sz w:val="22"/>
          <w:szCs w:val="22"/>
        </w:rPr>
      </w:pPr>
    </w:p>
    <w:p w:rsidR="00ED4BD9" w:rsidRPr="002C494A" w:rsidRDefault="00ED4BD9" w:rsidP="00851E27">
      <w:pPr>
        <w:tabs>
          <w:tab w:val="num" w:pos="709"/>
        </w:tabs>
        <w:ind w:left="851" w:hanging="851"/>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Pr="002C494A">
        <w:rPr>
          <w:rFonts w:cs="Arial"/>
          <w:sz w:val="22"/>
          <w:szCs w:val="22"/>
        </w:rPr>
        <w:t xml:space="preserve">The budget for interest </w:t>
      </w:r>
      <w:r w:rsidR="006F33CC" w:rsidRPr="002C494A">
        <w:rPr>
          <w:rFonts w:cs="Arial"/>
          <w:sz w:val="22"/>
          <w:szCs w:val="22"/>
        </w:rPr>
        <w:t>earned</w:t>
      </w:r>
      <w:r w:rsidR="0028593C" w:rsidRPr="002C494A">
        <w:rPr>
          <w:rFonts w:cs="Arial"/>
          <w:sz w:val="22"/>
          <w:szCs w:val="22"/>
        </w:rPr>
        <w:t xml:space="preserve"> </w:t>
      </w:r>
      <w:r w:rsidRPr="002C494A">
        <w:rPr>
          <w:rFonts w:cs="Arial"/>
          <w:sz w:val="22"/>
          <w:szCs w:val="22"/>
        </w:rPr>
        <w:t xml:space="preserve">on investments for </w:t>
      </w:r>
      <w:r w:rsidR="00C21C08" w:rsidRPr="002C494A">
        <w:rPr>
          <w:rFonts w:cs="Arial"/>
          <w:sz w:val="22"/>
          <w:szCs w:val="22"/>
        </w:rPr>
        <w:t>201</w:t>
      </w:r>
      <w:r w:rsidR="00B545C9">
        <w:rPr>
          <w:rFonts w:cs="Arial"/>
          <w:sz w:val="22"/>
          <w:szCs w:val="22"/>
        </w:rPr>
        <w:t>7</w:t>
      </w:r>
      <w:r w:rsidR="00C21C08" w:rsidRPr="002C494A">
        <w:rPr>
          <w:rFonts w:cs="Arial"/>
          <w:sz w:val="22"/>
          <w:szCs w:val="22"/>
        </w:rPr>
        <w:t>/1</w:t>
      </w:r>
      <w:r w:rsidR="00B545C9">
        <w:rPr>
          <w:rFonts w:cs="Arial"/>
          <w:sz w:val="22"/>
          <w:szCs w:val="22"/>
        </w:rPr>
        <w:t>8</w:t>
      </w:r>
      <w:r w:rsidRPr="002C494A">
        <w:rPr>
          <w:rFonts w:cs="Arial"/>
          <w:sz w:val="22"/>
          <w:szCs w:val="22"/>
        </w:rPr>
        <w:t xml:space="preserve"> is £</w:t>
      </w:r>
      <w:r w:rsidR="00FF74A8" w:rsidRPr="00FF74A8">
        <w:rPr>
          <w:rFonts w:cs="Arial"/>
          <w:sz w:val="22"/>
          <w:szCs w:val="22"/>
        </w:rPr>
        <w:t>139</w:t>
      </w:r>
      <w:r w:rsidR="004322D2" w:rsidRPr="00FF74A8">
        <w:rPr>
          <w:rFonts w:cs="Arial"/>
          <w:sz w:val="22"/>
          <w:szCs w:val="22"/>
        </w:rPr>
        <w:t>,000</w:t>
      </w:r>
      <w:r w:rsidR="0028593C" w:rsidRPr="00FF74A8">
        <w:rPr>
          <w:rFonts w:cs="Arial"/>
          <w:sz w:val="22"/>
          <w:szCs w:val="22"/>
        </w:rPr>
        <w:t>;</w:t>
      </w:r>
      <w:r w:rsidRPr="00FF74A8">
        <w:rPr>
          <w:rFonts w:cs="Arial"/>
          <w:sz w:val="22"/>
          <w:szCs w:val="22"/>
        </w:rPr>
        <w:t xml:space="preserve"> interest received </w:t>
      </w:r>
      <w:r w:rsidR="00E822A8" w:rsidRPr="00FF74A8">
        <w:rPr>
          <w:rFonts w:cs="Arial"/>
          <w:sz w:val="22"/>
          <w:szCs w:val="22"/>
        </w:rPr>
        <w:t xml:space="preserve">and accrued </w:t>
      </w:r>
      <w:r w:rsidRPr="00FF74A8">
        <w:rPr>
          <w:rFonts w:cs="Arial"/>
          <w:sz w:val="22"/>
          <w:szCs w:val="22"/>
        </w:rPr>
        <w:t xml:space="preserve">up to the end of </w:t>
      </w:r>
      <w:r w:rsidRPr="00D90529">
        <w:rPr>
          <w:rFonts w:cs="Arial"/>
          <w:sz w:val="22"/>
          <w:szCs w:val="22"/>
        </w:rPr>
        <w:t xml:space="preserve">September </w:t>
      </w:r>
      <w:r w:rsidR="0028593C" w:rsidRPr="00D90529">
        <w:rPr>
          <w:rFonts w:cs="Arial"/>
          <w:sz w:val="22"/>
          <w:szCs w:val="22"/>
        </w:rPr>
        <w:t>was</w:t>
      </w:r>
      <w:r w:rsidRPr="00D90529">
        <w:rPr>
          <w:rFonts w:cs="Arial"/>
          <w:sz w:val="22"/>
          <w:szCs w:val="22"/>
        </w:rPr>
        <w:t xml:space="preserve"> £</w:t>
      </w:r>
      <w:r w:rsidR="00D90529" w:rsidRPr="00D90529">
        <w:rPr>
          <w:rFonts w:cs="Arial"/>
          <w:sz w:val="22"/>
          <w:szCs w:val="22"/>
        </w:rPr>
        <w:t>11</w:t>
      </w:r>
      <w:r w:rsidR="00E822A8" w:rsidRPr="00D90529">
        <w:rPr>
          <w:rFonts w:cs="Arial"/>
          <w:sz w:val="22"/>
          <w:szCs w:val="22"/>
        </w:rPr>
        <w:t>4</w:t>
      </w:r>
      <w:r w:rsidR="004322D2" w:rsidRPr="00D90529">
        <w:rPr>
          <w:rFonts w:cs="Arial"/>
          <w:sz w:val="22"/>
          <w:szCs w:val="22"/>
        </w:rPr>
        <w:t>,</w:t>
      </w:r>
      <w:r w:rsidR="00D90529" w:rsidRPr="00D90529">
        <w:rPr>
          <w:rFonts w:cs="Arial"/>
          <w:sz w:val="22"/>
          <w:szCs w:val="22"/>
        </w:rPr>
        <w:t>7</w:t>
      </w:r>
      <w:r w:rsidR="00E822A8" w:rsidRPr="00D90529">
        <w:rPr>
          <w:rFonts w:cs="Arial"/>
          <w:sz w:val="22"/>
          <w:szCs w:val="22"/>
        </w:rPr>
        <w:t>00</w:t>
      </w:r>
      <w:r w:rsidRPr="00D90529">
        <w:rPr>
          <w:rFonts w:cs="Arial"/>
          <w:sz w:val="22"/>
          <w:szCs w:val="22"/>
        </w:rPr>
        <w:t>.</w:t>
      </w:r>
      <w:r w:rsidR="00E822A8" w:rsidRPr="00D90529">
        <w:rPr>
          <w:rFonts w:cs="Arial"/>
          <w:sz w:val="22"/>
          <w:szCs w:val="22"/>
        </w:rPr>
        <w:t xml:space="preserve">  Due to</w:t>
      </w:r>
      <w:r w:rsidR="00731CC3">
        <w:rPr>
          <w:rFonts w:cs="Arial"/>
          <w:sz w:val="22"/>
          <w:szCs w:val="22"/>
        </w:rPr>
        <w:t xml:space="preserve"> the recent rise in interest rates and the</w:t>
      </w:r>
      <w:r w:rsidR="00E822A8" w:rsidRPr="002C494A">
        <w:rPr>
          <w:rFonts w:cs="Arial"/>
          <w:sz w:val="22"/>
          <w:szCs w:val="22"/>
        </w:rPr>
        <w:t xml:space="preserve"> returns available,</w:t>
      </w:r>
      <w:r w:rsidR="009834B9">
        <w:rPr>
          <w:rFonts w:cs="Arial"/>
          <w:sz w:val="22"/>
          <w:szCs w:val="22"/>
        </w:rPr>
        <w:t xml:space="preserve"> it is expected that the budget will be exceeded.</w:t>
      </w:r>
    </w:p>
    <w:p w:rsidR="00ED4BD9" w:rsidRPr="002C494A" w:rsidRDefault="00ED4BD9" w:rsidP="00851E27">
      <w:pPr>
        <w:tabs>
          <w:tab w:val="num" w:pos="709"/>
        </w:tabs>
        <w:ind w:left="851" w:hanging="851"/>
        <w:rPr>
          <w:rFonts w:cs="Arial"/>
          <w:sz w:val="22"/>
          <w:szCs w:val="22"/>
        </w:rPr>
      </w:pPr>
    </w:p>
    <w:p w:rsidR="00ED4BD9" w:rsidRPr="002C494A" w:rsidRDefault="00EE235D" w:rsidP="00851E27">
      <w:pPr>
        <w:tabs>
          <w:tab w:val="num" w:pos="709"/>
        </w:tabs>
        <w:ind w:left="851" w:hanging="851"/>
        <w:rPr>
          <w:rFonts w:cs="Arial"/>
          <w:sz w:val="22"/>
          <w:szCs w:val="22"/>
        </w:rPr>
      </w:pPr>
      <w:r w:rsidRPr="002C494A">
        <w:rPr>
          <w:rFonts w:cs="Arial"/>
          <w:sz w:val="22"/>
          <w:szCs w:val="22"/>
        </w:rPr>
        <w:tab/>
      </w:r>
      <w:r w:rsidR="00ED4BD9" w:rsidRPr="002C494A">
        <w:rPr>
          <w:rFonts w:cs="Arial"/>
          <w:sz w:val="22"/>
          <w:szCs w:val="22"/>
        </w:rPr>
        <w:fldChar w:fldCharType="begin"/>
      </w:r>
      <w:r w:rsidR="00ED4BD9" w:rsidRPr="002C494A">
        <w:rPr>
          <w:rFonts w:cs="Arial"/>
          <w:sz w:val="22"/>
          <w:szCs w:val="22"/>
        </w:rPr>
        <w:instrText xml:space="preserve">  </w:instrText>
      </w:r>
      <w:r w:rsidR="00ED4BD9" w:rsidRPr="002C494A">
        <w:rPr>
          <w:rFonts w:cs="Arial"/>
          <w:sz w:val="22"/>
          <w:szCs w:val="22"/>
        </w:rPr>
        <w:fldChar w:fldCharType="end"/>
      </w:r>
      <w:r w:rsidR="00ED4BD9" w:rsidRPr="002C494A">
        <w:rPr>
          <w:rFonts w:cs="Arial"/>
          <w:noProof/>
          <w:sz w:val="22"/>
          <w:szCs w:val="22"/>
        </w:rPr>
        <w:t xml:space="preserve"> </w:t>
      </w:r>
      <w:r w:rsidR="00ED4BD9" w:rsidRPr="002C494A">
        <w:rPr>
          <w:rFonts w:cs="Arial"/>
          <w:noProof/>
          <w:sz w:val="22"/>
          <w:szCs w:val="22"/>
        </w:rPr>
        <w:tab/>
      </w:r>
      <w:r w:rsidR="00800E05" w:rsidRPr="002C494A">
        <w:rPr>
          <w:rFonts w:cs="Arial"/>
          <w:noProof/>
          <w:sz w:val="22"/>
          <w:szCs w:val="22"/>
        </w:rPr>
        <w:t>The approved</w:t>
      </w:r>
      <w:r w:rsidR="00800E05" w:rsidRPr="002C494A">
        <w:rPr>
          <w:rFonts w:cs="Arial"/>
          <w:sz w:val="22"/>
          <w:szCs w:val="22"/>
        </w:rPr>
        <w:t xml:space="preserve"> benchmark measure</w:t>
      </w:r>
      <w:r w:rsidR="008F2482" w:rsidRPr="002C494A">
        <w:rPr>
          <w:rFonts w:cs="Arial"/>
          <w:sz w:val="22"/>
          <w:szCs w:val="22"/>
        </w:rPr>
        <w:t xml:space="preserve"> of yield </w:t>
      </w:r>
      <w:r w:rsidR="00800E05" w:rsidRPr="002C494A">
        <w:rPr>
          <w:rFonts w:cs="Arial"/>
          <w:sz w:val="22"/>
          <w:szCs w:val="22"/>
        </w:rPr>
        <w:t>is a</w:t>
      </w:r>
      <w:r w:rsidR="008F2482" w:rsidRPr="002C494A">
        <w:rPr>
          <w:rFonts w:cs="Arial"/>
          <w:sz w:val="22"/>
          <w:szCs w:val="22"/>
        </w:rPr>
        <w:t xml:space="preserve"> return</w:t>
      </w:r>
      <w:r w:rsidR="00800E05" w:rsidRPr="002C494A">
        <w:rPr>
          <w:rFonts w:cs="Arial"/>
          <w:sz w:val="22"/>
          <w:szCs w:val="22"/>
        </w:rPr>
        <w:t xml:space="preserve"> of</w:t>
      </w:r>
      <w:r w:rsidR="008F2482" w:rsidRPr="002C494A">
        <w:rPr>
          <w:rFonts w:cs="Arial"/>
          <w:sz w:val="22"/>
          <w:szCs w:val="22"/>
        </w:rPr>
        <w:t xml:space="preserve"> 0.12% above </w:t>
      </w:r>
      <w:r w:rsidR="0028593C" w:rsidRPr="002C494A">
        <w:rPr>
          <w:rFonts w:cs="Arial"/>
          <w:sz w:val="22"/>
          <w:szCs w:val="22"/>
        </w:rPr>
        <w:t xml:space="preserve">the </w:t>
      </w:r>
      <w:r w:rsidR="008F2482" w:rsidRPr="002C494A">
        <w:rPr>
          <w:rFonts w:cs="Arial"/>
          <w:sz w:val="22"/>
          <w:szCs w:val="22"/>
        </w:rPr>
        <w:t xml:space="preserve">average bank rate </w:t>
      </w:r>
      <w:r w:rsidR="0028593C" w:rsidRPr="002C494A">
        <w:rPr>
          <w:rFonts w:cs="Arial"/>
          <w:sz w:val="22"/>
          <w:szCs w:val="22"/>
        </w:rPr>
        <w:t>of 0.</w:t>
      </w:r>
      <w:r w:rsidR="00B545C9">
        <w:rPr>
          <w:rFonts w:cs="Arial"/>
          <w:sz w:val="22"/>
          <w:szCs w:val="22"/>
        </w:rPr>
        <w:t>25</w:t>
      </w:r>
      <w:r w:rsidR="008F2482" w:rsidRPr="002C494A">
        <w:rPr>
          <w:rFonts w:cs="Arial"/>
          <w:sz w:val="22"/>
          <w:szCs w:val="22"/>
        </w:rPr>
        <w:t>%</w:t>
      </w:r>
      <w:r w:rsidR="00144542" w:rsidRPr="002C494A">
        <w:rPr>
          <w:rFonts w:cs="Arial"/>
          <w:sz w:val="22"/>
          <w:szCs w:val="22"/>
        </w:rPr>
        <w:t xml:space="preserve"> (until </w:t>
      </w:r>
      <w:r w:rsidR="00B545C9">
        <w:rPr>
          <w:rFonts w:cs="Arial"/>
          <w:sz w:val="22"/>
          <w:szCs w:val="22"/>
        </w:rPr>
        <w:t>November 2017</w:t>
      </w:r>
      <w:r w:rsidR="00144542" w:rsidRPr="002C494A">
        <w:rPr>
          <w:rFonts w:cs="Arial"/>
          <w:sz w:val="22"/>
          <w:szCs w:val="22"/>
        </w:rPr>
        <w:t xml:space="preserve">, after which the bank rate was </w:t>
      </w:r>
      <w:r w:rsidR="00B545C9">
        <w:rPr>
          <w:rFonts w:cs="Arial"/>
          <w:sz w:val="22"/>
          <w:szCs w:val="22"/>
        </w:rPr>
        <w:t xml:space="preserve">increased </w:t>
      </w:r>
      <w:r w:rsidR="00144542" w:rsidRPr="002C494A">
        <w:rPr>
          <w:rFonts w:cs="Arial"/>
          <w:sz w:val="22"/>
          <w:szCs w:val="22"/>
        </w:rPr>
        <w:t>to 0.5</w:t>
      </w:r>
      <w:r w:rsidR="00B545C9">
        <w:rPr>
          <w:rFonts w:cs="Arial"/>
          <w:sz w:val="22"/>
          <w:szCs w:val="22"/>
        </w:rPr>
        <w:t>0</w:t>
      </w:r>
      <w:r w:rsidR="00144542" w:rsidRPr="002C494A">
        <w:rPr>
          <w:rFonts w:cs="Arial"/>
          <w:sz w:val="22"/>
          <w:szCs w:val="22"/>
        </w:rPr>
        <w:t>%)</w:t>
      </w:r>
      <w:r w:rsidR="008F2482" w:rsidRPr="002C494A">
        <w:rPr>
          <w:rFonts w:cs="Arial"/>
          <w:sz w:val="22"/>
          <w:szCs w:val="22"/>
        </w:rPr>
        <w:t>.</w:t>
      </w:r>
      <w:r w:rsidR="00144542" w:rsidRPr="002C494A">
        <w:rPr>
          <w:rFonts w:cs="Arial"/>
          <w:sz w:val="22"/>
          <w:szCs w:val="22"/>
        </w:rPr>
        <w:t xml:space="preserve"> </w:t>
      </w:r>
      <w:r w:rsidR="00800E05" w:rsidRPr="002C494A">
        <w:rPr>
          <w:rFonts w:cs="Arial"/>
          <w:sz w:val="22"/>
          <w:szCs w:val="22"/>
        </w:rPr>
        <w:t xml:space="preserve"> The</w:t>
      </w:r>
      <w:r w:rsidR="00ED4BD9" w:rsidRPr="002C494A">
        <w:rPr>
          <w:rFonts w:cs="Arial"/>
          <w:sz w:val="22"/>
          <w:szCs w:val="22"/>
        </w:rPr>
        <w:fldChar w:fldCharType="begin"/>
      </w:r>
      <w:r w:rsidR="00ED4BD9" w:rsidRPr="002C494A">
        <w:rPr>
          <w:rFonts w:cs="Arial"/>
          <w:sz w:val="22"/>
          <w:szCs w:val="22"/>
        </w:rPr>
        <w:instrText xml:space="preserve">  </w:instrText>
      </w:r>
      <w:r w:rsidR="00ED4BD9" w:rsidRPr="002C494A">
        <w:rPr>
          <w:rFonts w:cs="Arial"/>
          <w:sz w:val="22"/>
          <w:szCs w:val="22"/>
        </w:rPr>
        <w:fldChar w:fldCharType="end"/>
      </w:r>
      <w:r w:rsidR="00800E05" w:rsidRPr="002C494A">
        <w:rPr>
          <w:rFonts w:cs="Arial"/>
          <w:sz w:val="22"/>
          <w:szCs w:val="22"/>
        </w:rPr>
        <w:t xml:space="preserve"> r</w:t>
      </w:r>
      <w:r w:rsidR="00C21C08" w:rsidRPr="002C494A">
        <w:rPr>
          <w:rFonts w:cs="Arial"/>
          <w:sz w:val="22"/>
          <w:szCs w:val="22"/>
        </w:rPr>
        <w:t>eturns up to 30 September 201</w:t>
      </w:r>
      <w:r w:rsidR="00B545C9">
        <w:rPr>
          <w:rFonts w:cs="Arial"/>
          <w:sz w:val="22"/>
          <w:szCs w:val="22"/>
        </w:rPr>
        <w:t>7</w:t>
      </w:r>
      <w:r w:rsidR="00C21C08" w:rsidRPr="002C494A">
        <w:rPr>
          <w:rFonts w:cs="Arial"/>
          <w:sz w:val="22"/>
          <w:szCs w:val="22"/>
        </w:rPr>
        <w:t xml:space="preserve"> </w:t>
      </w:r>
      <w:r w:rsidR="005E2247" w:rsidRPr="002C494A">
        <w:rPr>
          <w:rFonts w:cs="Arial"/>
          <w:sz w:val="22"/>
          <w:szCs w:val="22"/>
        </w:rPr>
        <w:t xml:space="preserve">averaged </w:t>
      </w:r>
      <w:r w:rsidR="00FF74A8" w:rsidRPr="00FF74A8">
        <w:rPr>
          <w:rFonts w:cs="Arial"/>
          <w:sz w:val="22"/>
          <w:szCs w:val="22"/>
        </w:rPr>
        <w:t>0.50</w:t>
      </w:r>
      <w:r w:rsidR="008F2482" w:rsidRPr="00FF74A8">
        <w:rPr>
          <w:rFonts w:cs="Arial"/>
          <w:sz w:val="22"/>
          <w:szCs w:val="22"/>
        </w:rPr>
        <w:t>%, against a benchmark rate of 0.</w:t>
      </w:r>
      <w:r w:rsidR="00B545C9" w:rsidRPr="00FF74A8">
        <w:rPr>
          <w:rFonts w:cs="Arial"/>
          <w:sz w:val="22"/>
          <w:szCs w:val="22"/>
        </w:rPr>
        <w:t>37</w:t>
      </w:r>
      <w:r w:rsidR="008F2482" w:rsidRPr="00FF74A8">
        <w:rPr>
          <w:rFonts w:cs="Arial"/>
          <w:sz w:val="22"/>
          <w:szCs w:val="22"/>
        </w:rPr>
        <w:t>%</w:t>
      </w:r>
      <w:r w:rsidR="00B545C9" w:rsidRPr="00FF74A8">
        <w:rPr>
          <w:rFonts w:cs="Arial"/>
          <w:sz w:val="22"/>
          <w:szCs w:val="22"/>
        </w:rPr>
        <w:t>.</w:t>
      </w:r>
      <w:r w:rsidR="008F2482" w:rsidRPr="002C494A">
        <w:rPr>
          <w:rFonts w:cs="Arial"/>
          <w:sz w:val="22"/>
          <w:szCs w:val="22"/>
        </w:rPr>
        <w:t xml:space="preserve"> </w:t>
      </w:r>
    </w:p>
    <w:p w:rsidR="00ED4BD9" w:rsidRPr="002C494A" w:rsidRDefault="00ED4BD9" w:rsidP="00851E27">
      <w:pPr>
        <w:tabs>
          <w:tab w:val="num" w:pos="709"/>
        </w:tabs>
        <w:ind w:left="851" w:hanging="851"/>
        <w:rPr>
          <w:rFonts w:cs="Arial"/>
          <w:sz w:val="22"/>
          <w:szCs w:val="22"/>
        </w:rPr>
      </w:pPr>
    </w:p>
    <w:p w:rsidR="00C4295C" w:rsidRPr="002C494A" w:rsidRDefault="00E70037" w:rsidP="00212BC3">
      <w:pPr>
        <w:tabs>
          <w:tab w:val="num" w:pos="709"/>
        </w:tabs>
        <w:ind w:left="851"/>
        <w:rPr>
          <w:rFonts w:cs="Arial"/>
          <w:sz w:val="22"/>
          <w:szCs w:val="22"/>
        </w:rPr>
      </w:pPr>
      <w:r w:rsidRPr="002C494A">
        <w:rPr>
          <w:rFonts w:cs="Arial"/>
          <w:sz w:val="22"/>
          <w:szCs w:val="22"/>
        </w:rPr>
        <w:t xml:space="preserve">The average yield return was </w:t>
      </w:r>
      <w:r w:rsidR="009D2214" w:rsidRPr="002C494A">
        <w:rPr>
          <w:rFonts w:cs="Arial"/>
          <w:sz w:val="22"/>
          <w:szCs w:val="22"/>
        </w:rPr>
        <w:t>higher</w:t>
      </w:r>
      <w:r w:rsidRPr="002C494A">
        <w:rPr>
          <w:rFonts w:cs="Arial"/>
          <w:sz w:val="22"/>
          <w:szCs w:val="22"/>
        </w:rPr>
        <w:t xml:space="preserve"> than the benchmark for the year to date.</w:t>
      </w:r>
    </w:p>
    <w:p w:rsidR="00C4295C" w:rsidRPr="002C494A" w:rsidRDefault="00C4295C" w:rsidP="00851E27">
      <w:pPr>
        <w:tabs>
          <w:tab w:val="num" w:pos="709"/>
        </w:tabs>
        <w:ind w:left="851" w:hanging="851"/>
        <w:rPr>
          <w:rFonts w:cs="Arial"/>
          <w:sz w:val="22"/>
          <w:szCs w:val="22"/>
        </w:rPr>
      </w:pPr>
    </w:p>
    <w:p w:rsidR="00260BAC" w:rsidRPr="002C494A" w:rsidRDefault="00260BAC" w:rsidP="00212BC3">
      <w:pPr>
        <w:tabs>
          <w:tab w:val="num" w:pos="709"/>
        </w:tabs>
        <w:ind w:left="851"/>
        <w:rPr>
          <w:rFonts w:cs="Arial"/>
          <w:sz w:val="22"/>
          <w:szCs w:val="22"/>
        </w:rPr>
      </w:pPr>
      <w:r w:rsidRPr="002C494A">
        <w:rPr>
          <w:rFonts w:cs="Arial"/>
          <w:sz w:val="22"/>
          <w:szCs w:val="22"/>
        </w:rPr>
        <w:t>Table of Monthly Interest Rate</w:t>
      </w:r>
      <w:r w:rsidR="00E70037" w:rsidRPr="002C494A">
        <w:rPr>
          <w:rFonts w:cs="Arial"/>
          <w:sz w:val="22"/>
          <w:szCs w:val="22"/>
        </w:rPr>
        <w:t>s</w:t>
      </w:r>
      <w:r w:rsidRPr="002C494A">
        <w:rPr>
          <w:rFonts w:cs="Arial"/>
          <w:sz w:val="22"/>
          <w:szCs w:val="22"/>
        </w:rPr>
        <w:t xml:space="preserve"> to Date:</w:t>
      </w:r>
    </w:p>
    <w:p w:rsidR="00697CE8" w:rsidRPr="002C494A" w:rsidRDefault="00697CE8" w:rsidP="00851E27">
      <w:pPr>
        <w:ind w:left="851" w:hanging="851"/>
        <w:rPr>
          <w:rFonts w:cs="Arial"/>
          <w:sz w:val="22"/>
          <w:szCs w:val="22"/>
          <w:highlight w:val="yellow"/>
        </w:rPr>
      </w:pPr>
    </w:p>
    <w:tbl>
      <w:tblPr>
        <w:tblpPr w:leftFromText="180" w:rightFromText="180" w:vertAnchor="text" w:horzAnchor="page" w:tblpX="277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55"/>
      </w:tblGrid>
      <w:tr w:rsidR="00697CE8" w:rsidRPr="002C494A" w:rsidTr="00066F5D">
        <w:tc>
          <w:tcPr>
            <w:tcW w:w="1961" w:type="dxa"/>
            <w:shd w:val="clear" w:color="auto" w:fill="auto"/>
          </w:tcPr>
          <w:p w:rsidR="00697CE8" w:rsidRPr="002C494A" w:rsidRDefault="00697CE8" w:rsidP="00851E27">
            <w:pPr>
              <w:spacing w:line="360" w:lineRule="auto"/>
              <w:ind w:left="851" w:hanging="851"/>
              <w:rPr>
                <w:rFonts w:cs="Arial"/>
                <w:b/>
                <w:sz w:val="22"/>
                <w:szCs w:val="22"/>
              </w:rPr>
            </w:pPr>
            <w:r w:rsidRPr="002C494A">
              <w:rPr>
                <w:rFonts w:cs="Arial"/>
                <w:b/>
                <w:sz w:val="22"/>
                <w:szCs w:val="22"/>
              </w:rPr>
              <w:t>Month</w:t>
            </w:r>
          </w:p>
        </w:tc>
        <w:tc>
          <w:tcPr>
            <w:tcW w:w="1855" w:type="dxa"/>
            <w:shd w:val="clear" w:color="auto" w:fill="auto"/>
          </w:tcPr>
          <w:p w:rsidR="00697CE8" w:rsidRPr="002C494A" w:rsidRDefault="00697CE8" w:rsidP="00851E27">
            <w:pPr>
              <w:spacing w:line="360" w:lineRule="auto"/>
              <w:ind w:left="851" w:hanging="851"/>
              <w:rPr>
                <w:rFonts w:cs="Arial"/>
                <w:b/>
                <w:sz w:val="22"/>
                <w:szCs w:val="22"/>
              </w:rPr>
            </w:pPr>
            <w:r w:rsidRPr="002C494A">
              <w:rPr>
                <w:rFonts w:cs="Arial"/>
                <w:b/>
                <w:sz w:val="22"/>
                <w:szCs w:val="22"/>
              </w:rPr>
              <w:t>Rate Achieved</w:t>
            </w:r>
          </w:p>
        </w:tc>
      </w:tr>
      <w:tr w:rsidR="00697CE8" w:rsidRPr="002C494A" w:rsidTr="00066F5D">
        <w:trPr>
          <w:trHeight w:val="313"/>
        </w:trPr>
        <w:tc>
          <w:tcPr>
            <w:tcW w:w="1961" w:type="dxa"/>
            <w:shd w:val="clear" w:color="auto" w:fill="auto"/>
          </w:tcPr>
          <w:p w:rsidR="00697CE8" w:rsidRPr="002C494A" w:rsidRDefault="00697CE8" w:rsidP="00851E27">
            <w:pPr>
              <w:spacing w:line="360" w:lineRule="auto"/>
              <w:ind w:left="851" w:hanging="851"/>
              <w:rPr>
                <w:rFonts w:cs="Arial"/>
                <w:sz w:val="22"/>
                <w:szCs w:val="22"/>
              </w:rPr>
            </w:pPr>
            <w:r w:rsidRPr="002C494A">
              <w:rPr>
                <w:rFonts w:cs="Arial"/>
                <w:sz w:val="22"/>
                <w:szCs w:val="22"/>
              </w:rPr>
              <w:t>April</w:t>
            </w:r>
          </w:p>
        </w:tc>
        <w:tc>
          <w:tcPr>
            <w:tcW w:w="1855" w:type="dxa"/>
            <w:shd w:val="clear" w:color="auto" w:fill="auto"/>
          </w:tcPr>
          <w:p w:rsidR="00697CE8" w:rsidRPr="00551751" w:rsidRDefault="00016558" w:rsidP="00851E27">
            <w:pPr>
              <w:spacing w:line="360" w:lineRule="auto"/>
              <w:ind w:left="851" w:hanging="851"/>
              <w:jc w:val="center"/>
              <w:rPr>
                <w:rFonts w:cs="Arial"/>
                <w:sz w:val="22"/>
                <w:szCs w:val="22"/>
              </w:rPr>
            </w:pPr>
            <w:r w:rsidRPr="00551751">
              <w:rPr>
                <w:rFonts w:cs="Arial"/>
                <w:sz w:val="22"/>
                <w:szCs w:val="22"/>
              </w:rPr>
              <w:t>0.</w:t>
            </w:r>
            <w:r w:rsidR="00551751" w:rsidRPr="00551751">
              <w:rPr>
                <w:rFonts w:cs="Arial"/>
                <w:sz w:val="22"/>
                <w:szCs w:val="22"/>
              </w:rPr>
              <w:t>51</w:t>
            </w:r>
            <w:r w:rsidRPr="00551751">
              <w:rPr>
                <w:rFonts w:cs="Arial"/>
                <w:sz w:val="22"/>
                <w:szCs w:val="22"/>
              </w:rPr>
              <w:t>%</w:t>
            </w:r>
          </w:p>
        </w:tc>
      </w:tr>
      <w:tr w:rsidR="00697CE8" w:rsidRPr="002C494A" w:rsidTr="00066F5D">
        <w:trPr>
          <w:trHeight w:val="296"/>
        </w:trPr>
        <w:tc>
          <w:tcPr>
            <w:tcW w:w="1961" w:type="dxa"/>
            <w:shd w:val="clear" w:color="auto" w:fill="auto"/>
          </w:tcPr>
          <w:p w:rsidR="00697CE8" w:rsidRPr="002C494A" w:rsidRDefault="00697CE8" w:rsidP="00851E27">
            <w:pPr>
              <w:spacing w:line="360" w:lineRule="auto"/>
              <w:ind w:left="851" w:hanging="851"/>
              <w:rPr>
                <w:rFonts w:cs="Arial"/>
                <w:sz w:val="22"/>
                <w:szCs w:val="22"/>
              </w:rPr>
            </w:pPr>
            <w:r w:rsidRPr="002C494A">
              <w:rPr>
                <w:rFonts w:cs="Arial"/>
                <w:sz w:val="22"/>
                <w:szCs w:val="22"/>
              </w:rPr>
              <w:t>May</w:t>
            </w:r>
          </w:p>
        </w:tc>
        <w:tc>
          <w:tcPr>
            <w:tcW w:w="1855" w:type="dxa"/>
            <w:shd w:val="clear" w:color="auto" w:fill="auto"/>
          </w:tcPr>
          <w:p w:rsidR="00697CE8" w:rsidRPr="00551751" w:rsidRDefault="00016558" w:rsidP="00851E27">
            <w:pPr>
              <w:spacing w:line="360" w:lineRule="auto"/>
              <w:ind w:left="851" w:hanging="851"/>
              <w:jc w:val="center"/>
              <w:rPr>
                <w:rFonts w:cs="Arial"/>
                <w:sz w:val="22"/>
                <w:szCs w:val="22"/>
              </w:rPr>
            </w:pPr>
            <w:r w:rsidRPr="00551751">
              <w:rPr>
                <w:rFonts w:cs="Arial"/>
                <w:sz w:val="22"/>
                <w:szCs w:val="22"/>
              </w:rPr>
              <w:t>0.</w:t>
            </w:r>
            <w:r w:rsidR="00551751" w:rsidRPr="00551751">
              <w:rPr>
                <w:rFonts w:cs="Arial"/>
                <w:sz w:val="22"/>
                <w:szCs w:val="22"/>
              </w:rPr>
              <w:t>51</w:t>
            </w:r>
            <w:r w:rsidRPr="00551751">
              <w:rPr>
                <w:rFonts w:cs="Arial"/>
                <w:sz w:val="22"/>
                <w:szCs w:val="22"/>
              </w:rPr>
              <w:t>%</w:t>
            </w:r>
          </w:p>
        </w:tc>
      </w:tr>
      <w:tr w:rsidR="00697CE8" w:rsidRPr="002C494A" w:rsidTr="00066F5D">
        <w:tc>
          <w:tcPr>
            <w:tcW w:w="1961" w:type="dxa"/>
            <w:shd w:val="clear" w:color="auto" w:fill="auto"/>
          </w:tcPr>
          <w:p w:rsidR="00697CE8" w:rsidRPr="002C494A" w:rsidRDefault="00697CE8" w:rsidP="00851E27">
            <w:pPr>
              <w:spacing w:line="360" w:lineRule="auto"/>
              <w:ind w:left="851" w:hanging="851"/>
              <w:rPr>
                <w:rFonts w:cs="Arial"/>
                <w:sz w:val="22"/>
                <w:szCs w:val="22"/>
              </w:rPr>
            </w:pPr>
            <w:r w:rsidRPr="002C494A">
              <w:rPr>
                <w:rFonts w:cs="Arial"/>
                <w:sz w:val="22"/>
                <w:szCs w:val="22"/>
              </w:rPr>
              <w:t>June</w:t>
            </w:r>
          </w:p>
        </w:tc>
        <w:tc>
          <w:tcPr>
            <w:tcW w:w="1855" w:type="dxa"/>
            <w:shd w:val="clear" w:color="auto" w:fill="auto"/>
          </w:tcPr>
          <w:p w:rsidR="00697CE8" w:rsidRPr="00551751" w:rsidRDefault="00697CE8" w:rsidP="00851E27">
            <w:pPr>
              <w:spacing w:line="360" w:lineRule="auto"/>
              <w:ind w:left="851" w:hanging="851"/>
              <w:jc w:val="center"/>
              <w:rPr>
                <w:rFonts w:cs="Arial"/>
                <w:sz w:val="22"/>
                <w:szCs w:val="22"/>
              </w:rPr>
            </w:pPr>
            <w:r w:rsidRPr="00551751">
              <w:rPr>
                <w:rFonts w:cs="Arial"/>
                <w:sz w:val="22"/>
                <w:szCs w:val="22"/>
              </w:rPr>
              <w:t>0.</w:t>
            </w:r>
            <w:r w:rsidR="00551751" w:rsidRPr="00551751">
              <w:rPr>
                <w:rFonts w:cs="Arial"/>
                <w:sz w:val="22"/>
                <w:szCs w:val="22"/>
              </w:rPr>
              <w:t>50</w:t>
            </w:r>
            <w:r w:rsidRPr="00551751">
              <w:rPr>
                <w:rFonts w:cs="Arial"/>
                <w:sz w:val="22"/>
                <w:szCs w:val="22"/>
              </w:rPr>
              <w:t>%</w:t>
            </w:r>
          </w:p>
        </w:tc>
      </w:tr>
      <w:tr w:rsidR="00697CE8" w:rsidRPr="002C494A" w:rsidTr="00066F5D">
        <w:tc>
          <w:tcPr>
            <w:tcW w:w="1961" w:type="dxa"/>
            <w:shd w:val="clear" w:color="auto" w:fill="auto"/>
          </w:tcPr>
          <w:p w:rsidR="00697CE8" w:rsidRPr="002C494A" w:rsidRDefault="00697CE8" w:rsidP="00851E27">
            <w:pPr>
              <w:spacing w:line="360" w:lineRule="auto"/>
              <w:ind w:left="851" w:hanging="851"/>
              <w:rPr>
                <w:rFonts w:cs="Arial"/>
                <w:sz w:val="22"/>
                <w:szCs w:val="22"/>
              </w:rPr>
            </w:pPr>
            <w:r w:rsidRPr="002C494A">
              <w:rPr>
                <w:rFonts w:cs="Arial"/>
                <w:sz w:val="22"/>
                <w:szCs w:val="22"/>
              </w:rPr>
              <w:t>July</w:t>
            </w:r>
          </w:p>
        </w:tc>
        <w:tc>
          <w:tcPr>
            <w:tcW w:w="1855" w:type="dxa"/>
            <w:shd w:val="clear" w:color="auto" w:fill="auto"/>
          </w:tcPr>
          <w:p w:rsidR="00697CE8" w:rsidRPr="00551751" w:rsidRDefault="00697CE8" w:rsidP="00851E27">
            <w:pPr>
              <w:spacing w:line="360" w:lineRule="auto"/>
              <w:ind w:left="851" w:hanging="851"/>
              <w:jc w:val="center"/>
              <w:rPr>
                <w:rFonts w:cs="Arial"/>
                <w:sz w:val="22"/>
                <w:szCs w:val="22"/>
              </w:rPr>
            </w:pPr>
            <w:r w:rsidRPr="00551751">
              <w:rPr>
                <w:rFonts w:cs="Arial"/>
                <w:sz w:val="22"/>
                <w:szCs w:val="22"/>
              </w:rPr>
              <w:t>0.</w:t>
            </w:r>
            <w:r w:rsidR="00551751" w:rsidRPr="00551751">
              <w:rPr>
                <w:rFonts w:cs="Arial"/>
                <w:sz w:val="22"/>
                <w:szCs w:val="22"/>
              </w:rPr>
              <w:t>50</w:t>
            </w:r>
            <w:r w:rsidRPr="00551751">
              <w:rPr>
                <w:rFonts w:cs="Arial"/>
                <w:sz w:val="22"/>
                <w:szCs w:val="22"/>
              </w:rPr>
              <w:t>%</w:t>
            </w:r>
          </w:p>
        </w:tc>
      </w:tr>
      <w:tr w:rsidR="00697CE8" w:rsidRPr="002C494A" w:rsidTr="00066F5D">
        <w:tc>
          <w:tcPr>
            <w:tcW w:w="1961" w:type="dxa"/>
            <w:shd w:val="clear" w:color="auto" w:fill="auto"/>
          </w:tcPr>
          <w:p w:rsidR="00697CE8" w:rsidRPr="002C494A" w:rsidRDefault="00697CE8" w:rsidP="00851E27">
            <w:pPr>
              <w:spacing w:line="360" w:lineRule="auto"/>
              <w:ind w:left="851" w:hanging="851"/>
              <w:rPr>
                <w:rFonts w:cs="Arial"/>
                <w:sz w:val="22"/>
                <w:szCs w:val="22"/>
              </w:rPr>
            </w:pPr>
            <w:r w:rsidRPr="002C494A">
              <w:rPr>
                <w:rFonts w:cs="Arial"/>
                <w:sz w:val="22"/>
                <w:szCs w:val="22"/>
              </w:rPr>
              <w:t>August</w:t>
            </w:r>
          </w:p>
        </w:tc>
        <w:tc>
          <w:tcPr>
            <w:tcW w:w="1855" w:type="dxa"/>
            <w:shd w:val="clear" w:color="auto" w:fill="auto"/>
          </w:tcPr>
          <w:p w:rsidR="00697CE8" w:rsidRPr="00551751" w:rsidRDefault="00697CE8" w:rsidP="00851E27">
            <w:pPr>
              <w:spacing w:line="360" w:lineRule="auto"/>
              <w:ind w:left="851" w:hanging="851"/>
              <w:jc w:val="center"/>
              <w:rPr>
                <w:rFonts w:cs="Arial"/>
                <w:sz w:val="22"/>
                <w:szCs w:val="22"/>
              </w:rPr>
            </w:pPr>
            <w:r w:rsidRPr="00551751">
              <w:rPr>
                <w:rFonts w:cs="Arial"/>
                <w:sz w:val="22"/>
                <w:szCs w:val="22"/>
              </w:rPr>
              <w:t>0.</w:t>
            </w:r>
            <w:r w:rsidR="00551751" w:rsidRPr="00551751">
              <w:rPr>
                <w:rFonts w:cs="Arial"/>
                <w:sz w:val="22"/>
                <w:szCs w:val="22"/>
              </w:rPr>
              <w:t>50</w:t>
            </w:r>
            <w:r w:rsidRPr="00551751">
              <w:rPr>
                <w:rFonts w:cs="Arial"/>
                <w:sz w:val="22"/>
                <w:szCs w:val="22"/>
              </w:rPr>
              <w:t>%</w:t>
            </w:r>
          </w:p>
        </w:tc>
      </w:tr>
      <w:tr w:rsidR="00697CE8" w:rsidRPr="002C494A" w:rsidTr="00066F5D">
        <w:tc>
          <w:tcPr>
            <w:tcW w:w="1961" w:type="dxa"/>
            <w:shd w:val="clear" w:color="auto" w:fill="auto"/>
          </w:tcPr>
          <w:p w:rsidR="00697CE8" w:rsidRPr="002C494A" w:rsidRDefault="00697CE8" w:rsidP="00851E27">
            <w:pPr>
              <w:spacing w:line="360" w:lineRule="auto"/>
              <w:ind w:left="851" w:hanging="851"/>
              <w:rPr>
                <w:rFonts w:cs="Arial"/>
                <w:sz w:val="22"/>
                <w:szCs w:val="22"/>
              </w:rPr>
            </w:pPr>
            <w:r w:rsidRPr="002C494A">
              <w:rPr>
                <w:rFonts w:cs="Arial"/>
                <w:sz w:val="22"/>
                <w:szCs w:val="22"/>
              </w:rPr>
              <w:t>September</w:t>
            </w:r>
          </w:p>
        </w:tc>
        <w:tc>
          <w:tcPr>
            <w:tcW w:w="1855" w:type="dxa"/>
            <w:shd w:val="clear" w:color="auto" w:fill="auto"/>
          </w:tcPr>
          <w:p w:rsidR="00697CE8" w:rsidRPr="00551751" w:rsidRDefault="00697CE8" w:rsidP="00851E27">
            <w:pPr>
              <w:spacing w:line="360" w:lineRule="auto"/>
              <w:ind w:left="851" w:hanging="851"/>
              <w:jc w:val="center"/>
              <w:rPr>
                <w:rFonts w:cs="Arial"/>
                <w:sz w:val="22"/>
                <w:szCs w:val="22"/>
              </w:rPr>
            </w:pPr>
            <w:r w:rsidRPr="00551751">
              <w:rPr>
                <w:rFonts w:cs="Arial"/>
                <w:sz w:val="22"/>
                <w:szCs w:val="22"/>
              </w:rPr>
              <w:t>0.</w:t>
            </w:r>
            <w:r w:rsidR="00551751" w:rsidRPr="00551751">
              <w:rPr>
                <w:rFonts w:cs="Arial"/>
                <w:sz w:val="22"/>
                <w:szCs w:val="22"/>
              </w:rPr>
              <w:t>48</w:t>
            </w:r>
            <w:r w:rsidRPr="00551751">
              <w:rPr>
                <w:rFonts w:cs="Arial"/>
                <w:sz w:val="22"/>
                <w:szCs w:val="22"/>
              </w:rPr>
              <w:t>%</w:t>
            </w:r>
          </w:p>
        </w:tc>
      </w:tr>
    </w:tbl>
    <w:p w:rsidR="00697CE8" w:rsidRPr="002C494A" w:rsidRDefault="00697CE8" w:rsidP="00851E27">
      <w:pPr>
        <w:ind w:left="851" w:hanging="851"/>
        <w:rPr>
          <w:rFonts w:cs="Arial"/>
          <w:sz w:val="22"/>
          <w:szCs w:val="22"/>
        </w:rPr>
      </w:pPr>
    </w:p>
    <w:p w:rsidR="00697CE8" w:rsidRPr="002C494A" w:rsidRDefault="00697CE8" w:rsidP="00851E27">
      <w:pPr>
        <w:ind w:left="851" w:hanging="851"/>
        <w:rPr>
          <w:rFonts w:cs="Arial"/>
          <w:sz w:val="22"/>
          <w:szCs w:val="22"/>
        </w:rPr>
      </w:pPr>
    </w:p>
    <w:p w:rsidR="00260BAC" w:rsidRPr="002C494A" w:rsidRDefault="00260BAC" w:rsidP="00851E27">
      <w:pPr>
        <w:ind w:left="851" w:hanging="851"/>
        <w:rPr>
          <w:rFonts w:cs="Arial"/>
          <w:sz w:val="22"/>
          <w:szCs w:val="22"/>
        </w:rPr>
      </w:pPr>
    </w:p>
    <w:p w:rsidR="00697CE8" w:rsidRPr="002C494A" w:rsidRDefault="00697CE8" w:rsidP="00851E27">
      <w:pPr>
        <w:ind w:left="851" w:hanging="851"/>
        <w:rPr>
          <w:rFonts w:cs="Arial"/>
          <w:sz w:val="22"/>
          <w:szCs w:val="22"/>
        </w:rPr>
      </w:pPr>
    </w:p>
    <w:p w:rsidR="00697CE8" w:rsidRPr="002C494A" w:rsidRDefault="00697CE8" w:rsidP="00851E27">
      <w:pPr>
        <w:ind w:left="851" w:hanging="851"/>
        <w:rPr>
          <w:rFonts w:cs="Arial"/>
          <w:sz w:val="22"/>
          <w:szCs w:val="22"/>
        </w:rPr>
      </w:pPr>
    </w:p>
    <w:p w:rsidR="00697CE8" w:rsidRPr="002C494A" w:rsidRDefault="00697CE8" w:rsidP="00851E27">
      <w:pPr>
        <w:ind w:left="851" w:hanging="851"/>
        <w:rPr>
          <w:rFonts w:cs="Arial"/>
          <w:sz w:val="22"/>
          <w:szCs w:val="22"/>
        </w:rPr>
      </w:pPr>
    </w:p>
    <w:p w:rsidR="00697CE8" w:rsidRPr="002C494A" w:rsidRDefault="00697CE8" w:rsidP="00851E27">
      <w:pPr>
        <w:ind w:left="851" w:hanging="851"/>
        <w:rPr>
          <w:rFonts w:cs="Arial"/>
          <w:sz w:val="22"/>
          <w:szCs w:val="22"/>
        </w:rPr>
      </w:pPr>
    </w:p>
    <w:p w:rsidR="00137FEE" w:rsidRPr="002C494A" w:rsidRDefault="00137FEE" w:rsidP="00851E27">
      <w:pPr>
        <w:ind w:left="851" w:hanging="851"/>
        <w:rPr>
          <w:rFonts w:cs="Arial"/>
          <w:sz w:val="22"/>
          <w:szCs w:val="22"/>
        </w:rPr>
      </w:pPr>
    </w:p>
    <w:p w:rsidR="00137FEE" w:rsidRPr="002C494A" w:rsidRDefault="00137FEE" w:rsidP="00851E27">
      <w:pPr>
        <w:ind w:left="851" w:hanging="851"/>
        <w:rPr>
          <w:rFonts w:cs="Arial"/>
          <w:sz w:val="22"/>
          <w:szCs w:val="22"/>
        </w:rPr>
      </w:pPr>
    </w:p>
    <w:p w:rsidR="00137FEE" w:rsidRPr="002C494A" w:rsidRDefault="00137FEE" w:rsidP="00851E27">
      <w:pPr>
        <w:ind w:left="851" w:hanging="851"/>
        <w:rPr>
          <w:rFonts w:cs="Arial"/>
          <w:sz w:val="22"/>
          <w:szCs w:val="22"/>
        </w:rPr>
      </w:pPr>
    </w:p>
    <w:p w:rsidR="00ED4BD9" w:rsidRPr="002C494A" w:rsidRDefault="00ED4BD9" w:rsidP="00851E27">
      <w:pPr>
        <w:ind w:left="851" w:hanging="851"/>
        <w:rPr>
          <w:rFonts w:cs="Arial"/>
          <w:sz w:val="22"/>
          <w:szCs w:val="22"/>
        </w:rPr>
      </w:pPr>
    </w:p>
    <w:p w:rsidR="00260BAC" w:rsidRPr="002C494A" w:rsidRDefault="00260BAC" w:rsidP="00851E27">
      <w:pPr>
        <w:ind w:left="851" w:hanging="851"/>
        <w:rPr>
          <w:rFonts w:cs="Arial"/>
          <w:sz w:val="22"/>
          <w:szCs w:val="22"/>
        </w:rPr>
      </w:pPr>
      <w:r w:rsidRPr="002C494A">
        <w:rPr>
          <w:rFonts w:cs="Arial"/>
          <w:sz w:val="22"/>
          <w:szCs w:val="22"/>
        </w:rPr>
        <w:t xml:space="preserve"> </w:t>
      </w:r>
    </w:p>
    <w:p w:rsidR="00ED4BD9" w:rsidRPr="002C494A" w:rsidRDefault="00ED4BD9" w:rsidP="002C494A">
      <w:pPr>
        <w:tabs>
          <w:tab w:val="num" w:pos="720"/>
        </w:tabs>
        <w:ind w:left="851" w:hanging="851"/>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00212BC3" w:rsidRPr="002C494A">
        <w:rPr>
          <w:rFonts w:cs="Arial"/>
          <w:sz w:val="22"/>
          <w:szCs w:val="22"/>
        </w:rPr>
        <w:t>T</w:t>
      </w:r>
      <w:r w:rsidR="00213CE0" w:rsidRPr="002C494A">
        <w:rPr>
          <w:rFonts w:cs="Arial"/>
          <w:sz w:val="22"/>
          <w:szCs w:val="22"/>
        </w:rPr>
        <w:t xml:space="preserve">he Council keeps all investments short term. There are no sums invested for greater than 364 days. </w:t>
      </w:r>
      <w:r w:rsidR="00B545C9">
        <w:rPr>
          <w:rFonts w:cs="Arial"/>
          <w:sz w:val="22"/>
          <w:szCs w:val="22"/>
        </w:rPr>
        <w:t xml:space="preserve"> </w:t>
      </w:r>
      <w:r w:rsidR="00213CE0" w:rsidRPr="002C494A">
        <w:rPr>
          <w:rFonts w:cs="Arial"/>
          <w:sz w:val="22"/>
          <w:szCs w:val="22"/>
        </w:rPr>
        <w:t xml:space="preserve">Counterparties have been downgraded over the past few </w:t>
      </w:r>
      <w:r w:rsidR="00800E05" w:rsidRPr="002C494A">
        <w:rPr>
          <w:rFonts w:cs="Arial"/>
          <w:sz w:val="22"/>
          <w:szCs w:val="22"/>
        </w:rPr>
        <w:t>years;</w:t>
      </w:r>
      <w:r w:rsidR="00213CE0" w:rsidRPr="002C494A">
        <w:rPr>
          <w:rFonts w:cs="Arial"/>
          <w:sz w:val="22"/>
          <w:szCs w:val="22"/>
        </w:rPr>
        <w:t xml:space="preserve"> most investments have been limited to a 6 months period. This has resulted in lower interest rates being achieved.</w:t>
      </w:r>
      <w:r w:rsidR="00857EAF" w:rsidRPr="002C494A">
        <w:rPr>
          <w:rFonts w:cs="Arial"/>
          <w:sz w:val="22"/>
          <w:szCs w:val="22"/>
        </w:rPr>
        <w:t xml:space="preserve"> </w:t>
      </w:r>
    </w:p>
    <w:p w:rsidR="0028593C" w:rsidRPr="002C494A" w:rsidRDefault="0028593C" w:rsidP="00851E27">
      <w:pPr>
        <w:tabs>
          <w:tab w:val="num" w:pos="720"/>
        </w:tabs>
        <w:ind w:left="851" w:hanging="851"/>
        <w:rPr>
          <w:rFonts w:cs="Arial"/>
          <w:sz w:val="22"/>
          <w:szCs w:val="22"/>
        </w:rPr>
      </w:pPr>
    </w:p>
    <w:p w:rsidR="008F2482" w:rsidRPr="002C494A" w:rsidRDefault="00ED4BD9" w:rsidP="00851E27">
      <w:pPr>
        <w:tabs>
          <w:tab w:val="num" w:pos="720"/>
        </w:tabs>
        <w:ind w:left="851" w:hanging="851"/>
        <w:rPr>
          <w:rFonts w:cs="Arial"/>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Pr="002C494A">
        <w:rPr>
          <w:rFonts w:cs="Arial"/>
          <w:sz w:val="22"/>
          <w:szCs w:val="22"/>
        </w:rPr>
        <w:t>T</w:t>
      </w:r>
      <w:r w:rsidR="008F2482" w:rsidRPr="002C494A">
        <w:rPr>
          <w:rFonts w:cs="Arial"/>
          <w:sz w:val="22"/>
          <w:szCs w:val="22"/>
        </w:rPr>
        <w:t>he current investment counterparty criteria selection approved in the T</w:t>
      </w:r>
      <w:r w:rsidR="00E70037" w:rsidRPr="002C494A">
        <w:rPr>
          <w:rFonts w:cs="Arial"/>
          <w:sz w:val="22"/>
          <w:szCs w:val="22"/>
        </w:rPr>
        <w:t xml:space="preserve">MS </w:t>
      </w:r>
      <w:r w:rsidR="008F2482" w:rsidRPr="002C494A">
        <w:rPr>
          <w:rFonts w:cs="Arial"/>
          <w:sz w:val="22"/>
          <w:szCs w:val="22"/>
        </w:rPr>
        <w:t>is</w:t>
      </w:r>
      <w:r w:rsidR="00E70037" w:rsidRPr="002C494A">
        <w:rPr>
          <w:rFonts w:cs="Arial"/>
          <w:sz w:val="22"/>
          <w:szCs w:val="22"/>
        </w:rPr>
        <w:t xml:space="preserve"> being met</w:t>
      </w:r>
      <w:r w:rsidR="008F2482" w:rsidRPr="002C494A">
        <w:rPr>
          <w:rFonts w:cs="Arial"/>
          <w:sz w:val="22"/>
          <w:szCs w:val="22"/>
        </w:rPr>
        <w:t xml:space="preserve">.  </w:t>
      </w:r>
    </w:p>
    <w:p w:rsidR="00137FEE" w:rsidRPr="002C494A" w:rsidRDefault="00137FEE" w:rsidP="00851E27">
      <w:pPr>
        <w:ind w:left="851" w:hanging="851"/>
        <w:rPr>
          <w:rFonts w:cs="Arial"/>
          <w:b/>
          <w:sz w:val="22"/>
          <w:szCs w:val="22"/>
        </w:rPr>
      </w:pPr>
    </w:p>
    <w:p w:rsidR="001E3E7E" w:rsidRPr="002C494A" w:rsidRDefault="009D472B" w:rsidP="00851E27">
      <w:pPr>
        <w:tabs>
          <w:tab w:val="num" w:pos="709"/>
        </w:tabs>
        <w:ind w:left="851" w:hanging="851"/>
        <w:rPr>
          <w:rFonts w:cs="Arial"/>
          <w:i/>
          <w:sz w:val="22"/>
          <w:szCs w:val="22"/>
        </w:rPr>
      </w:pPr>
      <w:r w:rsidRPr="002C494A">
        <w:rPr>
          <w:rFonts w:cs="Arial"/>
          <w:sz w:val="22"/>
          <w:szCs w:val="22"/>
        </w:rPr>
        <w:t>2.14</w:t>
      </w: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1E3E7E" w:rsidRPr="002C494A">
        <w:rPr>
          <w:rFonts w:cs="Arial"/>
          <w:i/>
          <w:sz w:val="22"/>
          <w:szCs w:val="22"/>
        </w:rPr>
        <w:t>Credit Ratings</w:t>
      </w:r>
    </w:p>
    <w:p w:rsidR="009D472B" w:rsidRPr="002C494A" w:rsidRDefault="009D472B" w:rsidP="00851E27">
      <w:pPr>
        <w:tabs>
          <w:tab w:val="num" w:pos="709"/>
        </w:tabs>
        <w:ind w:left="851" w:hanging="851"/>
        <w:rPr>
          <w:rFonts w:cs="Arial"/>
          <w:b/>
          <w:sz w:val="22"/>
          <w:szCs w:val="22"/>
        </w:rPr>
      </w:pPr>
    </w:p>
    <w:p w:rsidR="008F2482" w:rsidRPr="002C494A" w:rsidRDefault="00EE235D" w:rsidP="00851E27">
      <w:pPr>
        <w:tabs>
          <w:tab w:val="num" w:pos="709"/>
        </w:tabs>
        <w:ind w:left="851" w:hanging="851"/>
        <w:rPr>
          <w:rFonts w:cs="Arial"/>
          <w:b/>
          <w:sz w:val="22"/>
          <w:szCs w:val="22"/>
        </w:rPr>
      </w:pPr>
      <w:r w:rsidRPr="002C494A">
        <w:rPr>
          <w:rFonts w:cs="Arial"/>
          <w:sz w:val="22"/>
          <w:szCs w:val="22"/>
        </w:rPr>
        <w:tab/>
      </w:r>
      <w:r w:rsidR="009D472B" w:rsidRPr="002C494A">
        <w:rPr>
          <w:rFonts w:cs="Arial"/>
          <w:sz w:val="22"/>
          <w:szCs w:val="22"/>
        </w:rPr>
        <w:fldChar w:fldCharType="begin"/>
      </w:r>
      <w:r w:rsidR="009D472B" w:rsidRPr="002C494A">
        <w:rPr>
          <w:rFonts w:cs="Arial"/>
          <w:sz w:val="22"/>
          <w:szCs w:val="22"/>
        </w:rPr>
        <w:instrText xml:space="preserve">  </w:instrText>
      </w:r>
      <w:r w:rsidR="009D472B" w:rsidRPr="002C494A">
        <w:rPr>
          <w:rFonts w:cs="Arial"/>
          <w:sz w:val="22"/>
          <w:szCs w:val="22"/>
        </w:rPr>
        <w:fldChar w:fldCharType="end"/>
      </w:r>
      <w:r w:rsidR="009D472B" w:rsidRPr="002C494A">
        <w:rPr>
          <w:rFonts w:cs="Arial"/>
          <w:noProof/>
          <w:sz w:val="22"/>
          <w:szCs w:val="22"/>
        </w:rPr>
        <w:t xml:space="preserve"> </w:t>
      </w:r>
      <w:r w:rsidR="009D472B" w:rsidRPr="002C494A">
        <w:rPr>
          <w:rFonts w:cs="Arial"/>
          <w:noProof/>
          <w:sz w:val="22"/>
          <w:szCs w:val="22"/>
        </w:rPr>
        <w:tab/>
      </w:r>
      <w:r w:rsidR="008F2482" w:rsidRPr="002C494A">
        <w:rPr>
          <w:rFonts w:cs="Arial"/>
          <w:sz w:val="22"/>
          <w:szCs w:val="22"/>
        </w:rPr>
        <w:t xml:space="preserve">Fitch and Moody provide </w:t>
      </w:r>
      <w:r w:rsidR="00C66467" w:rsidRPr="002C494A">
        <w:rPr>
          <w:rFonts w:cs="Arial"/>
          <w:sz w:val="22"/>
          <w:szCs w:val="22"/>
        </w:rPr>
        <w:t>the Council with</w:t>
      </w:r>
      <w:r w:rsidR="008F2482" w:rsidRPr="002C494A">
        <w:rPr>
          <w:rFonts w:cs="Arial"/>
          <w:sz w:val="22"/>
          <w:szCs w:val="22"/>
        </w:rPr>
        <w:t xml:space="preserve"> credit ratings for financial institutions</w:t>
      </w:r>
      <w:r w:rsidR="00C66467" w:rsidRPr="002C494A">
        <w:rPr>
          <w:rFonts w:cs="Arial"/>
          <w:sz w:val="22"/>
          <w:szCs w:val="22"/>
        </w:rPr>
        <w:t>,</w:t>
      </w:r>
      <w:r w:rsidR="008F2482" w:rsidRPr="002C494A">
        <w:rPr>
          <w:rFonts w:cs="Arial"/>
          <w:sz w:val="22"/>
          <w:szCs w:val="22"/>
        </w:rPr>
        <w:t xml:space="preserve"> </w:t>
      </w:r>
    </w:p>
    <w:p w:rsidR="008F2482" w:rsidRPr="002C494A" w:rsidRDefault="008F2482" w:rsidP="00851E27">
      <w:pPr>
        <w:tabs>
          <w:tab w:val="num" w:pos="540"/>
        </w:tabs>
        <w:ind w:left="851" w:hanging="851"/>
        <w:rPr>
          <w:rFonts w:cs="Arial"/>
          <w:sz w:val="22"/>
          <w:szCs w:val="22"/>
        </w:rPr>
      </w:pPr>
    </w:p>
    <w:p w:rsidR="00BE79C0" w:rsidRPr="002C494A" w:rsidRDefault="009D472B" w:rsidP="00851E27">
      <w:pPr>
        <w:tabs>
          <w:tab w:val="num" w:pos="709"/>
        </w:tabs>
        <w:ind w:left="851" w:hanging="851"/>
        <w:rPr>
          <w:rFonts w:cs="Arial"/>
          <w:b/>
          <w:sz w:val="22"/>
          <w:szCs w:val="22"/>
        </w:rPr>
      </w:pPr>
      <w:r w:rsidRPr="002C494A">
        <w:rPr>
          <w:rFonts w:cs="Arial"/>
          <w:sz w:val="22"/>
          <w:szCs w:val="22"/>
        </w:rPr>
        <w:tab/>
      </w:r>
      <w:r w:rsidRPr="002C494A">
        <w:rPr>
          <w:rFonts w:cs="Arial"/>
          <w:sz w:val="22"/>
          <w:szCs w:val="22"/>
        </w:rPr>
        <w:fldChar w:fldCharType="begin"/>
      </w:r>
      <w:r w:rsidRPr="002C494A">
        <w:rPr>
          <w:rFonts w:cs="Arial"/>
          <w:sz w:val="22"/>
          <w:szCs w:val="22"/>
        </w:rPr>
        <w:instrText xml:space="preserve">  </w:instrText>
      </w:r>
      <w:r w:rsidRPr="002C494A">
        <w:rPr>
          <w:rFonts w:cs="Arial"/>
          <w:sz w:val="22"/>
          <w:szCs w:val="22"/>
        </w:rPr>
        <w:fldChar w:fldCharType="end"/>
      </w:r>
      <w:r w:rsidRPr="002C494A">
        <w:rPr>
          <w:rFonts w:cs="Arial"/>
          <w:noProof/>
          <w:sz w:val="22"/>
          <w:szCs w:val="22"/>
        </w:rPr>
        <w:t xml:space="preserve"> </w:t>
      </w:r>
      <w:r w:rsidRPr="002C494A">
        <w:rPr>
          <w:rFonts w:cs="Arial"/>
          <w:noProof/>
          <w:sz w:val="22"/>
          <w:szCs w:val="22"/>
        </w:rPr>
        <w:tab/>
      </w:r>
      <w:r w:rsidR="00C66467" w:rsidRPr="002C494A">
        <w:rPr>
          <w:rFonts w:cs="Arial"/>
          <w:noProof/>
          <w:sz w:val="22"/>
          <w:szCs w:val="22"/>
        </w:rPr>
        <w:t>T</w:t>
      </w:r>
      <w:r w:rsidR="00DA2DB8" w:rsidRPr="002C494A">
        <w:rPr>
          <w:rFonts w:cs="Arial"/>
          <w:sz w:val="22"/>
          <w:szCs w:val="22"/>
        </w:rPr>
        <w:t xml:space="preserve">he credit rating of counterparties </w:t>
      </w:r>
      <w:r w:rsidR="008133D5" w:rsidRPr="002C494A">
        <w:rPr>
          <w:rFonts w:cs="Arial"/>
          <w:sz w:val="22"/>
          <w:szCs w:val="22"/>
        </w:rPr>
        <w:t>is</w:t>
      </w:r>
      <w:r w:rsidR="00DA2DB8" w:rsidRPr="002C494A">
        <w:rPr>
          <w:rFonts w:cs="Arial"/>
          <w:sz w:val="22"/>
          <w:szCs w:val="22"/>
        </w:rPr>
        <w:t xml:space="preserve"> monitored regularly.</w:t>
      </w:r>
      <w:r w:rsidR="004F63B6" w:rsidRPr="002C494A">
        <w:rPr>
          <w:rFonts w:cs="Arial"/>
          <w:sz w:val="22"/>
          <w:szCs w:val="22"/>
        </w:rPr>
        <w:t xml:space="preserve"> The Council receives credit </w:t>
      </w:r>
      <w:r w:rsidR="00DA2DB8" w:rsidRPr="002C494A">
        <w:rPr>
          <w:rFonts w:cs="Arial"/>
          <w:sz w:val="22"/>
          <w:szCs w:val="22"/>
        </w:rPr>
        <w:t xml:space="preserve">rating information (changes, rating watches and rating outlooks) from </w:t>
      </w:r>
      <w:r w:rsidR="006F33CC" w:rsidRPr="002C494A">
        <w:rPr>
          <w:rFonts w:cs="Arial"/>
          <w:sz w:val="22"/>
          <w:szCs w:val="22"/>
        </w:rPr>
        <w:t>Capita Asset Services Treasury Solutions</w:t>
      </w:r>
      <w:r w:rsidR="00DA2DB8" w:rsidRPr="002C494A">
        <w:rPr>
          <w:rFonts w:cs="Arial"/>
          <w:sz w:val="22"/>
          <w:szCs w:val="22"/>
        </w:rPr>
        <w:t xml:space="preserve"> as and when ratings change, and counterparties are checked promptly. The Council considers </w:t>
      </w:r>
      <w:r w:rsidR="00DA2DB8" w:rsidRPr="002C494A">
        <w:rPr>
          <w:rFonts w:cs="Arial"/>
          <w:bCs/>
          <w:sz w:val="22"/>
          <w:szCs w:val="22"/>
        </w:rPr>
        <w:t>minimum short term ratings</w:t>
      </w:r>
      <w:r w:rsidR="008133D5" w:rsidRPr="002C494A">
        <w:rPr>
          <w:rFonts w:cs="Arial"/>
          <w:bCs/>
          <w:sz w:val="22"/>
          <w:szCs w:val="22"/>
        </w:rPr>
        <w:t> </w:t>
      </w:r>
      <w:r w:rsidR="008133D5" w:rsidRPr="002C494A">
        <w:rPr>
          <w:rFonts w:cs="Arial"/>
          <w:sz w:val="22"/>
          <w:szCs w:val="22"/>
        </w:rPr>
        <w:t>as</w:t>
      </w:r>
      <w:r w:rsidR="00DA2DB8" w:rsidRPr="002C494A">
        <w:rPr>
          <w:rFonts w:cs="Arial"/>
          <w:sz w:val="22"/>
          <w:szCs w:val="22"/>
        </w:rPr>
        <w:t xml:space="preserve"> key criteria in the choice of creditworthy investment counterparties. F1+, P-1 and A-1+ are the highest short term credit ratings of Fitch, Moody's and Standard and Poor's respectively. Minimum Short Term Ratings, where given, these must be met, for all categories.</w:t>
      </w:r>
    </w:p>
    <w:p w:rsidR="004F63B6" w:rsidRPr="002C494A" w:rsidRDefault="004F63B6" w:rsidP="00851E27">
      <w:pPr>
        <w:tabs>
          <w:tab w:val="num" w:pos="540"/>
        </w:tabs>
        <w:ind w:left="851" w:hanging="851"/>
        <w:rPr>
          <w:rFonts w:cs="Arial"/>
          <w:sz w:val="22"/>
          <w:szCs w:val="22"/>
        </w:rPr>
      </w:pPr>
    </w:p>
    <w:p w:rsidR="004F1BCF" w:rsidRPr="002C494A" w:rsidRDefault="005A7CE7" w:rsidP="00851E27">
      <w:pPr>
        <w:tabs>
          <w:tab w:val="num" w:pos="709"/>
          <w:tab w:val="left" w:pos="1260"/>
        </w:tabs>
        <w:ind w:left="851" w:hanging="851"/>
        <w:rPr>
          <w:rFonts w:cs="Arial"/>
          <w:b/>
          <w:sz w:val="22"/>
          <w:szCs w:val="22"/>
        </w:rPr>
      </w:pPr>
      <w:r w:rsidRPr="002C494A">
        <w:rPr>
          <w:rFonts w:cs="Arial"/>
          <w:sz w:val="22"/>
          <w:szCs w:val="22"/>
        </w:rPr>
        <w:t>3</w:t>
      </w:r>
      <w:r w:rsidR="0070012C" w:rsidRPr="002C494A">
        <w:rPr>
          <w:rFonts w:cs="Arial"/>
          <w:sz w:val="22"/>
          <w:szCs w:val="22"/>
        </w:rPr>
        <w:t>.</w:t>
      </w:r>
      <w:r w:rsidR="0070012C" w:rsidRPr="002C494A">
        <w:rPr>
          <w:rFonts w:cs="Arial"/>
          <w:sz w:val="22"/>
          <w:szCs w:val="22"/>
        </w:rPr>
        <w:tab/>
      </w:r>
      <w:r w:rsidR="0070012C" w:rsidRPr="002C494A">
        <w:rPr>
          <w:rFonts w:cs="Arial"/>
          <w:sz w:val="22"/>
          <w:szCs w:val="22"/>
        </w:rPr>
        <w:tab/>
      </w:r>
      <w:r w:rsidR="004F1BCF" w:rsidRPr="002C494A">
        <w:rPr>
          <w:rFonts w:cs="Arial"/>
          <w:b/>
          <w:sz w:val="22"/>
          <w:szCs w:val="22"/>
        </w:rPr>
        <w:t>Options/Reasons for Recommendation</w:t>
      </w:r>
    </w:p>
    <w:p w:rsidR="00B2320E" w:rsidRPr="002C494A" w:rsidRDefault="00B2320E" w:rsidP="00851E27">
      <w:pPr>
        <w:tabs>
          <w:tab w:val="num" w:pos="709"/>
          <w:tab w:val="left" w:pos="1260"/>
        </w:tabs>
        <w:ind w:left="851" w:hanging="851"/>
        <w:rPr>
          <w:rFonts w:cs="Arial"/>
          <w:b/>
          <w:sz w:val="22"/>
          <w:szCs w:val="22"/>
        </w:rPr>
      </w:pPr>
    </w:p>
    <w:p w:rsidR="00B2320E" w:rsidRPr="002C494A" w:rsidRDefault="00B2320E" w:rsidP="00851E27">
      <w:pPr>
        <w:ind w:left="851" w:hanging="851"/>
        <w:rPr>
          <w:rFonts w:cs="Arial"/>
          <w:sz w:val="22"/>
          <w:szCs w:val="22"/>
        </w:rPr>
      </w:pPr>
      <w:r w:rsidRPr="002C494A">
        <w:rPr>
          <w:rFonts w:cs="Arial"/>
          <w:sz w:val="22"/>
          <w:szCs w:val="22"/>
        </w:rPr>
        <w:t>3.1</w:t>
      </w:r>
      <w:r w:rsidRPr="002C494A">
        <w:rPr>
          <w:rFonts w:cs="Arial"/>
          <w:sz w:val="22"/>
          <w:szCs w:val="22"/>
        </w:rPr>
        <w:tab/>
        <w:t>The recommendation allows members to note the contents of</w:t>
      </w:r>
      <w:r w:rsidRPr="002C494A">
        <w:rPr>
          <w:rFonts w:cs="Arial"/>
          <w:b/>
          <w:sz w:val="22"/>
          <w:szCs w:val="22"/>
        </w:rPr>
        <w:t xml:space="preserve"> </w:t>
      </w:r>
      <w:r w:rsidRPr="002C494A">
        <w:rPr>
          <w:rFonts w:cs="Arial"/>
          <w:sz w:val="22"/>
          <w:szCs w:val="22"/>
        </w:rPr>
        <w:t xml:space="preserve">the </w:t>
      </w:r>
      <w:r w:rsidR="00C21C08" w:rsidRPr="002C494A">
        <w:rPr>
          <w:rFonts w:cs="Arial"/>
          <w:sz w:val="22"/>
          <w:szCs w:val="22"/>
        </w:rPr>
        <w:t>201</w:t>
      </w:r>
      <w:r w:rsidR="00B545C9">
        <w:rPr>
          <w:rFonts w:cs="Arial"/>
          <w:sz w:val="22"/>
          <w:szCs w:val="22"/>
        </w:rPr>
        <w:t>7</w:t>
      </w:r>
      <w:r w:rsidR="00C21C08" w:rsidRPr="002C494A">
        <w:rPr>
          <w:rFonts w:cs="Arial"/>
          <w:sz w:val="22"/>
          <w:szCs w:val="22"/>
        </w:rPr>
        <w:t>/1</w:t>
      </w:r>
      <w:r w:rsidR="00B545C9">
        <w:rPr>
          <w:rFonts w:cs="Arial"/>
          <w:sz w:val="22"/>
          <w:szCs w:val="22"/>
        </w:rPr>
        <w:t>8</w:t>
      </w:r>
      <w:r w:rsidRPr="002C494A">
        <w:rPr>
          <w:rFonts w:cs="Arial"/>
          <w:sz w:val="22"/>
          <w:szCs w:val="22"/>
        </w:rPr>
        <w:t xml:space="preserve"> </w:t>
      </w:r>
      <w:proofErr w:type="spellStart"/>
      <w:r w:rsidRPr="002C494A">
        <w:rPr>
          <w:rFonts w:cs="Arial"/>
          <w:sz w:val="22"/>
          <w:szCs w:val="22"/>
        </w:rPr>
        <w:t>M</w:t>
      </w:r>
      <w:r w:rsidR="002A0A99" w:rsidRPr="002C494A">
        <w:rPr>
          <w:rFonts w:cs="Arial"/>
          <w:sz w:val="22"/>
          <w:szCs w:val="22"/>
        </w:rPr>
        <w:t>id Year</w:t>
      </w:r>
      <w:proofErr w:type="spellEnd"/>
      <w:r w:rsidR="002A0A99" w:rsidRPr="002C494A">
        <w:rPr>
          <w:rFonts w:cs="Arial"/>
          <w:sz w:val="22"/>
          <w:szCs w:val="22"/>
        </w:rPr>
        <w:t xml:space="preserve"> Review of the Treasury </w:t>
      </w:r>
      <w:r w:rsidRPr="002C494A">
        <w:rPr>
          <w:rFonts w:cs="Arial"/>
          <w:sz w:val="22"/>
          <w:szCs w:val="22"/>
        </w:rPr>
        <w:t>Management function.</w:t>
      </w:r>
    </w:p>
    <w:p w:rsidR="00B2320E" w:rsidRPr="002C494A" w:rsidRDefault="00B2320E" w:rsidP="00851E27">
      <w:pPr>
        <w:tabs>
          <w:tab w:val="num" w:pos="709"/>
          <w:tab w:val="left" w:pos="1260"/>
        </w:tabs>
        <w:ind w:left="851" w:hanging="851"/>
        <w:rPr>
          <w:rFonts w:cs="Arial"/>
          <w:b/>
          <w:sz w:val="22"/>
          <w:szCs w:val="22"/>
        </w:rPr>
      </w:pPr>
    </w:p>
    <w:p w:rsidR="0070012C" w:rsidRPr="002C494A" w:rsidRDefault="00B2320E" w:rsidP="00851E27">
      <w:pPr>
        <w:tabs>
          <w:tab w:val="num" w:pos="709"/>
          <w:tab w:val="left" w:pos="1260"/>
        </w:tabs>
        <w:ind w:left="851" w:hanging="851"/>
        <w:rPr>
          <w:rFonts w:cs="Arial"/>
          <w:b/>
          <w:sz w:val="22"/>
          <w:szCs w:val="22"/>
        </w:rPr>
      </w:pPr>
      <w:r w:rsidRPr="002C494A">
        <w:rPr>
          <w:rFonts w:cs="Arial"/>
          <w:sz w:val="22"/>
          <w:szCs w:val="22"/>
        </w:rPr>
        <w:t>4.</w:t>
      </w:r>
      <w:r w:rsidRPr="002C494A">
        <w:rPr>
          <w:rFonts w:cs="Arial"/>
          <w:sz w:val="22"/>
          <w:szCs w:val="22"/>
        </w:rPr>
        <w:tab/>
      </w:r>
      <w:r w:rsidRPr="002C494A">
        <w:rPr>
          <w:rFonts w:cs="Arial"/>
          <w:sz w:val="22"/>
          <w:szCs w:val="22"/>
        </w:rPr>
        <w:tab/>
      </w:r>
      <w:r w:rsidR="0070012C" w:rsidRPr="002C494A">
        <w:rPr>
          <w:rFonts w:cs="Arial"/>
          <w:b/>
          <w:sz w:val="22"/>
          <w:szCs w:val="22"/>
        </w:rPr>
        <w:t>Policy/Budget Implications</w:t>
      </w:r>
    </w:p>
    <w:p w:rsidR="00B2320E" w:rsidRPr="002C494A" w:rsidRDefault="00B2320E" w:rsidP="00851E27">
      <w:pPr>
        <w:tabs>
          <w:tab w:val="num" w:pos="709"/>
          <w:tab w:val="left" w:pos="1260"/>
        </w:tabs>
        <w:ind w:left="851" w:hanging="851"/>
        <w:rPr>
          <w:rFonts w:cs="Arial"/>
          <w:sz w:val="22"/>
          <w:szCs w:val="22"/>
        </w:rPr>
      </w:pPr>
    </w:p>
    <w:p w:rsidR="0070012C" w:rsidRPr="002C494A" w:rsidRDefault="00B2320E" w:rsidP="00851E27">
      <w:pPr>
        <w:tabs>
          <w:tab w:val="num" w:pos="720"/>
          <w:tab w:val="left" w:pos="1260"/>
        </w:tabs>
        <w:ind w:left="851" w:hanging="851"/>
        <w:rPr>
          <w:rFonts w:cs="Arial"/>
          <w:sz w:val="22"/>
          <w:szCs w:val="22"/>
        </w:rPr>
      </w:pPr>
      <w:r w:rsidRPr="002C494A">
        <w:rPr>
          <w:rFonts w:cs="Arial"/>
          <w:sz w:val="22"/>
          <w:szCs w:val="22"/>
        </w:rPr>
        <w:t>4.1</w:t>
      </w:r>
      <w:r w:rsidRPr="002C494A">
        <w:rPr>
          <w:rFonts w:cs="Arial"/>
          <w:sz w:val="22"/>
          <w:szCs w:val="22"/>
        </w:rPr>
        <w:tab/>
      </w:r>
      <w:r w:rsidRPr="002C494A">
        <w:rPr>
          <w:rFonts w:cs="Arial"/>
          <w:sz w:val="22"/>
          <w:szCs w:val="22"/>
        </w:rPr>
        <w:tab/>
        <w:t>The recommendation</w:t>
      </w:r>
      <w:r w:rsidR="00B04F87" w:rsidRPr="002C494A">
        <w:rPr>
          <w:rFonts w:cs="Arial"/>
          <w:sz w:val="22"/>
          <w:szCs w:val="22"/>
        </w:rPr>
        <w:t>s</w:t>
      </w:r>
      <w:r w:rsidRPr="002C494A">
        <w:rPr>
          <w:rFonts w:cs="Arial"/>
          <w:sz w:val="22"/>
          <w:szCs w:val="22"/>
        </w:rPr>
        <w:t xml:space="preserve"> in this report are within the Council’s agreed policy and budgets.</w:t>
      </w:r>
    </w:p>
    <w:p w:rsidR="00E12642" w:rsidRDefault="00E12642" w:rsidP="00851E27">
      <w:pPr>
        <w:tabs>
          <w:tab w:val="num" w:pos="720"/>
          <w:tab w:val="left" w:pos="1260"/>
        </w:tabs>
        <w:ind w:left="851" w:hanging="851"/>
        <w:rPr>
          <w:rFonts w:cs="Arial"/>
          <w:sz w:val="22"/>
          <w:szCs w:val="22"/>
        </w:rPr>
      </w:pPr>
    </w:p>
    <w:p w:rsidR="00D16D63" w:rsidRDefault="00D16D63" w:rsidP="00851E27">
      <w:pPr>
        <w:tabs>
          <w:tab w:val="num" w:pos="720"/>
          <w:tab w:val="left" w:pos="1260"/>
        </w:tabs>
        <w:ind w:left="851" w:hanging="851"/>
        <w:rPr>
          <w:rFonts w:cs="Arial"/>
          <w:sz w:val="22"/>
          <w:szCs w:val="22"/>
        </w:rPr>
      </w:pPr>
    </w:p>
    <w:p w:rsidR="00D16D63" w:rsidRPr="002C494A" w:rsidRDefault="00D16D63" w:rsidP="00851E27">
      <w:pPr>
        <w:tabs>
          <w:tab w:val="num" w:pos="720"/>
          <w:tab w:val="left" w:pos="1260"/>
        </w:tabs>
        <w:ind w:left="851" w:hanging="851"/>
        <w:rPr>
          <w:rFonts w:cs="Arial"/>
          <w:sz w:val="22"/>
          <w:szCs w:val="22"/>
        </w:rPr>
      </w:pPr>
    </w:p>
    <w:p w:rsidR="00E12642" w:rsidRPr="002C494A" w:rsidRDefault="00E12642" w:rsidP="00851E27">
      <w:pPr>
        <w:tabs>
          <w:tab w:val="num" w:pos="709"/>
          <w:tab w:val="left" w:pos="1260"/>
        </w:tabs>
        <w:ind w:left="851" w:hanging="851"/>
        <w:rPr>
          <w:rFonts w:cs="Arial"/>
          <w:b/>
          <w:sz w:val="22"/>
          <w:szCs w:val="22"/>
        </w:rPr>
      </w:pPr>
      <w:r w:rsidRPr="002C494A">
        <w:rPr>
          <w:rFonts w:cs="Arial"/>
          <w:sz w:val="22"/>
          <w:szCs w:val="22"/>
        </w:rPr>
        <w:lastRenderedPageBreak/>
        <w:t>5.</w:t>
      </w:r>
      <w:r w:rsidRPr="002C494A">
        <w:rPr>
          <w:rFonts w:cs="Arial"/>
          <w:sz w:val="22"/>
          <w:szCs w:val="22"/>
        </w:rPr>
        <w:tab/>
      </w:r>
      <w:r w:rsidRPr="002C494A">
        <w:rPr>
          <w:rFonts w:cs="Arial"/>
          <w:sz w:val="22"/>
          <w:szCs w:val="22"/>
        </w:rPr>
        <w:tab/>
      </w:r>
      <w:r w:rsidR="008133D5" w:rsidRPr="002C494A">
        <w:rPr>
          <w:rFonts w:cs="Arial"/>
          <w:b/>
          <w:sz w:val="22"/>
          <w:szCs w:val="22"/>
        </w:rPr>
        <w:t xml:space="preserve">Financial </w:t>
      </w:r>
      <w:r w:rsidRPr="002C494A">
        <w:rPr>
          <w:rFonts w:cs="Arial"/>
          <w:b/>
          <w:sz w:val="22"/>
          <w:szCs w:val="22"/>
        </w:rPr>
        <w:t>Implications</w:t>
      </w:r>
    </w:p>
    <w:p w:rsidR="00E12642" w:rsidRPr="002C494A" w:rsidRDefault="00E12642" w:rsidP="00851E27">
      <w:pPr>
        <w:tabs>
          <w:tab w:val="num" w:pos="709"/>
          <w:tab w:val="left" w:pos="1260"/>
        </w:tabs>
        <w:ind w:left="851" w:hanging="851"/>
        <w:rPr>
          <w:rFonts w:cs="Arial"/>
          <w:sz w:val="22"/>
          <w:szCs w:val="22"/>
        </w:rPr>
      </w:pPr>
    </w:p>
    <w:p w:rsidR="00E12642" w:rsidRPr="002C494A" w:rsidRDefault="00E12642" w:rsidP="00851E27">
      <w:pPr>
        <w:tabs>
          <w:tab w:val="num" w:pos="709"/>
          <w:tab w:val="left" w:pos="1260"/>
        </w:tabs>
        <w:ind w:left="851" w:hanging="851"/>
        <w:rPr>
          <w:rFonts w:cs="Arial"/>
          <w:sz w:val="22"/>
          <w:szCs w:val="22"/>
        </w:rPr>
      </w:pPr>
      <w:r w:rsidRPr="002C494A">
        <w:rPr>
          <w:rFonts w:cs="Arial"/>
          <w:sz w:val="22"/>
          <w:szCs w:val="22"/>
        </w:rPr>
        <w:t>5</w:t>
      </w:r>
      <w:r w:rsidR="008133D5" w:rsidRPr="002C494A">
        <w:rPr>
          <w:rFonts w:cs="Arial"/>
          <w:sz w:val="22"/>
          <w:szCs w:val="22"/>
        </w:rPr>
        <w:t>.1</w:t>
      </w:r>
      <w:r w:rsidRPr="002C494A">
        <w:rPr>
          <w:rFonts w:cs="Arial"/>
          <w:sz w:val="22"/>
          <w:szCs w:val="22"/>
        </w:rPr>
        <w:tab/>
      </w:r>
      <w:r w:rsidRPr="002C494A">
        <w:rPr>
          <w:rFonts w:cs="Arial"/>
          <w:sz w:val="22"/>
          <w:szCs w:val="22"/>
        </w:rPr>
        <w:tab/>
      </w:r>
      <w:r w:rsidR="008133D5" w:rsidRPr="002C494A">
        <w:rPr>
          <w:rFonts w:cs="Arial"/>
          <w:sz w:val="22"/>
          <w:szCs w:val="22"/>
        </w:rPr>
        <w:t>As continued in the body of the report</w:t>
      </w:r>
      <w:r w:rsidR="009B331C">
        <w:rPr>
          <w:rFonts w:cs="Arial"/>
          <w:sz w:val="22"/>
          <w:szCs w:val="22"/>
        </w:rPr>
        <w:t>.</w:t>
      </w:r>
    </w:p>
    <w:p w:rsidR="00E12642" w:rsidRPr="002C494A" w:rsidRDefault="00E12642" w:rsidP="00851E27">
      <w:pPr>
        <w:tabs>
          <w:tab w:val="num" w:pos="709"/>
          <w:tab w:val="left" w:pos="1260"/>
        </w:tabs>
        <w:ind w:left="851" w:hanging="851"/>
        <w:rPr>
          <w:rFonts w:cs="Arial"/>
          <w:b/>
          <w:sz w:val="22"/>
          <w:szCs w:val="22"/>
        </w:rPr>
      </w:pPr>
    </w:p>
    <w:p w:rsidR="00E12642" w:rsidRPr="002C494A" w:rsidRDefault="008133D5" w:rsidP="00851E27">
      <w:pPr>
        <w:tabs>
          <w:tab w:val="left" w:pos="1260"/>
        </w:tabs>
        <w:ind w:left="851" w:hanging="851"/>
        <w:rPr>
          <w:rFonts w:cs="Arial"/>
          <w:b/>
          <w:sz w:val="22"/>
          <w:szCs w:val="22"/>
        </w:rPr>
      </w:pPr>
      <w:r w:rsidRPr="002C494A">
        <w:rPr>
          <w:rFonts w:cs="Arial"/>
          <w:sz w:val="22"/>
          <w:szCs w:val="22"/>
        </w:rPr>
        <w:t>6.</w:t>
      </w:r>
      <w:r w:rsidRPr="002C494A">
        <w:rPr>
          <w:rFonts w:cs="Arial"/>
          <w:b/>
          <w:sz w:val="22"/>
          <w:szCs w:val="22"/>
        </w:rPr>
        <w:tab/>
      </w:r>
      <w:r w:rsidR="00E12642" w:rsidRPr="002C494A">
        <w:rPr>
          <w:rFonts w:cs="Arial"/>
          <w:b/>
          <w:sz w:val="22"/>
          <w:szCs w:val="22"/>
        </w:rPr>
        <w:t>Legal Implications</w:t>
      </w:r>
    </w:p>
    <w:p w:rsidR="008133D5" w:rsidRPr="002C494A" w:rsidRDefault="008133D5" w:rsidP="00851E27">
      <w:pPr>
        <w:tabs>
          <w:tab w:val="left" w:pos="1260"/>
        </w:tabs>
        <w:ind w:left="851" w:hanging="851"/>
        <w:rPr>
          <w:rFonts w:cs="Arial"/>
          <w:b/>
          <w:sz w:val="22"/>
          <w:szCs w:val="22"/>
        </w:rPr>
      </w:pPr>
    </w:p>
    <w:p w:rsidR="00E12642" w:rsidRPr="002C494A" w:rsidRDefault="008133D5" w:rsidP="00851E27">
      <w:pPr>
        <w:tabs>
          <w:tab w:val="num" w:pos="709"/>
          <w:tab w:val="left" w:pos="1260"/>
        </w:tabs>
        <w:ind w:left="851" w:hanging="851"/>
        <w:rPr>
          <w:rFonts w:cs="Arial"/>
          <w:sz w:val="22"/>
          <w:szCs w:val="22"/>
        </w:rPr>
      </w:pPr>
      <w:r w:rsidRPr="002C494A">
        <w:rPr>
          <w:rFonts w:cs="Arial"/>
          <w:sz w:val="22"/>
          <w:szCs w:val="22"/>
        </w:rPr>
        <w:t>6.1</w:t>
      </w:r>
      <w:r w:rsidRPr="002C494A">
        <w:rPr>
          <w:rFonts w:cs="Arial"/>
          <w:sz w:val="22"/>
          <w:szCs w:val="22"/>
        </w:rPr>
        <w:tab/>
      </w:r>
      <w:r w:rsidRPr="002C494A">
        <w:rPr>
          <w:rFonts w:cs="Arial"/>
          <w:sz w:val="22"/>
          <w:szCs w:val="22"/>
        </w:rPr>
        <w:tab/>
      </w:r>
      <w:r w:rsidR="00E12642" w:rsidRPr="002C494A">
        <w:rPr>
          <w:rFonts w:cs="Arial"/>
          <w:sz w:val="22"/>
          <w:szCs w:val="22"/>
        </w:rPr>
        <w:t>There is no requirement to make any amendments to the Treasury Management Strategy at this stage.</w:t>
      </w:r>
    </w:p>
    <w:p w:rsidR="00E12642" w:rsidRPr="002C494A" w:rsidRDefault="00E12642" w:rsidP="00851E27">
      <w:pPr>
        <w:tabs>
          <w:tab w:val="left" w:pos="1260"/>
        </w:tabs>
        <w:ind w:left="851" w:hanging="851"/>
        <w:rPr>
          <w:rFonts w:cs="Arial"/>
          <w:sz w:val="22"/>
          <w:szCs w:val="22"/>
        </w:rPr>
      </w:pPr>
    </w:p>
    <w:p w:rsidR="008133D5" w:rsidRPr="002C494A" w:rsidRDefault="008133D5" w:rsidP="00851E27">
      <w:pPr>
        <w:ind w:left="851" w:hanging="851"/>
        <w:rPr>
          <w:rFonts w:cs="Arial"/>
          <w:b/>
          <w:sz w:val="22"/>
          <w:szCs w:val="22"/>
        </w:rPr>
      </w:pPr>
      <w:r w:rsidRPr="002C494A">
        <w:rPr>
          <w:rFonts w:cs="Arial"/>
          <w:sz w:val="22"/>
          <w:szCs w:val="22"/>
        </w:rPr>
        <w:t>7.</w:t>
      </w:r>
      <w:r w:rsidR="00E12642" w:rsidRPr="002C494A">
        <w:rPr>
          <w:rFonts w:cs="Arial"/>
          <w:sz w:val="22"/>
          <w:szCs w:val="22"/>
        </w:rPr>
        <w:tab/>
      </w:r>
      <w:r w:rsidR="00E12642" w:rsidRPr="002C494A">
        <w:rPr>
          <w:rFonts w:cs="Arial"/>
          <w:b/>
          <w:sz w:val="22"/>
          <w:szCs w:val="22"/>
        </w:rPr>
        <w:t>Equal Opportunities, Staffing, Environmental, Community Safety</w:t>
      </w:r>
      <w:r w:rsidR="00EE235D" w:rsidRPr="002C494A">
        <w:rPr>
          <w:rFonts w:cs="Arial"/>
          <w:b/>
          <w:sz w:val="22"/>
          <w:szCs w:val="22"/>
        </w:rPr>
        <w:t>, Customer</w:t>
      </w:r>
      <w:r w:rsidR="00E12642" w:rsidRPr="002C494A">
        <w:rPr>
          <w:rFonts w:cs="Arial"/>
          <w:b/>
          <w:sz w:val="22"/>
          <w:szCs w:val="22"/>
        </w:rPr>
        <w:t xml:space="preserve"> Services Centre Implications</w:t>
      </w:r>
      <w:r w:rsidRPr="002C494A">
        <w:rPr>
          <w:rFonts w:cs="Arial"/>
          <w:b/>
          <w:sz w:val="22"/>
          <w:szCs w:val="22"/>
        </w:rPr>
        <w:t xml:space="preserve"> and Website Implications</w:t>
      </w:r>
    </w:p>
    <w:p w:rsidR="00E12642" w:rsidRPr="002C494A" w:rsidRDefault="00E12642" w:rsidP="00851E27">
      <w:pPr>
        <w:tabs>
          <w:tab w:val="num" w:pos="709"/>
          <w:tab w:val="left" w:pos="1260"/>
        </w:tabs>
        <w:ind w:left="851" w:hanging="851"/>
        <w:rPr>
          <w:rFonts w:cs="Arial"/>
          <w:sz w:val="22"/>
          <w:szCs w:val="22"/>
        </w:rPr>
      </w:pPr>
    </w:p>
    <w:p w:rsidR="007D393F" w:rsidRPr="002C494A" w:rsidRDefault="008133D5" w:rsidP="00851E27">
      <w:pPr>
        <w:ind w:left="851" w:hanging="851"/>
        <w:rPr>
          <w:rFonts w:cs="Arial"/>
          <w:sz w:val="22"/>
          <w:szCs w:val="22"/>
        </w:rPr>
      </w:pPr>
      <w:r w:rsidRPr="002C494A">
        <w:rPr>
          <w:rFonts w:cs="Arial"/>
          <w:sz w:val="22"/>
          <w:szCs w:val="22"/>
        </w:rPr>
        <w:t>7</w:t>
      </w:r>
      <w:r w:rsidR="007D393F" w:rsidRPr="002C494A">
        <w:rPr>
          <w:rFonts w:cs="Arial"/>
          <w:sz w:val="22"/>
          <w:szCs w:val="22"/>
        </w:rPr>
        <w:t>.1</w:t>
      </w:r>
      <w:r w:rsidR="007D393F" w:rsidRPr="002C494A">
        <w:rPr>
          <w:rFonts w:cs="Arial"/>
          <w:sz w:val="22"/>
          <w:szCs w:val="22"/>
        </w:rPr>
        <w:tab/>
      </w:r>
      <w:r w:rsidRPr="002C494A">
        <w:rPr>
          <w:rFonts w:cs="Arial"/>
          <w:sz w:val="22"/>
          <w:szCs w:val="22"/>
        </w:rPr>
        <w:t>None specific.</w:t>
      </w:r>
    </w:p>
    <w:p w:rsidR="00E12642" w:rsidRPr="002C494A" w:rsidRDefault="00E12642" w:rsidP="00851E27">
      <w:pPr>
        <w:ind w:left="851" w:hanging="851"/>
        <w:rPr>
          <w:rFonts w:cs="Arial"/>
          <w:b/>
          <w:sz w:val="22"/>
          <w:szCs w:val="22"/>
        </w:rPr>
      </w:pPr>
    </w:p>
    <w:p w:rsidR="00CA3E29" w:rsidRPr="002C494A" w:rsidRDefault="008133D5" w:rsidP="00851E27">
      <w:pPr>
        <w:tabs>
          <w:tab w:val="left" w:pos="1260"/>
        </w:tabs>
        <w:ind w:left="851" w:hanging="851"/>
        <w:rPr>
          <w:rFonts w:cs="Arial"/>
          <w:b/>
          <w:sz w:val="22"/>
          <w:szCs w:val="22"/>
        </w:rPr>
      </w:pPr>
      <w:r w:rsidRPr="002C494A">
        <w:rPr>
          <w:rFonts w:cs="Arial"/>
          <w:sz w:val="22"/>
          <w:szCs w:val="22"/>
        </w:rPr>
        <w:t>8.</w:t>
      </w:r>
      <w:r w:rsidRPr="002C494A">
        <w:rPr>
          <w:rFonts w:cs="Arial"/>
          <w:b/>
          <w:sz w:val="22"/>
          <w:szCs w:val="22"/>
        </w:rPr>
        <w:tab/>
      </w:r>
      <w:r w:rsidR="0070012C" w:rsidRPr="002C494A">
        <w:rPr>
          <w:rFonts w:cs="Arial"/>
          <w:b/>
          <w:sz w:val="22"/>
          <w:szCs w:val="22"/>
        </w:rPr>
        <w:t>Risk Management Implications</w:t>
      </w:r>
    </w:p>
    <w:p w:rsidR="007D393F" w:rsidRPr="002C494A" w:rsidRDefault="007D393F" w:rsidP="00851E27">
      <w:pPr>
        <w:ind w:left="851" w:hanging="851"/>
        <w:rPr>
          <w:rFonts w:cs="Arial"/>
          <w:b/>
          <w:sz w:val="22"/>
          <w:szCs w:val="22"/>
        </w:rPr>
      </w:pPr>
    </w:p>
    <w:p w:rsidR="00CA3E29" w:rsidRPr="002C494A" w:rsidRDefault="008133D5" w:rsidP="00851E27">
      <w:pPr>
        <w:tabs>
          <w:tab w:val="num" w:pos="709"/>
          <w:tab w:val="left" w:pos="1260"/>
        </w:tabs>
        <w:ind w:left="851" w:hanging="851"/>
        <w:rPr>
          <w:rFonts w:cs="Arial"/>
          <w:sz w:val="22"/>
          <w:szCs w:val="22"/>
        </w:rPr>
      </w:pPr>
      <w:r w:rsidRPr="002C494A">
        <w:rPr>
          <w:rFonts w:cs="Arial"/>
          <w:sz w:val="22"/>
          <w:szCs w:val="22"/>
        </w:rPr>
        <w:t>8</w:t>
      </w:r>
      <w:r w:rsidR="007D393F" w:rsidRPr="002C494A">
        <w:rPr>
          <w:rFonts w:cs="Arial"/>
          <w:sz w:val="22"/>
          <w:szCs w:val="22"/>
        </w:rPr>
        <w:t>.1</w:t>
      </w:r>
      <w:r w:rsidR="007D393F" w:rsidRPr="002C494A">
        <w:rPr>
          <w:rFonts w:cs="Arial"/>
          <w:sz w:val="22"/>
          <w:szCs w:val="22"/>
        </w:rPr>
        <w:tab/>
      </w:r>
      <w:r w:rsidR="007D393F" w:rsidRPr="002C494A">
        <w:rPr>
          <w:rFonts w:cs="Arial"/>
          <w:sz w:val="22"/>
          <w:szCs w:val="22"/>
        </w:rPr>
        <w:tab/>
        <w:t>There are no risks associated with the decision Members are being asked to make, i.e. to note this report.</w:t>
      </w:r>
    </w:p>
    <w:p w:rsidR="00CA3E29" w:rsidRPr="002C494A" w:rsidRDefault="00CA3E29" w:rsidP="00851E27">
      <w:pPr>
        <w:ind w:left="851" w:hanging="851"/>
        <w:rPr>
          <w:rFonts w:cs="Arial"/>
          <w:b/>
          <w:sz w:val="22"/>
          <w:szCs w:val="22"/>
        </w:rPr>
      </w:pPr>
    </w:p>
    <w:p w:rsidR="0070012C" w:rsidRPr="002C494A" w:rsidRDefault="008133D5" w:rsidP="00851E27">
      <w:pPr>
        <w:tabs>
          <w:tab w:val="left" w:pos="1260"/>
        </w:tabs>
        <w:ind w:left="851" w:hanging="851"/>
        <w:rPr>
          <w:rFonts w:cs="Arial"/>
          <w:b/>
          <w:sz w:val="22"/>
          <w:szCs w:val="22"/>
        </w:rPr>
      </w:pPr>
      <w:r w:rsidRPr="002C494A">
        <w:rPr>
          <w:rFonts w:cs="Arial"/>
          <w:sz w:val="22"/>
          <w:szCs w:val="22"/>
        </w:rPr>
        <w:t>9</w:t>
      </w:r>
      <w:r w:rsidR="009E4D70" w:rsidRPr="002C494A">
        <w:rPr>
          <w:rFonts w:cs="Arial"/>
          <w:b/>
          <w:sz w:val="22"/>
          <w:szCs w:val="22"/>
        </w:rPr>
        <w:t>.</w:t>
      </w:r>
      <w:r w:rsidR="009E4D70" w:rsidRPr="002C494A">
        <w:rPr>
          <w:rFonts w:cs="Arial"/>
          <w:b/>
          <w:sz w:val="22"/>
          <w:szCs w:val="22"/>
        </w:rPr>
        <w:tab/>
      </w:r>
      <w:r w:rsidR="0070012C" w:rsidRPr="002C494A">
        <w:rPr>
          <w:rFonts w:cs="Arial"/>
          <w:b/>
          <w:sz w:val="22"/>
          <w:szCs w:val="22"/>
        </w:rPr>
        <w:t>Recommendation</w:t>
      </w:r>
    </w:p>
    <w:p w:rsidR="007D393F" w:rsidRPr="002C494A" w:rsidRDefault="007D393F" w:rsidP="00851E27">
      <w:pPr>
        <w:ind w:left="851" w:hanging="851"/>
        <w:rPr>
          <w:rFonts w:cs="Arial"/>
          <w:b/>
          <w:sz w:val="22"/>
          <w:szCs w:val="22"/>
        </w:rPr>
      </w:pPr>
    </w:p>
    <w:p w:rsidR="007D393F" w:rsidRPr="002C494A" w:rsidRDefault="0070012C" w:rsidP="00851E27">
      <w:pPr>
        <w:numPr>
          <w:ilvl w:val="1"/>
          <w:numId w:val="26"/>
        </w:numPr>
        <w:tabs>
          <w:tab w:val="clear" w:pos="360"/>
          <w:tab w:val="num" w:pos="1260"/>
        </w:tabs>
        <w:ind w:left="851" w:hanging="851"/>
        <w:rPr>
          <w:rFonts w:cs="Arial"/>
          <w:sz w:val="22"/>
          <w:szCs w:val="22"/>
        </w:rPr>
      </w:pPr>
      <w:r w:rsidRPr="002C494A">
        <w:rPr>
          <w:rFonts w:cs="Arial"/>
          <w:sz w:val="22"/>
          <w:szCs w:val="22"/>
        </w:rPr>
        <w:t xml:space="preserve">That </w:t>
      </w:r>
      <w:r w:rsidR="009B331C">
        <w:rPr>
          <w:rFonts w:cs="Arial"/>
          <w:sz w:val="22"/>
          <w:szCs w:val="22"/>
        </w:rPr>
        <w:t>M</w:t>
      </w:r>
      <w:r w:rsidR="007D393F" w:rsidRPr="002C494A">
        <w:rPr>
          <w:rFonts w:cs="Arial"/>
          <w:sz w:val="22"/>
          <w:szCs w:val="22"/>
        </w:rPr>
        <w:t xml:space="preserve">embers note the contents of </w:t>
      </w:r>
      <w:r w:rsidR="00B04F87" w:rsidRPr="002C494A">
        <w:rPr>
          <w:rFonts w:cs="Arial"/>
          <w:sz w:val="22"/>
          <w:szCs w:val="22"/>
        </w:rPr>
        <w:t xml:space="preserve">the </w:t>
      </w:r>
      <w:r w:rsidR="00846223">
        <w:rPr>
          <w:rFonts w:cs="Arial"/>
          <w:sz w:val="22"/>
          <w:szCs w:val="22"/>
        </w:rPr>
        <w:t>20</w:t>
      </w:r>
      <w:r w:rsidR="00C21C08" w:rsidRPr="002C494A">
        <w:rPr>
          <w:rFonts w:cs="Arial"/>
          <w:sz w:val="22"/>
          <w:szCs w:val="22"/>
        </w:rPr>
        <w:t>17</w:t>
      </w:r>
      <w:r w:rsidR="00846223">
        <w:rPr>
          <w:rFonts w:cs="Arial"/>
          <w:sz w:val="22"/>
          <w:szCs w:val="22"/>
        </w:rPr>
        <w:t>/18</w:t>
      </w:r>
      <w:r w:rsidR="007D393F" w:rsidRPr="002C494A">
        <w:rPr>
          <w:rFonts w:cs="Arial"/>
          <w:sz w:val="22"/>
          <w:szCs w:val="22"/>
        </w:rPr>
        <w:t xml:space="preserve"> Mid</w:t>
      </w:r>
      <w:r w:rsidR="009B331C">
        <w:rPr>
          <w:rFonts w:cs="Arial"/>
          <w:sz w:val="22"/>
          <w:szCs w:val="22"/>
        </w:rPr>
        <w:t>-</w:t>
      </w:r>
      <w:bookmarkStart w:id="4" w:name="_GoBack"/>
      <w:bookmarkEnd w:id="4"/>
      <w:r w:rsidR="007D393F" w:rsidRPr="002C494A">
        <w:rPr>
          <w:rFonts w:cs="Arial"/>
          <w:sz w:val="22"/>
          <w:szCs w:val="22"/>
        </w:rPr>
        <w:t>Year Review of the Treasury Management function</w:t>
      </w:r>
      <w:r w:rsidR="00A72856" w:rsidRPr="002C494A">
        <w:rPr>
          <w:rFonts w:cs="Arial"/>
          <w:sz w:val="22"/>
          <w:szCs w:val="22"/>
        </w:rPr>
        <w:t>.</w:t>
      </w:r>
    </w:p>
    <w:p w:rsidR="00CA3E29" w:rsidRPr="002C494A" w:rsidRDefault="00CA3E29" w:rsidP="00851E27">
      <w:pPr>
        <w:tabs>
          <w:tab w:val="num" w:pos="709"/>
        </w:tabs>
        <w:ind w:left="851" w:hanging="851"/>
        <w:rPr>
          <w:rFonts w:cs="Arial"/>
          <w:b/>
          <w:sz w:val="22"/>
          <w:szCs w:val="22"/>
        </w:rPr>
      </w:pPr>
    </w:p>
    <w:p w:rsidR="0070012C" w:rsidRPr="002C494A" w:rsidRDefault="0070012C" w:rsidP="00851E27">
      <w:pPr>
        <w:tabs>
          <w:tab w:val="num" w:pos="709"/>
        </w:tabs>
        <w:ind w:left="851" w:hanging="851"/>
        <w:outlineLvl w:val="0"/>
        <w:rPr>
          <w:rFonts w:cs="Arial"/>
          <w:b/>
          <w:sz w:val="22"/>
          <w:szCs w:val="22"/>
        </w:rPr>
      </w:pPr>
      <w:r w:rsidRPr="002C494A">
        <w:rPr>
          <w:rFonts w:cs="Arial"/>
          <w:b/>
          <w:sz w:val="22"/>
          <w:szCs w:val="22"/>
        </w:rPr>
        <w:t>Background Papers:</w:t>
      </w:r>
    </w:p>
    <w:p w:rsidR="0070012C" w:rsidRPr="002C494A" w:rsidRDefault="0070012C" w:rsidP="00851E27">
      <w:pPr>
        <w:tabs>
          <w:tab w:val="num" w:pos="709"/>
        </w:tabs>
        <w:ind w:left="851" w:hanging="851"/>
        <w:rPr>
          <w:rFonts w:cs="Arial"/>
          <w:b/>
          <w:sz w:val="22"/>
          <w:szCs w:val="22"/>
        </w:rPr>
      </w:pPr>
    </w:p>
    <w:p w:rsidR="00646DEB" w:rsidRPr="002C494A" w:rsidRDefault="00646DEB" w:rsidP="00851E27">
      <w:pPr>
        <w:ind w:left="851" w:hanging="851"/>
        <w:rPr>
          <w:rFonts w:cs="Arial"/>
          <w:sz w:val="22"/>
          <w:szCs w:val="22"/>
        </w:rPr>
      </w:pPr>
      <w:r w:rsidRPr="002C494A">
        <w:rPr>
          <w:rFonts w:cs="Arial"/>
          <w:sz w:val="22"/>
          <w:szCs w:val="22"/>
        </w:rPr>
        <w:t xml:space="preserve">Treasury Management Strategy </w:t>
      </w:r>
      <w:r w:rsidR="00846223">
        <w:rPr>
          <w:rFonts w:cs="Arial"/>
          <w:sz w:val="22"/>
          <w:szCs w:val="22"/>
        </w:rPr>
        <w:t>20</w:t>
      </w:r>
      <w:r w:rsidR="00C21C08" w:rsidRPr="002C494A">
        <w:rPr>
          <w:rFonts w:cs="Arial"/>
          <w:sz w:val="22"/>
          <w:szCs w:val="22"/>
        </w:rPr>
        <w:t>17</w:t>
      </w:r>
      <w:r w:rsidR="00846223">
        <w:rPr>
          <w:rFonts w:cs="Arial"/>
          <w:sz w:val="22"/>
          <w:szCs w:val="22"/>
        </w:rPr>
        <w:t>/18</w:t>
      </w:r>
      <w:r w:rsidR="00816278" w:rsidRPr="002C494A">
        <w:rPr>
          <w:rFonts w:cs="Arial"/>
          <w:sz w:val="22"/>
          <w:szCs w:val="22"/>
        </w:rPr>
        <w:t>;</w:t>
      </w:r>
    </w:p>
    <w:p w:rsidR="0070012C" w:rsidRPr="002C494A" w:rsidRDefault="0070012C" w:rsidP="00851E27">
      <w:pPr>
        <w:ind w:left="851" w:hanging="851"/>
        <w:rPr>
          <w:rFonts w:cs="Arial"/>
          <w:sz w:val="22"/>
          <w:szCs w:val="22"/>
        </w:rPr>
      </w:pPr>
      <w:r w:rsidRPr="002C494A">
        <w:rPr>
          <w:rFonts w:cs="Arial"/>
          <w:sz w:val="22"/>
          <w:szCs w:val="22"/>
        </w:rPr>
        <w:t xml:space="preserve">UK Economic Forecasts provided by </w:t>
      </w:r>
      <w:r w:rsidR="00D16D63">
        <w:rPr>
          <w:rFonts w:cs="Arial"/>
          <w:sz w:val="22"/>
          <w:szCs w:val="22"/>
        </w:rPr>
        <w:t xml:space="preserve">Link </w:t>
      </w:r>
      <w:r w:rsidR="006F33CC" w:rsidRPr="002C494A">
        <w:rPr>
          <w:rFonts w:cs="Arial"/>
          <w:sz w:val="22"/>
          <w:szCs w:val="22"/>
        </w:rPr>
        <w:t>Asset Services Treasury Solutions</w:t>
      </w:r>
      <w:r w:rsidRPr="002C494A">
        <w:rPr>
          <w:rFonts w:cs="Arial"/>
          <w:sz w:val="22"/>
          <w:szCs w:val="22"/>
        </w:rPr>
        <w:t>;</w:t>
      </w:r>
    </w:p>
    <w:p w:rsidR="007D393F" w:rsidRPr="002C494A" w:rsidRDefault="007D393F" w:rsidP="00851E27">
      <w:pPr>
        <w:pStyle w:val="BodyText"/>
        <w:tabs>
          <w:tab w:val="left" w:pos="720"/>
          <w:tab w:val="left" w:pos="5115"/>
        </w:tabs>
        <w:ind w:left="851" w:hanging="851"/>
        <w:rPr>
          <w:rFonts w:cs="Arial"/>
          <w:b/>
          <w:szCs w:val="22"/>
        </w:rPr>
      </w:pPr>
    </w:p>
    <w:p w:rsidR="003A6944" w:rsidRPr="002C494A" w:rsidRDefault="003A6944" w:rsidP="00851E27">
      <w:pPr>
        <w:pStyle w:val="BodyText"/>
        <w:tabs>
          <w:tab w:val="left" w:pos="720"/>
          <w:tab w:val="left" w:pos="5115"/>
        </w:tabs>
        <w:ind w:left="851" w:hanging="851"/>
        <w:outlineLvl w:val="0"/>
        <w:rPr>
          <w:rFonts w:cs="Arial"/>
          <w:b/>
          <w:szCs w:val="22"/>
        </w:rPr>
      </w:pPr>
      <w:r w:rsidRPr="002C494A">
        <w:rPr>
          <w:rFonts w:cs="Arial"/>
          <w:b/>
          <w:szCs w:val="22"/>
        </w:rPr>
        <w:t>Report prepared by:</w:t>
      </w:r>
      <w:r w:rsidR="004F63B6" w:rsidRPr="002C494A">
        <w:rPr>
          <w:rFonts w:cs="Arial"/>
          <w:b/>
          <w:szCs w:val="22"/>
        </w:rPr>
        <w:t xml:space="preserve">  </w:t>
      </w:r>
      <w:r w:rsidR="00B545C9">
        <w:rPr>
          <w:rFonts w:cs="Arial"/>
          <w:szCs w:val="22"/>
        </w:rPr>
        <w:t>Bob Watson</w:t>
      </w:r>
      <w:r w:rsidR="008F35A6" w:rsidRPr="002C494A">
        <w:rPr>
          <w:rFonts w:cs="Arial"/>
          <w:szCs w:val="22"/>
        </w:rPr>
        <w:t xml:space="preserve"> (</w:t>
      </w:r>
      <w:r w:rsidR="00B545C9">
        <w:rPr>
          <w:rFonts w:cs="Arial"/>
          <w:szCs w:val="22"/>
        </w:rPr>
        <w:t xml:space="preserve">Head of </w:t>
      </w:r>
      <w:r w:rsidR="008F35A6" w:rsidRPr="002C494A">
        <w:rPr>
          <w:rFonts w:cs="Arial"/>
          <w:szCs w:val="22"/>
        </w:rPr>
        <w:t xml:space="preserve">Finance) and </w:t>
      </w:r>
      <w:r w:rsidR="00846223">
        <w:rPr>
          <w:rFonts w:cs="Arial"/>
          <w:szCs w:val="22"/>
        </w:rPr>
        <w:t>Simon Alford (Section Head</w:t>
      </w:r>
      <w:r w:rsidR="00FE083E" w:rsidRPr="002C494A">
        <w:rPr>
          <w:rFonts w:cs="Arial"/>
          <w:szCs w:val="22"/>
        </w:rPr>
        <w:t>)</w:t>
      </w:r>
    </w:p>
    <w:p w:rsidR="007D393F" w:rsidRPr="002C494A" w:rsidRDefault="007D393F" w:rsidP="00851E27">
      <w:pPr>
        <w:ind w:left="851" w:hanging="851"/>
        <w:rPr>
          <w:rFonts w:cs="Arial"/>
          <w:sz w:val="22"/>
          <w:szCs w:val="22"/>
        </w:rPr>
      </w:pPr>
    </w:p>
    <w:p w:rsidR="003A6944" w:rsidRPr="002C494A" w:rsidRDefault="003A6944" w:rsidP="00851E27">
      <w:pPr>
        <w:keepNext/>
        <w:tabs>
          <w:tab w:val="left" w:pos="1260"/>
          <w:tab w:val="left" w:pos="2160"/>
          <w:tab w:val="left" w:pos="2700"/>
          <w:tab w:val="left" w:pos="3420"/>
        </w:tabs>
        <w:autoSpaceDE w:val="0"/>
        <w:autoSpaceDN w:val="0"/>
        <w:adjustRightInd w:val="0"/>
        <w:ind w:left="851" w:hanging="851"/>
        <w:outlineLvl w:val="0"/>
        <w:rPr>
          <w:rFonts w:cs="Arial"/>
          <w:sz w:val="22"/>
          <w:szCs w:val="22"/>
        </w:rPr>
      </w:pPr>
      <w:r w:rsidRPr="002C494A">
        <w:rPr>
          <w:rFonts w:cs="Arial"/>
          <w:b/>
          <w:sz w:val="22"/>
          <w:szCs w:val="22"/>
        </w:rPr>
        <w:t>Data source:</w:t>
      </w:r>
      <w:r w:rsidR="009E4D70" w:rsidRPr="002C494A">
        <w:rPr>
          <w:rFonts w:cs="Arial"/>
          <w:b/>
          <w:sz w:val="22"/>
          <w:szCs w:val="22"/>
        </w:rPr>
        <w:tab/>
      </w:r>
      <w:r w:rsidRPr="002C494A">
        <w:rPr>
          <w:rFonts w:cs="Arial"/>
          <w:sz w:val="22"/>
          <w:szCs w:val="22"/>
        </w:rPr>
        <w:t xml:space="preserve">Logotech Treasury Management </w:t>
      </w:r>
      <w:r w:rsidR="008133D5" w:rsidRPr="002C494A">
        <w:rPr>
          <w:rFonts w:cs="Arial"/>
          <w:sz w:val="22"/>
          <w:szCs w:val="22"/>
        </w:rPr>
        <w:t>system</w:t>
      </w:r>
    </w:p>
    <w:p w:rsidR="007D393F" w:rsidRPr="002C494A" w:rsidRDefault="007D393F" w:rsidP="00851E27">
      <w:pPr>
        <w:pStyle w:val="BodyText"/>
        <w:ind w:left="851" w:hanging="851"/>
        <w:rPr>
          <w:rFonts w:cs="Arial"/>
          <w:szCs w:val="22"/>
        </w:rPr>
      </w:pPr>
    </w:p>
    <w:p w:rsidR="003A6944" w:rsidRPr="002C494A" w:rsidRDefault="003A6944" w:rsidP="00851E27">
      <w:pPr>
        <w:pStyle w:val="BodyText"/>
        <w:ind w:left="851" w:hanging="851"/>
        <w:outlineLvl w:val="0"/>
        <w:rPr>
          <w:rFonts w:cs="Arial"/>
          <w:szCs w:val="22"/>
        </w:rPr>
      </w:pPr>
      <w:r w:rsidRPr="002C494A">
        <w:rPr>
          <w:rFonts w:cs="Arial"/>
          <w:b/>
          <w:szCs w:val="22"/>
        </w:rPr>
        <w:t>Data checked by:</w:t>
      </w:r>
      <w:r w:rsidR="009E4D70" w:rsidRPr="002C494A">
        <w:rPr>
          <w:rFonts w:cs="Arial"/>
          <w:b/>
          <w:szCs w:val="22"/>
        </w:rPr>
        <w:tab/>
      </w:r>
      <w:r w:rsidR="004F63B6" w:rsidRPr="002C494A">
        <w:rPr>
          <w:rFonts w:cs="Arial"/>
          <w:b/>
          <w:szCs w:val="22"/>
        </w:rPr>
        <w:t xml:space="preserve"> </w:t>
      </w:r>
      <w:r w:rsidR="008F35A6" w:rsidRPr="002C494A">
        <w:rPr>
          <w:rFonts w:cs="Arial"/>
          <w:szCs w:val="22"/>
        </w:rPr>
        <w:t>Bob Watson (Head of Finance)</w:t>
      </w:r>
    </w:p>
    <w:p w:rsidR="007D393F" w:rsidRPr="002C494A" w:rsidRDefault="009E4D70" w:rsidP="00851E27">
      <w:pPr>
        <w:pStyle w:val="BodyText"/>
        <w:ind w:left="851" w:hanging="851"/>
        <w:rPr>
          <w:rFonts w:cs="Arial"/>
          <w:szCs w:val="22"/>
        </w:rPr>
      </w:pPr>
      <w:r w:rsidRPr="002C494A">
        <w:rPr>
          <w:rFonts w:cs="Arial"/>
          <w:szCs w:val="22"/>
        </w:rPr>
        <w:t>Data rating</w:t>
      </w:r>
    </w:p>
    <w:tbl>
      <w:tblPr>
        <w:tblW w:w="0" w:type="auto"/>
        <w:tblInd w:w="3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276"/>
        <w:gridCol w:w="492"/>
      </w:tblGrid>
      <w:tr w:rsidR="003A6944" w:rsidRPr="002C494A" w:rsidTr="00BE2F27">
        <w:trPr>
          <w:trHeight w:hRule="exact" w:val="346"/>
        </w:trPr>
        <w:tc>
          <w:tcPr>
            <w:tcW w:w="392" w:type="dxa"/>
            <w:tcBorders>
              <w:top w:val="single" w:sz="4" w:space="0" w:color="auto"/>
              <w:bottom w:val="single" w:sz="4" w:space="0" w:color="auto"/>
              <w:right w:val="single" w:sz="4" w:space="0" w:color="auto"/>
            </w:tcBorders>
            <w:vAlign w:val="center"/>
          </w:tcPr>
          <w:p w:rsidR="003A6944" w:rsidRPr="002C494A" w:rsidRDefault="009E4D70"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r w:rsidRPr="002C494A">
              <w:rPr>
                <w:rFonts w:cs="Arial"/>
                <w:sz w:val="22"/>
                <w:szCs w:val="22"/>
              </w:rPr>
              <w:t>1</w:t>
            </w:r>
            <w:r w:rsidR="003A6944" w:rsidRPr="002C494A">
              <w:rPr>
                <w:rFonts w:cs="Arial"/>
                <w:sz w:val="22"/>
                <w:szCs w:val="22"/>
              </w:rPr>
              <w:tab/>
              <w:t>Data rating:</w:t>
            </w:r>
            <w:r w:rsidRPr="002C494A">
              <w:rPr>
                <w:rFonts w:cs="Arial"/>
                <w:sz w:val="22"/>
                <w:szCs w:val="22"/>
              </w:rPr>
              <w:t xml:space="preserve"> </w:t>
            </w:r>
            <w:r w:rsidR="003A6944" w:rsidRPr="002C494A">
              <w:rPr>
                <w:rFonts w:cs="Arial"/>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3A6944" w:rsidRPr="002C494A" w:rsidRDefault="003A6944"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r w:rsidRPr="002C494A">
              <w:rPr>
                <w:rFonts w:cs="Arial"/>
                <w:sz w:val="22"/>
                <w:szCs w:val="22"/>
              </w:rPr>
              <w:t>Poor</w:t>
            </w:r>
          </w:p>
        </w:tc>
        <w:tc>
          <w:tcPr>
            <w:tcW w:w="492" w:type="dxa"/>
            <w:tcBorders>
              <w:top w:val="single" w:sz="4" w:space="0" w:color="auto"/>
              <w:left w:val="single" w:sz="4" w:space="0" w:color="auto"/>
              <w:bottom w:val="single" w:sz="4" w:space="0" w:color="auto"/>
            </w:tcBorders>
            <w:vAlign w:val="center"/>
          </w:tcPr>
          <w:p w:rsidR="003A6944" w:rsidRPr="002C494A" w:rsidRDefault="003A6944"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p>
        </w:tc>
      </w:tr>
      <w:tr w:rsidR="003A6944" w:rsidRPr="002C494A" w:rsidTr="00BE2F27">
        <w:trPr>
          <w:trHeight w:hRule="exact" w:val="346"/>
        </w:trPr>
        <w:tc>
          <w:tcPr>
            <w:tcW w:w="392" w:type="dxa"/>
            <w:tcBorders>
              <w:top w:val="single" w:sz="4" w:space="0" w:color="auto"/>
              <w:bottom w:val="single" w:sz="4" w:space="0" w:color="auto"/>
              <w:right w:val="single" w:sz="4" w:space="0" w:color="auto"/>
            </w:tcBorders>
            <w:vAlign w:val="center"/>
          </w:tcPr>
          <w:p w:rsidR="003A6944" w:rsidRPr="002C494A" w:rsidRDefault="003A6944"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r w:rsidRPr="002C494A">
              <w:rPr>
                <w:rFonts w:cs="Arial"/>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3A6944" w:rsidRPr="002C494A" w:rsidRDefault="003A6944"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r w:rsidRPr="002C494A">
              <w:rPr>
                <w:rFonts w:cs="Arial"/>
                <w:sz w:val="22"/>
                <w:szCs w:val="22"/>
              </w:rPr>
              <w:t>Sufficient</w:t>
            </w:r>
          </w:p>
        </w:tc>
        <w:tc>
          <w:tcPr>
            <w:tcW w:w="492" w:type="dxa"/>
            <w:tcBorders>
              <w:top w:val="single" w:sz="4" w:space="0" w:color="auto"/>
              <w:left w:val="single" w:sz="4" w:space="0" w:color="auto"/>
              <w:bottom w:val="single" w:sz="4" w:space="0" w:color="auto"/>
            </w:tcBorders>
            <w:vAlign w:val="center"/>
          </w:tcPr>
          <w:p w:rsidR="003A6944" w:rsidRPr="002C494A" w:rsidRDefault="003A6944"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p>
        </w:tc>
      </w:tr>
      <w:tr w:rsidR="003A6944" w:rsidRPr="002C494A" w:rsidTr="00BE2F27">
        <w:trPr>
          <w:trHeight w:hRule="exact" w:val="346"/>
        </w:trPr>
        <w:tc>
          <w:tcPr>
            <w:tcW w:w="392" w:type="dxa"/>
            <w:tcBorders>
              <w:top w:val="single" w:sz="4" w:space="0" w:color="auto"/>
              <w:bottom w:val="single" w:sz="4" w:space="0" w:color="auto"/>
              <w:right w:val="single" w:sz="4" w:space="0" w:color="auto"/>
            </w:tcBorders>
            <w:vAlign w:val="center"/>
          </w:tcPr>
          <w:p w:rsidR="003A6944" w:rsidRPr="002C494A" w:rsidRDefault="003A6944"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r w:rsidRPr="002C494A">
              <w:rPr>
                <w:rFonts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3A6944" w:rsidRPr="002C494A" w:rsidRDefault="003A6944"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r w:rsidRPr="002C494A">
              <w:rPr>
                <w:rFonts w:cs="Arial"/>
                <w:sz w:val="22"/>
                <w:szCs w:val="22"/>
              </w:rPr>
              <w:t>High</w:t>
            </w:r>
          </w:p>
        </w:tc>
        <w:tc>
          <w:tcPr>
            <w:tcW w:w="492" w:type="dxa"/>
            <w:tcBorders>
              <w:top w:val="single" w:sz="4" w:space="0" w:color="auto"/>
              <w:left w:val="single" w:sz="4" w:space="0" w:color="auto"/>
              <w:bottom w:val="single" w:sz="4" w:space="0" w:color="auto"/>
            </w:tcBorders>
            <w:vAlign w:val="center"/>
          </w:tcPr>
          <w:p w:rsidR="003A6944" w:rsidRPr="002C494A" w:rsidRDefault="006F33CC" w:rsidP="00851E27">
            <w:pPr>
              <w:keepNext/>
              <w:keepLines/>
              <w:tabs>
                <w:tab w:val="left" w:pos="1260"/>
                <w:tab w:val="left" w:pos="1980"/>
                <w:tab w:val="left" w:pos="2700"/>
                <w:tab w:val="left" w:pos="3420"/>
              </w:tabs>
              <w:autoSpaceDE w:val="0"/>
              <w:autoSpaceDN w:val="0"/>
              <w:adjustRightInd w:val="0"/>
              <w:ind w:left="851" w:hanging="851"/>
              <w:rPr>
                <w:rFonts w:cs="Arial"/>
                <w:sz w:val="22"/>
                <w:szCs w:val="22"/>
              </w:rPr>
            </w:pPr>
            <w:r w:rsidRPr="002C494A">
              <w:rPr>
                <w:rFonts w:cs="Arial"/>
                <w:b/>
                <w:bCs/>
                <w:sz w:val="22"/>
                <w:szCs w:val="22"/>
              </w:rPr>
              <w:sym w:font="Wingdings" w:char="F0FC"/>
            </w:r>
          </w:p>
        </w:tc>
      </w:tr>
    </w:tbl>
    <w:p w:rsidR="00CB462E" w:rsidRPr="002C494A" w:rsidRDefault="00CB462E" w:rsidP="00851E27">
      <w:pPr>
        <w:pStyle w:val="BodyText"/>
        <w:ind w:left="851" w:hanging="851"/>
        <w:rPr>
          <w:rFonts w:cs="Arial"/>
          <w:szCs w:val="22"/>
        </w:rPr>
      </w:pPr>
    </w:p>
    <w:p w:rsidR="009D26D5" w:rsidRPr="002C494A" w:rsidRDefault="009D26D5" w:rsidP="00851E27">
      <w:pPr>
        <w:pStyle w:val="BodyText"/>
        <w:tabs>
          <w:tab w:val="left" w:pos="3420"/>
        </w:tabs>
        <w:ind w:left="851" w:hanging="851"/>
        <w:rPr>
          <w:rFonts w:cs="Arial"/>
          <w:szCs w:val="22"/>
        </w:rPr>
      </w:pPr>
    </w:p>
    <w:sectPr w:rsidR="009D26D5" w:rsidRPr="002C494A" w:rsidSect="002C494A">
      <w:footerReference w:type="even" r:id="rId8"/>
      <w:footerReference w:type="default" r:id="rId9"/>
      <w:pgSz w:w="11906" w:h="16838"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B2" w:rsidRDefault="004949B2">
      <w:r>
        <w:separator/>
      </w:r>
    </w:p>
  </w:endnote>
  <w:endnote w:type="continuationSeparator" w:id="0">
    <w:p w:rsidR="004949B2" w:rsidRDefault="0049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2" w:rsidRDefault="004949B2" w:rsidP="00BE2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949B2" w:rsidRDefault="004949B2" w:rsidP="00DC3F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2" w:rsidRDefault="004949B2" w:rsidP="004171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B2" w:rsidRDefault="004949B2">
      <w:r>
        <w:separator/>
      </w:r>
    </w:p>
  </w:footnote>
  <w:footnote w:type="continuationSeparator" w:id="0">
    <w:p w:rsidR="004949B2" w:rsidRDefault="00494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46D"/>
    <w:multiLevelType w:val="multilevel"/>
    <w:tmpl w:val="DA24506C"/>
    <w:lvl w:ilvl="0">
      <w:start w:val="4"/>
      <w:numFmt w:val="decimal"/>
      <w:lvlText w:val="%1"/>
      <w:lvlJc w:val="left"/>
      <w:pPr>
        <w:tabs>
          <w:tab w:val="num" w:pos="435"/>
        </w:tabs>
        <w:ind w:left="435" w:hanging="435"/>
      </w:pPr>
      <w:rPr>
        <w:rFonts w:hint="default"/>
        <w:b w:val="0"/>
      </w:rPr>
    </w:lvl>
    <w:lvl w:ilvl="1">
      <w:start w:val="30"/>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0D8965C0"/>
    <w:multiLevelType w:val="hybridMultilevel"/>
    <w:tmpl w:val="6A5E27B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hint="default"/>
      </w:rPr>
    </w:lvl>
    <w:lvl w:ilvl="2" w:tplc="08090005" w:tentative="1">
      <w:start w:val="1"/>
      <w:numFmt w:val="bullet"/>
      <w:lvlText w:val=""/>
      <w:lvlJc w:val="left"/>
      <w:pPr>
        <w:ind w:left="3243" w:hanging="360"/>
      </w:pPr>
      <w:rPr>
        <w:rFonts w:ascii="Wingdings" w:hAnsi="Wingdings" w:hint="default"/>
      </w:rPr>
    </w:lvl>
    <w:lvl w:ilvl="3" w:tplc="0809000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
    <w:nsid w:val="109E29E5"/>
    <w:multiLevelType w:val="hybridMultilevel"/>
    <w:tmpl w:val="52DC2D2A"/>
    <w:lvl w:ilvl="0" w:tplc="EFCAC0BA">
      <w:start w:val="1"/>
      <w:numFmt w:val="decimal"/>
      <w:lvlText w:val="%1."/>
      <w:lvlJc w:val="left"/>
      <w:pPr>
        <w:tabs>
          <w:tab w:val="num" w:pos="1260"/>
        </w:tabs>
        <w:ind w:left="1260" w:hanging="12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1201AD4"/>
    <w:multiLevelType w:val="multilevel"/>
    <w:tmpl w:val="37204932"/>
    <w:lvl w:ilvl="0">
      <w:start w:val="6"/>
      <w:numFmt w:val="decimal"/>
      <w:lvlText w:val="%1.0"/>
      <w:lvlJc w:val="left"/>
      <w:pPr>
        <w:tabs>
          <w:tab w:val="num" w:pos="1260"/>
        </w:tabs>
        <w:ind w:left="1260" w:hanging="1260"/>
      </w:pPr>
      <w:rPr>
        <w:rFonts w:hint="default"/>
        <w:b w:val="0"/>
      </w:rPr>
    </w:lvl>
    <w:lvl w:ilvl="1">
      <w:start w:val="1"/>
      <w:numFmt w:val="decimal"/>
      <w:lvlText w:val="%1.%2"/>
      <w:lvlJc w:val="left"/>
      <w:pPr>
        <w:tabs>
          <w:tab w:val="num" w:pos="1980"/>
        </w:tabs>
        <w:ind w:left="1980" w:hanging="1260"/>
      </w:pPr>
      <w:rPr>
        <w:rFonts w:hint="default"/>
        <w:b w:val="0"/>
      </w:rPr>
    </w:lvl>
    <w:lvl w:ilvl="2">
      <w:start w:val="1"/>
      <w:numFmt w:val="decimal"/>
      <w:lvlText w:val="%1.%2.%3"/>
      <w:lvlJc w:val="left"/>
      <w:pPr>
        <w:tabs>
          <w:tab w:val="num" w:pos="2700"/>
        </w:tabs>
        <w:ind w:left="2700" w:hanging="1260"/>
      </w:pPr>
      <w:rPr>
        <w:rFonts w:hint="default"/>
        <w:b w:val="0"/>
      </w:rPr>
    </w:lvl>
    <w:lvl w:ilvl="3">
      <w:start w:val="1"/>
      <w:numFmt w:val="decimal"/>
      <w:lvlText w:val="%1.%2.%3.%4"/>
      <w:lvlJc w:val="left"/>
      <w:pPr>
        <w:tabs>
          <w:tab w:val="num" w:pos="3420"/>
        </w:tabs>
        <w:ind w:left="3420" w:hanging="1260"/>
      </w:pPr>
      <w:rPr>
        <w:rFonts w:hint="default"/>
        <w:b w:val="0"/>
      </w:rPr>
    </w:lvl>
    <w:lvl w:ilvl="4">
      <w:start w:val="1"/>
      <w:numFmt w:val="decimal"/>
      <w:lvlText w:val="%1.%2.%3.%4.%5"/>
      <w:lvlJc w:val="left"/>
      <w:pPr>
        <w:tabs>
          <w:tab w:val="num" w:pos="4140"/>
        </w:tabs>
        <w:ind w:left="4140" w:hanging="1260"/>
      </w:pPr>
      <w:rPr>
        <w:rFonts w:hint="default"/>
        <w:b w:val="0"/>
      </w:rPr>
    </w:lvl>
    <w:lvl w:ilvl="5">
      <w:start w:val="1"/>
      <w:numFmt w:val="decimal"/>
      <w:lvlText w:val="%1.%2.%3.%4.%5.%6"/>
      <w:lvlJc w:val="left"/>
      <w:pPr>
        <w:tabs>
          <w:tab w:val="num" w:pos="4860"/>
        </w:tabs>
        <w:ind w:left="4860" w:hanging="126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
    <w:nsid w:val="112208DB"/>
    <w:multiLevelType w:val="hybridMultilevel"/>
    <w:tmpl w:val="C4D23594"/>
    <w:lvl w:ilvl="0" w:tplc="81507B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6C17E6"/>
    <w:multiLevelType w:val="hybridMultilevel"/>
    <w:tmpl w:val="302A2CFC"/>
    <w:lvl w:ilvl="0" w:tplc="BB36B26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
    <w:nsid w:val="15A87080"/>
    <w:multiLevelType w:val="hybridMultilevel"/>
    <w:tmpl w:val="6DEC9150"/>
    <w:lvl w:ilvl="0" w:tplc="C166DA24">
      <w:start w:val="1"/>
      <w:numFmt w:val="bullet"/>
      <w:lvlText w:val=""/>
      <w:lvlJc w:val="left"/>
      <w:pPr>
        <w:tabs>
          <w:tab w:val="num" w:pos="417"/>
        </w:tabs>
        <w:ind w:left="28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07135"/>
    <w:multiLevelType w:val="hybridMultilevel"/>
    <w:tmpl w:val="56100A0A"/>
    <w:lvl w:ilvl="0" w:tplc="86B2E154">
      <w:start w:val="1"/>
      <w:numFmt w:val="decimal"/>
      <w:lvlText w:val="%1."/>
      <w:lvlJc w:val="left"/>
      <w:pPr>
        <w:tabs>
          <w:tab w:val="num" w:pos="360"/>
        </w:tabs>
        <w:ind w:left="360" w:hanging="360"/>
      </w:pPr>
      <w:rPr>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C5B82"/>
    <w:multiLevelType w:val="multilevel"/>
    <w:tmpl w:val="AA109BA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F90E12"/>
    <w:multiLevelType w:val="multilevel"/>
    <w:tmpl w:val="E44824FE"/>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8020F5"/>
    <w:multiLevelType w:val="hybridMultilevel"/>
    <w:tmpl w:val="D03C1DD6"/>
    <w:lvl w:ilvl="0" w:tplc="08090001">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7846F2"/>
    <w:multiLevelType w:val="hybridMultilevel"/>
    <w:tmpl w:val="EF66C434"/>
    <w:lvl w:ilvl="0" w:tplc="C166DA24">
      <w:start w:val="1"/>
      <w:numFmt w:val="bullet"/>
      <w:lvlText w:val=""/>
      <w:lvlJc w:val="left"/>
      <w:pPr>
        <w:tabs>
          <w:tab w:val="num" w:pos="3483"/>
        </w:tabs>
        <w:ind w:left="3350" w:hanging="227"/>
      </w:pPr>
      <w:rPr>
        <w:rFonts w:ascii="Symbol" w:hAnsi="Symbol" w:hint="default"/>
        <w:color w:val="auto"/>
      </w:rPr>
    </w:lvl>
    <w:lvl w:ilvl="1" w:tplc="08090003" w:tentative="1">
      <w:start w:val="1"/>
      <w:numFmt w:val="bullet"/>
      <w:lvlText w:val="o"/>
      <w:lvlJc w:val="left"/>
      <w:pPr>
        <w:tabs>
          <w:tab w:val="num" w:pos="4506"/>
        </w:tabs>
        <w:ind w:left="4506" w:hanging="360"/>
      </w:pPr>
      <w:rPr>
        <w:rFonts w:ascii="Courier New" w:hAnsi="Courier New" w:cs="Courier New" w:hint="default"/>
      </w:rPr>
    </w:lvl>
    <w:lvl w:ilvl="2" w:tplc="08090005" w:tentative="1">
      <w:start w:val="1"/>
      <w:numFmt w:val="bullet"/>
      <w:lvlText w:val=""/>
      <w:lvlJc w:val="left"/>
      <w:pPr>
        <w:tabs>
          <w:tab w:val="num" w:pos="5226"/>
        </w:tabs>
        <w:ind w:left="5226" w:hanging="360"/>
      </w:pPr>
      <w:rPr>
        <w:rFonts w:ascii="Wingdings" w:hAnsi="Wingdings" w:hint="default"/>
      </w:rPr>
    </w:lvl>
    <w:lvl w:ilvl="3" w:tplc="08090001" w:tentative="1">
      <w:start w:val="1"/>
      <w:numFmt w:val="bullet"/>
      <w:lvlText w:val=""/>
      <w:lvlJc w:val="left"/>
      <w:pPr>
        <w:tabs>
          <w:tab w:val="num" w:pos="5946"/>
        </w:tabs>
        <w:ind w:left="5946" w:hanging="360"/>
      </w:pPr>
      <w:rPr>
        <w:rFonts w:ascii="Symbol" w:hAnsi="Symbol" w:hint="default"/>
      </w:rPr>
    </w:lvl>
    <w:lvl w:ilvl="4" w:tplc="08090003" w:tentative="1">
      <w:start w:val="1"/>
      <w:numFmt w:val="bullet"/>
      <w:lvlText w:val="o"/>
      <w:lvlJc w:val="left"/>
      <w:pPr>
        <w:tabs>
          <w:tab w:val="num" w:pos="6666"/>
        </w:tabs>
        <w:ind w:left="6666" w:hanging="360"/>
      </w:pPr>
      <w:rPr>
        <w:rFonts w:ascii="Courier New" w:hAnsi="Courier New" w:cs="Courier New" w:hint="default"/>
      </w:rPr>
    </w:lvl>
    <w:lvl w:ilvl="5" w:tplc="08090005" w:tentative="1">
      <w:start w:val="1"/>
      <w:numFmt w:val="bullet"/>
      <w:lvlText w:val=""/>
      <w:lvlJc w:val="left"/>
      <w:pPr>
        <w:tabs>
          <w:tab w:val="num" w:pos="7386"/>
        </w:tabs>
        <w:ind w:left="7386" w:hanging="360"/>
      </w:pPr>
      <w:rPr>
        <w:rFonts w:ascii="Wingdings" w:hAnsi="Wingdings" w:hint="default"/>
      </w:rPr>
    </w:lvl>
    <w:lvl w:ilvl="6" w:tplc="08090001" w:tentative="1">
      <w:start w:val="1"/>
      <w:numFmt w:val="bullet"/>
      <w:lvlText w:val=""/>
      <w:lvlJc w:val="left"/>
      <w:pPr>
        <w:tabs>
          <w:tab w:val="num" w:pos="8106"/>
        </w:tabs>
        <w:ind w:left="8106" w:hanging="360"/>
      </w:pPr>
      <w:rPr>
        <w:rFonts w:ascii="Symbol" w:hAnsi="Symbol" w:hint="default"/>
      </w:rPr>
    </w:lvl>
    <w:lvl w:ilvl="7" w:tplc="08090003" w:tentative="1">
      <w:start w:val="1"/>
      <w:numFmt w:val="bullet"/>
      <w:lvlText w:val="o"/>
      <w:lvlJc w:val="left"/>
      <w:pPr>
        <w:tabs>
          <w:tab w:val="num" w:pos="8826"/>
        </w:tabs>
        <w:ind w:left="8826" w:hanging="360"/>
      </w:pPr>
      <w:rPr>
        <w:rFonts w:ascii="Courier New" w:hAnsi="Courier New" w:cs="Courier New" w:hint="default"/>
      </w:rPr>
    </w:lvl>
    <w:lvl w:ilvl="8" w:tplc="08090005" w:tentative="1">
      <w:start w:val="1"/>
      <w:numFmt w:val="bullet"/>
      <w:lvlText w:val=""/>
      <w:lvlJc w:val="left"/>
      <w:pPr>
        <w:tabs>
          <w:tab w:val="num" w:pos="9546"/>
        </w:tabs>
        <w:ind w:left="9546" w:hanging="360"/>
      </w:pPr>
      <w:rPr>
        <w:rFonts w:ascii="Wingdings" w:hAnsi="Wingdings" w:hint="default"/>
      </w:rPr>
    </w:lvl>
  </w:abstractNum>
  <w:abstractNum w:abstractNumId="12">
    <w:nsid w:val="29E31F9A"/>
    <w:multiLevelType w:val="hybridMultilevel"/>
    <w:tmpl w:val="21E0F7D0"/>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13">
    <w:nsid w:val="2E41381D"/>
    <w:multiLevelType w:val="multilevel"/>
    <w:tmpl w:val="B7A8531E"/>
    <w:lvl w:ilvl="0">
      <w:start w:val="6"/>
      <w:numFmt w:val="decimal"/>
      <w:lvlText w:val="%1."/>
      <w:lvlJc w:val="left"/>
      <w:pPr>
        <w:tabs>
          <w:tab w:val="num" w:pos="1260"/>
        </w:tabs>
        <w:ind w:left="1260" w:hanging="1260"/>
      </w:pPr>
      <w:rPr>
        <w:rFonts w:hint="default"/>
        <w:b w:val="0"/>
      </w:rPr>
    </w:lvl>
    <w:lvl w:ilvl="1">
      <w:start w:val="1"/>
      <w:numFmt w:val="decimal"/>
      <w:isLgl/>
      <w:lvlText w:val="%1.%2"/>
      <w:lvlJc w:val="left"/>
      <w:pPr>
        <w:tabs>
          <w:tab w:val="num" w:pos="1260"/>
        </w:tabs>
        <w:ind w:left="1260" w:hanging="1260"/>
      </w:pPr>
      <w:rPr>
        <w:rFonts w:hint="default"/>
      </w:rPr>
    </w:lvl>
    <w:lvl w:ilvl="2">
      <w:start w:val="1"/>
      <w:numFmt w:val="decimal"/>
      <w:isLgl/>
      <w:lvlText w:val="%1.%2.%3"/>
      <w:lvlJc w:val="left"/>
      <w:pPr>
        <w:tabs>
          <w:tab w:val="num" w:pos="1260"/>
        </w:tabs>
        <w:ind w:left="1260" w:hanging="1260"/>
      </w:pPr>
      <w:rPr>
        <w:rFonts w:hint="default"/>
      </w:rPr>
    </w:lvl>
    <w:lvl w:ilvl="3">
      <w:start w:val="1"/>
      <w:numFmt w:val="decimal"/>
      <w:isLgl/>
      <w:lvlText w:val="%1.%2.%3.%4"/>
      <w:lvlJc w:val="left"/>
      <w:pPr>
        <w:tabs>
          <w:tab w:val="num" w:pos="1260"/>
        </w:tabs>
        <w:ind w:left="1260" w:hanging="1260"/>
      </w:pPr>
      <w:rPr>
        <w:rFonts w:hint="default"/>
      </w:rPr>
    </w:lvl>
    <w:lvl w:ilvl="4">
      <w:start w:val="1"/>
      <w:numFmt w:val="decimal"/>
      <w:isLgl/>
      <w:lvlText w:val="%1.%2.%3.%4.%5"/>
      <w:lvlJc w:val="left"/>
      <w:pPr>
        <w:tabs>
          <w:tab w:val="num" w:pos="1260"/>
        </w:tabs>
        <w:ind w:left="1260" w:hanging="1260"/>
      </w:pPr>
      <w:rPr>
        <w:rFonts w:hint="default"/>
      </w:rPr>
    </w:lvl>
    <w:lvl w:ilvl="5">
      <w:start w:val="1"/>
      <w:numFmt w:val="decimal"/>
      <w:isLgl/>
      <w:lvlText w:val="%1.%2.%3.%4.%5.%6"/>
      <w:lvlJc w:val="left"/>
      <w:pPr>
        <w:tabs>
          <w:tab w:val="num" w:pos="1260"/>
        </w:tabs>
        <w:ind w:left="1260" w:hanging="126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07E0CCE"/>
    <w:multiLevelType w:val="hybridMultilevel"/>
    <w:tmpl w:val="E8244F0E"/>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15">
    <w:nsid w:val="33B26848"/>
    <w:multiLevelType w:val="hybridMultilevel"/>
    <w:tmpl w:val="B5E21B76"/>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16">
    <w:nsid w:val="3F4509E0"/>
    <w:multiLevelType w:val="hybridMultilevel"/>
    <w:tmpl w:val="2926DF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502"/>
        </w:tabs>
        <w:ind w:left="502"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C7050"/>
    <w:multiLevelType w:val="hybridMultilevel"/>
    <w:tmpl w:val="57085BD8"/>
    <w:lvl w:ilvl="0" w:tplc="0809000F">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C47089B6">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2B7F54"/>
    <w:multiLevelType w:val="multilevel"/>
    <w:tmpl w:val="37204932"/>
    <w:lvl w:ilvl="0">
      <w:start w:val="6"/>
      <w:numFmt w:val="decimal"/>
      <w:lvlText w:val="%1.0"/>
      <w:lvlJc w:val="left"/>
      <w:pPr>
        <w:tabs>
          <w:tab w:val="num" w:pos="1260"/>
        </w:tabs>
        <w:ind w:left="1260" w:hanging="1260"/>
      </w:pPr>
      <w:rPr>
        <w:rFonts w:hint="default"/>
        <w:b w:val="0"/>
      </w:rPr>
    </w:lvl>
    <w:lvl w:ilvl="1">
      <w:start w:val="1"/>
      <w:numFmt w:val="decimal"/>
      <w:lvlText w:val="%1.%2"/>
      <w:lvlJc w:val="left"/>
      <w:pPr>
        <w:tabs>
          <w:tab w:val="num" w:pos="1980"/>
        </w:tabs>
        <w:ind w:left="1980" w:hanging="1260"/>
      </w:pPr>
      <w:rPr>
        <w:rFonts w:hint="default"/>
        <w:b w:val="0"/>
      </w:rPr>
    </w:lvl>
    <w:lvl w:ilvl="2">
      <w:start w:val="1"/>
      <w:numFmt w:val="decimal"/>
      <w:lvlText w:val="%1.%2.%3"/>
      <w:lvlJc w:val="left"/>
      <w:pPr>
        <w:tabs>
          <w:tab w:val="num" w:pos="2700"/>
        </w:tabs>
        <w:ind w:left="2700" w:hanging="1260"/>
      </w:pPr>
      <w:rPr>
        <w:rFonts w:hint="default"/>
        <w:b w:val="0"/>
      </w:rPr>
    </w:lvl>
    <w:lvl w:ilvl="3">
      <w:start w:val="1"/>
      <w:numFmt w:val="decimal"/>
      <w:lvlText w:val="%1.%2.%3.%4"/>
      <w:lvlJc w:val="left"/>
      <w:pPr>
        <w:tabs>
          <w:tab w:val="num" w:pos="3420"/>
        </w:tabs>
        <w:ind w:left="3420" w:hanging="1260"/>
      </w:pPr>
      <w:rPr>
        <w:rFonts w:hint="default"/>
        <w:b w:val="0"/>
      </w:rPr>
    </w:lvl>
    <w:lvl w:ilvl="4">
      <w:start w:val="1"/>
      <w:numFmt w:val="decimal"/>
      <w:lvlText w:val="%1.%2.%3.%4.%5"/>
      <w:lvlJc w:val="left"/>
      <w:pPr>
        <w:tabs>
          <w:tab w:val="num" w:pos="4140"/>
        </w:tabs>
        <w:ind w:left="4140" w:hanging="1260"/>
      </w:pPr>
      <w:rPr>
        <w:rFonts w:hint="default"/>
        <w:b w:val="0"/>
      </w:rPr>
    </w:lvl>
    <w:lvl w:ilvl="5">
      <w:start w:val="1"/>
      <w:numFmt w:val="decimal"/>
      <w:lvlText w:val="%1.%2.%3.%4.%5.%6"/>
      <w:lvlJc w:val="left"/>
      <w:pPr>
        <w:tabs>
          <w:tab w:val="num" w:pos="4860"/>
        </w:tabs>
        <w:ind w:left="4860" w:hanging="126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9">
    <w:nsid w:val="48F062D4"/>
    <w:multiLevelType w:val="hybridMultilevel"/>
    <w:tmpl w:val="595A392A"/>
    <w:lvl w:ilvl="0" w:tplc="6E74E3CE">
      <w:start w:val="1"/>
      <w:numFmt w:val="bullet"/>
      <w:lvlText w:val=""/>
      <w:lvlJc w:val="left"/>
      <w:pPr>
        <w:ind w:left="-3451" w:hanging="360"/>
      </w:pPr>
      <w:rPr>
        <w:rFonts w:ascii="Symbol" w:hAnsi="Symbol" w:hint="default"/>
      </w:rPr>
    </w:lvl>
    <w:lvl w:ilvl="1" w:tplc="08090003" w:tentative="1">
      <w:start w:val="1"/>
      <w:numFmt w:val="bullet"/>
      <w:lvlText w:val="o"/>
      <w:lvlJc w:val="left"/>
      <w:pPr>
        <w:ind w:left="-2731" w:hanging="360"/>
      </w:pPr>
      <w:rPr>
        <w:rFonts w:ascii="Courier New" w:hAnsi="Courier New" w:hint="default"/>
      </w:rPr>
    </w:lvl>
    <w:lvl w:ilvl="2" w:tplc="08090005" w:tentative="1">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1291" w:hanging="360"/>
      </w:pPr>
      <w:rPr>
        <w:rFonts w:ascii="Symbol" w:hAnsi="Symbol" w:hint="default"/>
      </w:rPr>
    </w:lvl>
    <w:lvl w:ilvl="4" w:tplc="08090003" w:tentative="1">
      <w:start w:val="1"/>
      <w:numFmt w:val="bullet"/>
      <w:lvlText w:val="o"/>
      <w:lvlJc w:val="left"/>
      <w:pPr>
        <w:ind w:left="-571" w:hanging="360"/>
      </w:pPr>
      <w:rPr>
        <w:rFonts w:ascii="Courier New" w:hAnsi="Courier New" w:hint="default"/>
      </w:rPr>
    </w:lvl>
    <w:lvl w:ilvl="5" w:tplc="08090005" w:tentative="1">
      <w:start w:val="1"/>
      <w:numFmt w:val="bullet"/>
      <w:lvlText w:val=""/>
      <w:lvlJc w:val="left"/>
      <w:pPr>
        <w:ind w:left="149" w:hanging="360"/>
      </w:pPr>
      <w:rPr>
        <w:rFonts w:ascii="Wingdings" w:hAnsi="Wingdings" w:hint="default"/>
      </w:rPr>
    </w:lvl>
    <w:lvl w:ilvl="6" w:tplc="08090001" w:tentative="1">
      <w:start w:val="1"/>
      <w:numFmt w:val="bullet"/>
      <w:lvlText w:val=""/>
      <w:lvlJc w:val="left"/>
      <w:pPr>
        <w:ind w:left="869" w:hanging="360"/>
      </w:pPr>
      <w:rPr>
        <w:rFonts w:ascii="Symbol" w:hAnsi="Symbol" w:hint="default"/>
      </w:rPr>
    </w:lvl>
    <w:lvl w:ilvl="7" w:tplc="08090003" w:tentative="1">
      <w:start w:val="1"/>
      <w:numFmt w:val="bullet"/>
      <w:lvlText w:val="o"/>
      <w:lvlJc w:val="left"/>
      <w:pPr>
        <w:ind w:left="1589" w:hanging="360"/>
      </w:pPr>
      <w:rPr>
        <w:rFonts w:ascii="Courier New" w:hAnsi="Courier New" w:hint="default"/>
      </w:rPr>
    </w:lvl>
    <w:lvl w:ilvl="8" w:tplc="08090005" w:tentative="1">
      <w:start w:val="1"/>
      <w:numFmt w:val="bullet"/>
      <w:lvlText w:val=""/>
      <w:lvlJc w:val="left"/>
      <w:pPr>
        <w:ind w:left="2309" w:hanging="360"/>
      </w:pPr>
      <w:rPr>
        <w:rFonts w:ascii="Wingdings" w:hAnsi="Wingdings" w:hint="default"/>
      </w:rPr>
    </w:lvl>
  </w:abstractNum>
  <w:abstractNum w:abstractNumId="20">
    <w:nsid w:val="4B983CF4"/>
    <w:multiLevelType w:val="hybridMultilevel"/>
    <w:tmpl w:val="3316360C"/>
    <w:lvl w:ilvl="0" w:tplc="08090007">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21">
    <w:nsid w:val="56DA4037"/>
    <w:multiLevelType w:val="multilevel"/>
    <w:tmpl w:val="89785E8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7A434A"/>
    <w:multiLevelType w:val="multilevel"/>
    <w:tmpl w:val="F804783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4F55329"/>
    <w:multiLevelType w:val="hybridMultilevel"/>
    <w:tmpl w:val="39D8A08A"/>
    <w:lvl w:ilvl="0" w:tplc="C166DA2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24421D"/>
    <w:multiLevelType w:val="multilevel"/>
    <w:tmpl w:val="18E69344"/>
    <w:lvl w:ilvl="0">
      <w:start w:val="4"/>
      <w:numFmt w:val="decimal"/>
      <w:lvlText w:val="%1"/>
      <w:lvlJc w:val="left"/>
      <w:pPr>
        <w:tabs>
          <w:tab w:val="num" w:pos="360"/>
        </w:tabs>
        <w:ind w:left="360" w:hanging="360"/>
      </w:pPr>
      <w:rPr>
        <w:rFonts w:hint="default"/>
        <w:color w:val="005B82"/>
      </w:rPr>
    </w:lvl>
    <w:lvl w:ilvl="1">
      <w:start w:val="1"/>
      <w:numFmt w:val="decimal"/>
      <w:lvlText w:val="%1.%2"/>
      <w:lvlJc w:val="left"/>
      <w:pPr>
        <w:tabs>
          <w:tab w:val="num" w:pos="360"/>
        </w:tabs>
        <w:ind w:left="360" w:hanging="360"/>
      </w:pPr>
      <w:rPr>
        <w:rFonts w:hint="default"/>
        <w:color w:val="005B82"/>
      </w:rPr>
    </w:lvl>
    <w:lvl w:ilvl="2">
      <w:start w:val="1"/>
      <w:numFmt w:val="decimal"/>
      <w:lvlText w:val="%1.%2.%3"/>
      <w:lvlJc w:val="left"/>
      <w:pPr>
        <w:tabs>
          <w:tab w:val="num" w:pos="720"/>
        </w:tabs>
        <w:ind w:left="720" w:hanging="720"/>
      </w:pPr>
      <w:rPr>
        <w:rFonts w:hint="default"/>
        <w:color w:val="005B82"/>
      </w:rPr>
    </w:lvl>
    <w:lvl w:ilvl="3">
      <w:start w:val="1"/>
      <w:numFmt w:val="decimal"/>
      <w:lvlText w:val="%1.%2.%3.%4"/>
      <w:lvlJc w:val="left"/>
      <w:pPr>
        <w:tabs>
          <w:tab w:val="num" w:pos="720"/>
        </w:tabs>
        <w:ind w:left="720" w:hanging="720"/>
      </w:pPr>
      <w:rPr>
        <w:rFonts w:hint="default"/>
        <w:color w:val="005B82"/>
      </w:rPr>
    </w:lvl>
    <w:lvl w:ilvl="4">
      <w:start w:val="1"/>
      <w:numFmt w:val="decimal"/>
      <w:lvlText w:val="%1.%2.%3.%4.%5"/>
      <w:lvlJc w:val="left"/>
      <w:pPr>
        <w:tabs>
          <w:tab w:val="num" w:pos="1080"/>
        </w:tabs>
        <w:ind w:left="1080" w:hanging="1080"/>
      </w:pPr>
      <w:rPr>
        <w:rFonts w:hint="default"/>
        <w:color w:val="005B82"/>
      </w:rPr>
    </w:lvl>
    <w:lvl w:ilvl="5">
      <w:start w:val="1"/>
      <w:numFmt w:val="decimal"/>
      <w:lvlText w:val="%1.%2.%3.%4.%5.%6"/>
      <w:lvlJc w:val="left"/>
      <w:pPr>
        <w:tabs>
          <w:tab w:val="num" w:pos="1080"/>
        </w:tabs>
        <w:ind w:left="1080" w:hanging="1080"/>
      </w:pPr>
      <w:rPr>
        <w:rFonts w:hint="default"/>
        <w:color w:val="005B82"/>
      </w:rPr>
    </w:lvl>
    <w:lvl w:ilvl="6">
      <w:start w:val="1"/>
      <w:numFmt w:val="decimal"/>
      <w:lvlText w:val="%1.%2.%3.%4.%5.%6.%7"/>
      <w:lvlJc w:val="left"/>
      <w:pPr>
        <w:tabs>
          <w:tab w:val="num" w:pos="1440"/>
        </w:tabs>
        <w:ind w:left="1440" w:hanging="1440"/>
      </w:pPr>
      <w:rPr>
        <w:rFonts w:hint="default"/>
        <w:color w:val="005B82"/>
      </w:rPr>
    </w:lvl>
    <w:lvl w:ilvl="7">
      <w:start w:val="1"/>
      <w:numFmt w:val="decimal"/>
      <w:lvlText w:val="%1.%2.%3.%4.%5.%6.%7.%8"/>
      <w:lvlJc w:val="left"/>
      <w:pPr>
        <w:tabs>
          <w:tab w:val="num" w:pos="1440"/>
        </w:tabs>
        <w:ind w:left="1440" w:hanging="1440"/>
      </w:pPr>
      <w:rPr>
        <w:rFonts w:hint="default"/>
        <w:color w:val="005B82"/>
      </w:rPr>
    </w:lvl>
    <w:lvl w:ilvl="8">
      <w:start w:val="1"/>
      <w:numFmt w:val="decimal"/>
      <w:lvlText w:val="%1.%2.%3.%4.%5.%6.%7.%8.%9"/>
      <w:lvlJc w:val="left"/>
      <w:pPr>
        <w:tabs>
          <w:tab w:val="num" w:pos="1800"/>
        </w:tabs>
        <w:ind w:left="1800" w:hanging="1800"/>
      </w:pPr>
      <w:rPr>
        <w:rFonts w:hint="default"/>
        <w:color w:val="005B82"/>
      </w:rPr>
    </w:lvl>
  </w:abstractNum>
  <w:abstractNum w:abstractNumId="25">
    <w:nsid w:val="7C4E09B5"/>
    <w:multiLevelType w:val="hybridMultilevel"/>
    <w:tmpl w:val="38381E04"/>
    <w:lvl w:ilvl="0" w:tplc="C166DA24">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6">
    <w:nsid w:val="7F1525C6"/>
    <w:multiLevelType w:val="hybridMultilevel"/>
    <w:tmpl w:val="455C25DC"/>
    <w:lvl w:ilvl="0" w:tplc="C166DA24">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1"/>
  </w:num>
  <w:num w:numId="3">
    <w:abstractNumId w:val="10"/>
  </w:num>
  <w:num w:numId="4">
    <w:abstractNumId w:val="23"/>
  </w:num>
  <w:num w:numId="5">
    <w:abstractNumId w:val="5"/>
  </w:num>
  <w:num w:numId="6">
    <w:abstractNumId w:val="19"/>
  </w:num>
  <w:num w:numId="7">
    <w:abstractNumId w:val="4"/>
  </w:num>
  <w:num w:numId="8">
    <w:abstractNumId w:val="20"/>
  </w:num>
  <w:num w:numId="9">
    <w:abstractNumId w:val="6"/>
  </w:num>
  <w:num w:numId="10">
    <w:abstractNumId w:val="7"/>
  </w:num>
  <w:num w:numId="11">
    <w:abstractNumId w:val="16"/>
  </w:num>
  <w:num w:numId="12">
    <w:abstractNumId w:val="26"/>
  </w:num>
  <w:num w:numId="13">
    <w:abstractNumId w:val="22"/>
  </w:num>
  <w:num w:numId="14">
    <w:abstractNumId w:val="24"/>
  </w:num>
  <w:num w:numId="15">
    <w:abstractNumId w:val="0"/>
  </w:num>
  <w:num w:numId="16">
    <w:abstractNumId w:val="9"/>
  </w:num>
  <w:num w:numId="17">
    <w:abstractNumId w:val="13"/>
  </w:num>
  <w:num w:numId="18">
    <w:abstractNumId w:val="2"/>
  </w:num>
  <w:num w:numId="19">
    <w:abstractNumId w:val="8"/>
  </w:num>
  <w:num w:numId="20">
    <w:abstractNumId w:val="12"/>
  </w:num>
  <w:num w:numId="21">
    <w:abstractNumId w:val="15"/>
  </w:num>
  <w:num w:numId="22">
    <w:abstractNumId w:val="14"/>
  </w:num>
  <w:num w:numId="23">
    <w:abstractNumId w:val="25"/>
  </w:num>
  <w:num w:numId="24">
    <w:abstractNumId w:val="18"/>
  </w:num>
  <w:num w:numId="25">
    <w:abstractNumId w:val="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55"/>
    <w:rsid w:val="00001295"/>
    <w:rsid w:val="00004C31"/>
    <w:rsid w:val="00016558"/>
    <w:rsid w:val="000258AF"/>
    <w:rsid w:val="000267D8"/>
    <w:rsid w:val="00027166"/>
    <w:rsid w:val="00033CB0"/>
    <w:rsid w:val="00041FCF"/>
    <w:rsid w:val="00062D13"/>
    <w:rsid w:val="00066F5D"/>
    <w:rsid w:val="000874B2"/>
    <w:rsid w:val="000F11E5"/>
    <w:rsid w:val="00101C9E"/>
    <w:rsid w:val="0012163D"/>
    <w:rsid w:val="00123CE5"/>
    <w:rsid w:val="00127814"/>
    <w:rsid w:val="00136A07"/>
    <w:rsid w:val="00137FEE"/>
    <w:rsid w:val="00144542"/>
    <w:rsid w:val="00174014"/>
    <w:rsid w:val="001920A1"/>
    <w:rsid w:val="001B355B"/>
    <w:rsid w:val="001B5252"/>
    <w:rsid w:val="001D665A"/>
    <w:rsid w:val="001E3E7E"/>
    <w:rsid w:val="001E551A"/>
    <w:rsid w:val="00206332"/>
    <w:rsid w:val="00210F82"/>
    <w:rsid w:val="00212BC3"/>
    <w:rsid w:val="00213CE0"/>
    <w:rsid w:val="0021623A"/>
    <w:rsid w:val="002164AA"/>
    <w:rsid w:val="00237A4F"/>
    <w:rsid w:val="00251CE2"/>
    <w:rsid w:val="00260BAC"/>
    <w:rsid w:val="00270811"/>
    <w:rsid w:val="00274B2A"/>
    <w:rsid w:val="0028171B"/>
    <w:rsid w:val="0028593C"/>
    <w:rsid w:val="00296246"/>
    <w:rsid w:val="002A0A99"/>
    <w:rsid w:val="002C494A"/>
    <w:rsid w:val="002D0F7F"/>
    <w:rsid w:val="002F0DD8"/>
    <w:rsid w:val="0032054F"/>
    <w:rsid w:val="00333875"/>
    <w:rsid w:val="003378A9"/>
    <w:rsid w:val="00346B73"/>
    <w:rsid w:val="00363160"/>
    <w:rsid w:val="00391B36"/>
    <w:rsid w:val="00394428"/>
    <w:rsid w:val="003A3983"/>
    <w:rsid w:val="003A6944"/>
    <w:rsid w:val="003B0BB2"/>
    <w:rsid w:val="003B5133"/>
    <w:rsid w:val="003C3BA5"/>
    <w:rsid w:val="003D03B3"/>
    <w:rsid w:val="003D11B4"/>
    <w:rsid w:val="003D6A57"/>
    <w:rsid w:val="003E778C"/>
    <w:rsid w:val="003F420A"/>
    <w:rsid w:val="003F631D"/>
    <w:rsid w:val="004033BE"/>
    <w:rsid w:val="00410D33"/>
    <w:rsid w:val="00416A26"/>
    <w:rsid w:val="00416F9E"/>
    <w:rsid w:val="004171D7"/>
    <w:rsid w:val="00425F7B"/>
    <w:rsid w:val="00426138"/>
    <w:rsid w:val="004322D2"/>
    <w:rsid w:val="00432C0A"/>
    <w:rsid w:val="0045279C"/>
    <w:rsid w:val="00454A23"/>
    <w:rsid w:val="00471A49"/>
    <w:rsid w:val="00473729"/>
    <w:rsid w:val="004741B6"/>
    <w:rsid w:val="004949B2"/>
    <w:rsid w:val="00497BBF"/>
    <w:rsid w:val="004A02BA"/>
    <w:rsid w:val="004A2543"/>
    <w:rsid w:val="004B46C5"/>
    <w:rsid w:val="004C4745"/>
    <w:rsid w:val="004E19BD"/>
    <w:rsid w:val="004F1BCF"/>
    <w:rsid w:val="004F3A84"/>
    <w:rsid w:val="004F63B6"/>
    <w:rsid w:val="00511CA4"/>
    <w:rsid w:val="00532CA2"/>
    <w:rsid w:val="005372D1"/>
    <w:rsid w:val="005373B8"/>
    <w:rsid w:val="005449E9"/>
    <w:rsid w:val="00551751"/>
    <w:rsid w:val="0055207B"/>
    <w:rsid w:val="005619B5"/>
    <w:rsid w:val="005A16BC"/>
    <w:rsid w:val="005A341B"/>
    <w:rsid w:val="005A7CE7"/>
    <w:rsid w:val="005B4062"/>
    <w:rsid w:val="005D05EF"/>
    <w:rsid w:val="005D5B2F"/>
    <w:rsid w:val="005E2247"/>
    <w:rsid w:val="005F7FB9"/>
    <w:rsid w:val="00601FCE"/>
    <w:rsid w:val="00615B5E"/>
    <w:rsid w:val="006214A2"/>
    <w:rsid w:val="00625B83"/>
    <w:rsid w:val="00646DEB"/>
    <w:rsid w:val="0066690B"/>
    <w:rsid w:val="00675305"/>
    <w:rsid w:val="00680081"/>
    <w:rsid w:val="006937D9"/>
    <w:rsid w:val="00693FEF"/>
    <w:rsid w:val="00697CE8"/>
    <w:rsid w:val="006A688B"/>
    <w:rsid w:val="006B339B"/>
    <w:rsid w:val="006F33CC"/>
    <w:rsid w:val="0070012C"/>
    <w:rsid w:val="0070785E"/>
    <w:rsid w:val="00714880"/>
    <w:rsid w:val="007169BD"/>
    <w:rsid w:val="00731CC3"/>
    <w:rsid w:val="007322C7"/>
    <w:rsid w:val="00735C9C"/>
    <w:rsid w:val="007827F3"/>
    <w:rsid w:val="007C1BF3"/>
    <w:rsid w:val="007D393F"/>
    <w:rsid w:val="007E1DAC"/>
    <w:rsid w:val="007F4DBF"/>
    <w:rsid w:val="00800E05"/>
    <w:rsid w:val="0080463A"/>
    <w:rsid w:val="00806B6C"/>
    <w:rsid w:val="008133D5"/>
    <w:rsid w:val="00816278"/>
    <w:rsid w:val="00822243"/>
    <w:rsid w:val="008235E6"/>
    <w:rsid w:val="00825443"/>
    <w:rsid w:val="0083576F"/>
    <w:rsid w:val="008365D0"/>
    <w:rsid w:val="00846223"/>
    <w:rsid w:val="00851E27"/>
    <w:rsid w:val="00857EAF"/>
    <w:rsid w:val="008749BC"/>
    <w:rsid w:val="008817FF"/>
    <w:rsid w:val="008869B6"/>
    <w:rsid w:val="008B28C2"/>
    <w:rsid w:val="008D4DF6"/>
    <w:rsid w:val="008D76E6"/>
    <w:rsid w:val="008F2482"/>
    <w:rsid w:val="008F2B5F"/>
    <w:rsid w:val="008F35A6"/>
    <w:rsid w:val="009011BE"/>
    <w:rsid w:val="00916BBF"/>
    <w:rsid w:val="00926095"/>
    <w:rsid w:val="00940EA4"/>
    <w:rsid w:val="009834B9"/>
    <w:rsid w:val="009B331C"/>
    <w:rsid w:val="009B64C6"/>
    <w:rsid w:val="009C7747"/>
    <w:rsid w:val="009D2214"/>
    <w:rsid w:val="009D26D5"/>
    <w:rsid w:val="009D472B"/>
    <w:rsid w:val="009D7764"/>
    <w:rsid w:val="009E4D70"/>
    <w:rsid w:val="00A02652"/>
    <w:rsid w:val="00A04F65"/>
    <w:rsid w:val="00A114B1"/>
    <w:rsid w:val="00A13BF3"/>
    <w:rsid w:val="00A31D25"/>
    <w:rsid w:val="00A36746"/>
    <w:rsid w:val="00A36DBD"/>
    <w:rsid w:val="00A46155"/>
    <w:rsid w:val="00A52633"/>
    <w:rsid w:val="00A61AC3"/>
    <w:rsid w:val="00A709B7"/>
    <w:rsid w:val="00A723BC"/>
    <w:rsid w:val="00A72856"/>
    <w:rsid w:val="00A8106C"/>
    <w:rsid w:val="00A82777"/>
    <w:rsid w:val="00A82822"/>
    <w:rsid w:val="00A90DE1"/>
    <w:rsid w:val="00AB411E"/>
    <w:rsid w:val="00AB5BCD"/>
    <w:rsid w:val="00AB6267"/>
    <w:rsid w:val="00AC447A"/>
    <w:rsid w:val="00AC49CD"/>
    <w:rsid w:val="00AD42AD"/>
    <w:rsid w:val="00AD5C65"/>
    <w:rsid w:val="00AD64EB"/>
    <w:rsid w:val="00AE1A0C"/>
    <w:rsid w:val="00AE2A20"/>
    <w:rsid w:val="00AE4102"/>
    <w:rsid w:val="00B0392F"/>
    <w:rsid w:val="00B04F87"/>
    <w:rsid w:val="00B07E62"/>
    <w:rsid w:val="00B20879"/>
    <w:rsid w:val="00B2320E"/>
    <w:rsid w:val="00B27F76"/>
    <w:rsid w:val="00B34C6B"/>
    <w:rsid w:val="00B41B6B"/>
    <w:rsid w:val="00B46516"/>
    <w:rsid w:val="00B545C9"/>
    <w:rsid w:val="00B76303"/>
    <w:rsid w:val="00B90620"/>
    <w:rsid w:val="00BA0C5C"/>
    <w:rsid w:val="00BA3F74"/>
    <w:rsid w:val="00BC02CA"/>
    <w:rsid w:val="00BE04D6"/>
    <w:rsid w:val="00BE2F27"/>
    <w:rsid w:val="00BE79C0"/>
    <w:rsid w:val="00BF2080"/>
    <w:rsid w:val="00BF4927"/>
    <w:rsid w:val="00C05EAD"/>
    <w:rsid w:val="00C21C08"/>
    <w:rsid w:val="00C323B6"/>
    <w:rsid w:val="00C4195C"/>
    <w:rsid w:val="00C4295C"/>
    <w:rsid w:val="00C66467"/>
    <w:rsid w:val="00C764C5"/>
    <w:rsid w:val="00C93F2C"/>
    <w:rsid w:val="00C94925"/>
    <w:rsid w:val="00CA1E46"/>
    <w:rsid w:val="00CA2A5F"/>
    <w:rsid w:val="00CA3E29"/>
    <w:rsid w:val="00CB3457"/>
    <w:rsid w:val="00CB462E"/>
    <w:rsid w:val="00CC1CB8"/>
    <w:rsid w:val="00CD4433"/>
    <w:rsid w:val="00CD4462"/>
    <w:rsid w:val="00CD66CD"/>
    <w:rsid w:val="00CE3503"/>
    <w:rsid w:val="00CF13E4"/>
    <w:rsid w:val="00CF7B67"/>
    <w:rsid w:val="00D02A08"/>
    <w:rsid w:val="00D16D63"/>
    <w:rsid w:val="00D55D62"/>
    <w:rsid w:val="00D90529"/>
    <w:rsid w:val="00D9080C"/>
    <w:rsid w:val="00D96795"/>
    <w:rsid w:val="00DA2786"/>
    <w:rsid w:val="00DA2DB8"/>
    <w:rsid w:val="00DC3F55"/>
    <w:rsid w:val="00DD085F"/>
    <w:rsid w:val="00DF5C5E"/>
    <w:rsid w:val="00DF6233"/>
    <w:rsid w:val="00E12642"/>
    <w:rsid w:val="00E14DE2"/>
    <w:rsid w:val="00E16375"/>
    <w:rsid w:val="00E17E6A"/>
    <w:rsid w:val="00E35845"/>
    <w:rsid w:val="00E45E6D"/>
    <w:rsid w:val="00E4600E"/>
    <w:rsid w:val="00E47EFF"/>
    <w:rsid w:val="00E57304"/>
    <w:rsid w:val="00E62DA4"/>
    <w:rsid w:val="00E70037"/>
    <w:rsid w:val="00E80909"/>
    <w:rsid w:val="00E822A8"/>
    <w:rsid w:val="00E94D09"/>
    <w:rsid w:val="00EA289E"/>
    <w:rsid w:val="00EA7042"/>
    <w:rsid w:val="00EA7523"/>
    <w:rsid w:val="00EC4ABB"/>
    <w:rsid w:val="00ED4BD9"/>
    <w:rsid w:val="00EE235D"/>
    <w:rsid w:val="00F02C57"/>
    <w:rsid w:val="00F05450"/>
    <w:rsid w:val="00F41669"/>
    <w:rsid w:val="00F41F19"/>
    <w:rsid w:val="00F43FDA"/>
    <w:rsid w:val="00F45821"/>
    <w:rsid w:val="00F53064"/>
    <w:rsid w:val="00F85AF0"/>
    <w:rsid w:val="00F86E14"/>
    <w:rsid w:val="00F96EC1"/>
    <w:rsid w:val="00FA5B92"/>
    <w:rsid w:val="00FA638F"/>
    <w:rsid w:val="00FB0673"/>
    <w:rsid w:val="00FB10B7"/>
    <w:rsid w:val="00FC7B1D"/>
    <w:rsid w:val="00FD4488"/>
    <w:rsid w:val="00FE083E"/>
    <w:rsid w:val="00FF1B81"/>
    <w:rsid w:val="00FF3607"/>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72B"/>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F55"/>
    <w:pPr>
      <w:tabs>
        <w:tab w:val="center" w:pos="4153"/>
        <w:tab w:val="right" w:pos="8306"/>
      </w:tabs>
    </w:pPr>
  </w:style>
  <w:style w:type="character" w:customStyle="1" w:styleId="FooterChar">
    <w:name w:val="Footer Char"/>
    <w:link w:val="Footer"/>
    <w:locked/>
    <w:rsid w:val="00DC3F55"/>
    <w:rPr>
      <w:rFonts w:ascii="Arial" w:hAnsi="Arial"/>
      <w:sz w:val="24"/>
      <w:lang w:val="en-GB" w:eastAsia="en-US" w:bidi="ar-SA"/>
    </w:rPr>
  </w:style>
  <w:style w:type="paragraph" w:styleId="BodyText">
    <w:name w:val="Body Text"/>
    <w:basedOn w:val="Normal"/>
    <w:link w:val="BodyTextChar"/>
    <w:rsid w:val="00DC3F55"/>
    <w:rPr>
      <w:sz w:val="22"/>
    </w:rPr>
  </w:style>
  <w:style w:type="character" w:customStyle="1" w:styleId="BodyTextChar">
    <w:name w:val="Body Text Char"/>
    <w:link w:val="BodyText"/>
    <w:semiHidden/>
    <w:locked/>
    <w:rsid w:val="00DC3F55"/>
    <w:rPr>
      <w:rFonts w:ascii="Arial" w:hAnsi="Arial"/>
      <w:sz w:val="22"/>
      <w:lang w:val="en-GB" w:eastAsia="en-US" w:bidi="ar-SA"/>
    </w:rPr>
  </w:style>
  <w:style w:type="paragraph" w:styleId="BodyText2">
    <w:name w:val="Body Text 2"/>
    <w:basedOn w:val="Normal"/>
    <w:link w:val="BodyText2Char"/>
    <w:rsid w:val="00DC3F55"/>
    <w:rPr>
      <w:sz w:val="18"/>
    </w:rPr>
  </w:style>
  <w:style w:type="character" w:customStyle="1" w:styleId="BodyText2Char">
    <w:name w:val="Body Text 2 Char"/>
    <w:link w:val="BodyText2"/>
    <w:locked/>
    <w:rsid w:val="00DC3F55"/>
    <w:rPr>
      <w:rFonts w:ascii="Arial" w:hAnsi="Arial"/>
      <w:sz w:val="18"/>
      <w:lang w:val="en-GB" w:eastAsia="en-US" w:bidi="ar-SA"/>
    </w:rPr>
  </w:style>
  <w:style w:type="paragraph" w:styleId="ListParagraph">
    <w:name w:val="List Paragraph"/>
    <w:basedOn w:val="Normal"/>
    <w:qFormat/>
    <w:rsid w:val="00DC3F55"/>
    <w:pPr>
      <w:ind w:left="720"/>
      <w:contextualSpacing/>
    </w:pPr>
    <w:rPr>
      <w:rFonts w:ascii="Times New Roman" w:eastAsia="Calibri" w:hAnsi="Times New Roman"/>
      <w:szCs w:val="24"/>
      <w:lang w:eastAsia="en-GB"/>
    </w:rPr>
  </w:style>
  <w:style w:type="character" w:customStyle="1" w:styleId="CharChar">
    <w:name w:val="Char Char"/>
    <w:rsid w:val="00DC3F55"/>
    <w:rPr>
      <w:rFonts w:ascii="Times New Roman" w:eastAsia="Times New Roman" w:hAnsi="Times New Roman" w:cs="Times New Roman"/>
      <w:b/>
      <w:bCs/>
      <w:sz w:val="24"/>
      <w:szCs w:val="24"/>
    </w:rPr>
  </w:style>
  <w:style w:type="character" w:styleId="PageNumber">
    <w:name w:val="page number"/>
    <w:basedOn w:val="DefaultParagraphFont"/>
    <w:rsid w:val="00DC3F55"/>
  </w:style>
  <w:style w:type="paragraph" w:styleId="Header">
    <w:name w:val="header"/>
    <w:basedOn w:val="Normal"/>
    <w:rsid w:val="00DC3F55"/>
    <w:pPr>
      <w:tabs>
        <w:tab w:val="center" w:pos="4153"/>
        <w:tab w:val="right" w:pos="8306"/>
      </w:tabs>
    </w:pPr>
  </w:style>
  <w:style w:type="table" w:styleId="TableGrid">
    <w:name w:val="Table Grid"/>
    <w:basedOn w:val="TableNormal"/>
    <w:rsid w:val="0026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33CB0"/>
    <w:pPr>
      <w:shd w:val="clear" w:color="auto" w:fill="000080"/>
    </w:pPr>
    <w:rPr>
      <w:rFonts w:ascii="Tahoma" w:hAnsi="Tahoma" w:cs="Tahoma"/>
      <w:sz w:val="20"/>
    </w:rPr>
  </w:style>
  <w:style w:type="paragraph" w:styleId="BalloonText">
    <w:name w:val="Balloon Text"/>
    <w:basedOn w:val="Normal"/>
    <w:semiHidden/>
    <w:rsid w:val="00A02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72B"/>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F55"/>
    <w:pPr>
      <w:tabs>
        <w:tab w:val="center" w:pos="4153"/>
        <w:tab w:val="right" w:pos="8306"/>
      </w:tabs>
    </w:pPr>
  </w:style>
  <w:style w:type="character" w:customStyle="1" w:styleId="FooterChar">
    <w:name w:val="Footer Char"/>
    <w:link w:val="Footer"/>
    <w:locked/>
    <w:rsid w:val="00DC3F55"/>
    <w:rPr>
      <w:rFonts w:ascii="Arial" w:hAnsi="Arial"/>
      <w:sz w:val="24"/>
      <w:lang w:val="en-GB" w:eastAsia="en-US" w:bidi="ar-SA"/>
    </w:rPr>
  </w:style>
  <w:style w:type="paragraph" w:styleId="BodyText">
    <w:name w:val="Body Text"/>
    <w:basedOn w:val="Normal"/>
    <w:link w:val="BodyTextChar"/>
    <w:rsid w:val="00DC3F55"/>
    <w:rPr>
      <w:sz w:val="22"/>
    </w:rPr>
  </w:style>
  <w:style w:type="character" w:customStyle="1" w:styleId="BodyTextChar">
    <w:name w:val="Body Text Char"/>
    <w:link w:val="BodyText"/>
    <w:semiHidden/>
    <w:locked/>
    <w:rsid w:val="00DC3F55"/>
    <w:rPr>
      <w:rFonts w:ascii="Arial" w:hAnsi="Arial"/>
      <w:sz w:val="22"/>
      <w:lang w:val="en-GB" w:eastAsia="en-US" w:bidi="ar-SA"/>
    </w:rPr>
  </w:style>
  <w:style w:type="paragraph" w:styleId="BodyText2">
    <w:name w:val="Body Text 2"/>
    <w:basedOn w:val="Normal"/>
    <w:link w:val="BodyText2Char"/>
    <w:rsid w:val="00DC3F55"/>
    <w:rPr>
      <w:sz w:val="18"/>
    </w:rPr>
  </w:style>
  <w:style w:type="character" w:customStyle="1" w:styleId="BodyText2Char">
    <w:name w:val="Body Text 2 Char"/>
    <w:link w:val="BodyText2"/>
    <w:locked/>
    <w:rsid w:val="00DC3F55"/>
    <w:rPr>
      <w:rFonts w:ascii="Arial" w:hAnsi="Arial"/>
      <w:sz w:val="18"/>
      <w:lang w:val="en-GB" w:eastAsia="en-US" w:bidi="ar-SA"/>
    </w:rPr>
  </w:style>
  <w:style w:type="paragraph" w:styleId="ListParagraph">
    <w:name w:val="List Paragraph"/>
    <w:basedOn w:val="Normal"/>
    <w:qFormat/>
    <w:rsid w:val="00DC3F55"/>
    <w:pPr>
      <w:ind w:left="720"/>
      <w:contextualSpacing/>
    </w:pPr>
    <w:rPr>
      <w:rFonts w:ascii="Times New Roman" w:eastAsia="Calibri" w:hAnsi="Times New Roman"/>
      <w:szCs w:val="24"/>
      <w:lang w:eastAsia="en-GB"/>
    </w:rPr>
  </w:style>
  <w:style w:type="character" w:customStyle="1" w:styleId="CharChar">
    <w:name w:val="Char Char"/>
    <w:rsid w:val="00DC3F55"/>
    <w:rPr>
      <w:rFonts w:ascii="Times New Roman" w:eastAsia="Times New Roman" w:hAnsi="Times New Roman" w:cs="Times New Roman"/>
      <w:b/>
      <w:bCs/>
      <w:sz w:val="24"/>
      <w:szCs w:val="24"/>
    </w:rPr>
  </w:style>
  <w:style w:type="character" w:styleId="PageNumber">
    <w:name w:val="page number"/>
    <w:basedOn w:val="DefaultParagraphFont"/>
    <w:rsid w:val="00DC3F55"/>
  </w:style>
  <w:style w:type="paragraph" w:styleId="Header">
    <w:name w:val="header"/>
    <w:basedOn w:val="Normal"/>
    <w:rsid w:val="00DC3F55"/>
    <w:pPr>
      <w:tabs>
        <w:tab w:val="center" w:pos="4153"/>
        <w:tab w:val="right" w:pos="8306"/>
      </w:tabs>
    </w:pPr>
  </w:style>
  <w:style w:type="table" w:styleId="TableGrid">
    <w:name w:val="Table Grid"/>
    <w:basedOn w:val="TableNormal"/>
    <w:rsid w:val="0026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33CB0"/>
    <w:pPr>
      <w:shd w:val="clear" w:color="auto" w:fill="000080"/>
    </w:pPr>
    <w:rPr>
      <w:rFonts w:ascii="Tahoma" w:hAnsi="Tahoma" w:cs="Tahoma"/>
      <w:sz w:val="20"/>
    </w:rPr>
  </w:style>
  <w:style w:type="paragraph" w:styleId="BalloonText">
    <w:name w:val="Balloon Text"/>
    <w:basedOn w:val="Normal"/>
    <w:semiHidden/>
    <w:rsid w:val="00A02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5427">
      <w:bodyDiv w:val="1"/>
      <w:marLeft w:val="0"/>
      <w:marRight w:val="0"/>
      <w:marTop w:val="0"/>
      <w:marBottom w:val="0"/>
      <w:divBdr>
        <w:top w:val="none" w:sz="0" w:space="0" w:color="auto"/>
        <w:left w:val="none" w:sz="0" w:space="0" w:color="auto"/>
        <w:bottom w:val="none" w:sz="0" w:space="0" w:color="auto"/>
        <w:right w:val="none" w:sz="0" w:space="0" w:color="auto"/>
      </w:divBdr>
    </w:div>
    <w:div w:id="1515848670">
      <w:bodyDiv w:val="1"/>
      <w:marLeft w:val="0"/>
      <w:marRight w:val="0"/>
      <w:marTop w:val="0"/>
      <w:marBottom w:val="0"/>
      <w:divBdr>
        <w:top w:val="none" w:sz="0" w:space="0" w:color="auto"/>
        <w:left w:val="none" w:sz="0" w:space="0" w:color="auto"/>
        <w:bottom w:val="none" w:sz="0" w:space="0" w:color="auto"/>
        <w:right w:val="none" w:sz="0" w:space="0" w:color="auto"/>
      </w:divBdr>
    </w:div>
    <w:div w:id="18632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1497</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THREE RIVERS DISTRICT COUNCIL</vt:lpstr>
    </vt:vector>
  </TitlesOfParts>
  <Company>Watford Borough Council</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DISTRICT COUNCIL</dc:title>
  <dc:creator>insitets</dc:creator>
  <cp:lastModifiedBy>Mike Simpson</cp:lastModifiedBy>
  <cp:revision>3</cp:revision>
  <cp:lastPrinted>2017-11-27T14:10:00Z</cp:lastPrinted>
  <dcterms:created xsi:type="dcterms:W3CDTF">2017-11-27T12:10:00Z</dcterms:created>
  <dcterms:modified xsi:type="dcterms:W3CDTF">2017-11-27T15:18:00Z</dcterms:modified>
</cp:coreProperties>
</file>