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CF" w:rsidRPr="006C255E" w:rsidRDefault="00025DCF" w:rsidP="00025DCF">
      <w:pPr>
        <w:jc w:val="center"/>
        <w:rPr>
          <w:rFonts w:ascii="Arial" w:hAnsi="Arial" w:cs="Arial"/>
          <w:b/>
          <w:color w:val="000000" w:themeColor="text1"/>
        </w:rPr>
      </w:pPr>
      <w:r w:rsidRPr="006C255E">
        <w:rPr>
          <w:rFonts w:ascii="Arial" w:hAnsi="Arial" w:cs="Arial"/>
          <w:b/>
          <w:color w:val="000000" w:themeColor="text1"/>
        </w:rPr>
        <w:t>SUSTAINABLE DEVELOPMENT, TRANSPORT AND PLANNING COMMITTEE</w:t>
      </w:r>
    </w:p>
    <w:p w:rsidR="00025DCF" w:rsidRPr="006C255E" w:rsidRDefault="001D5378" w:rsidP="0055752A">
      <w:pPr>
        <w:jc w:val="center"/>
        <w:rPr>
          <w:rFonts w:ascii="Arial" w:hAnsi="Arial" w:cs="Arial"/>
          <w:b/>
          <w:color w:val="000000" w:themeColor="text1"/>
        </w:rPr>
      </w:pPr>
      <w:r w:rsidRPr="006C255E">
        <w:rPr>
          <w:rFonts w:ascii="Arial" w:hAnsi="Arial" w:cs="Arial"/>
          <w:b/>
          <w:color w:val="000000" w:themeColor="text1"/>
        </w:rPr>
        <w:t>16 AUGUST</w:t>
      </w:r>
      <w:r w:rsidR="00025DCF" w:rsidRPr="006C255E">
        <w:rPr>
          <w:rFonts w:ascii="Arial" w:hAnsi="Arial" w:cs="Arial"/>
          <w:b/>
          <w:color w:val="000000" w:themeColor="text1"/>
        </w:rPr>
        <w:t xml:space="preserve"> 2017</w:t>
      </w:r>
    </w:p>
    <w:p w:rsidR="00025DCF" w:rsidRPr="006C255E" w:rsidRDefault="00025DCF" w:rsidP="0055752A">
      <w:pPr>
        <w:jc w:val="center"/>
        <w:rPr>
          <w:rFonts w:ascii="Arial" w:hAnsi="Arial" w:cs="Arial"/>
          <w:b/>
          <w:color w:val="000000" w:themeColor="text1"/>
        </w:rPr>
      </w:pPr>
      <w:r w:rsidRPr="006C255E">
        <w:rPr>
          <w:rFonts w:ascii="Arial" w:hAnsi="Arial" w:cs="Arial"/>
          <w:b/>
          <w:color w:val="000000" w:themeColor="text1"/>
        </w:rPr>
        <w:t>PART I - DELEGATED</w:t>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p>
    <w:p w:rsidR="00025DCF" w:rsidRPr="006C255E" w:rsidRDefault="00025DCF" w:rsidP="00025DCF">
      <w:pPr>
        <w:keepNext/>
        <w:ind w:left="1267" w:hanging="1267"/>
        <w:rPr>
          <w:rFonts w:ascii="Arial" w:hAnsi="Arial" w:cs="Arial"/>
          <w:b/>
          <w:i/>
          <w:color w:val="000000" w:themeColor="text1"/>
        </w:rPr>
      </w:pPr>
      <w:r w:rsidRPr="006C255E">
        <w:rPr>
          <w:rFonts w:ascii="Arial" w:hAnsi="Arial" w:cs="Arial"/>
          <w:b/>
          <w:color w:val="000000" w:themeColor="text1"/>
        </w:rPr>
        <w:tab/>
        <w:t>PROCUREMENT OF NEW PARKING ENFORCEMENT CONTRACT – ONGOING INVESTIGATION</w:t>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p>
    <w:p w:rsidR="00025DCF" w:rsidRDefault="00025DCF" w:rsidP="0055752A">
      <w:pPr>
        <w:keepNext/>
        <w:ind w:left="1267" w:hanging="1267"/>
        <w:rPr>
          <w:rFonts w:ascii="Arial" w:hAnsi="Arial" w:cs="Arial"/>
          <w:b/>
          <w:i/>
          <w:color w:val="000000" w:themeColor="text1"/>
        </w:rPr>
      </w:pPr>
      <w:r w:rsidRPr="006C255E">
        <w:rPr>
          <w:rFonts w:ascii="Arial" w:hAnsi="Arial" w:cs="Arial"/>
          <w:b/>
          <w:color w:val="000000" w:themeColor="text1"/>
        </w:rPr>
        <w:tab/>
      </w:r>
      <w:r w:rsidRPr="006C255E">
        <w:rPr>
          <w:rFonts w:ascii="Arial" w:hAnsi="Arial" w:cs="Arial"/>
          <w:color w:val="000000" w:themeColor="text1"/>
        </w:rPr>
        <w:t xml:space="preserve">(DCES) </w:t>
      </w:r>
      <w:r w:rsidRPr="006C255E">
        <w:rPr>
          <w:rFonts w:ascii="Arial" w:hAnsi="Arial" w:cs="Arial"/>
          <w:b/>
          <w:i/>
          <w:color w:val="000000" w:themeColor="text1"/>
        </w:rPr>
        <w:tab/>
      </w:r>
    </w:p>
    <w:p w:rsidR="006B1490" w:rsidRPr="00F05ABF" w:rsidRDefault="006B1490" w:rsidP="006B1490">
      <w:pPr>
        <w:ind w:left="1260"/>
        <w:jc w:val="both"/>
        <w:rPr>
          <w:rFonts w:ascii="Arial" w:hAnsi="Arial" w:cs="Arial"/>
          <w:b/>
          <w:bCs/>
          <w:i/>
          <w:iCs/>
          <w:szCs w:val="20"/>
        </w:rPr>
      </w:pPr>
      <w:r w:rsidRPr="00F05ABF">
        <w:rPr>
          <w:rFonts w:ascii="Arial" w:hAnsi="Arial" w:cs="Arial"/>
          <w:b/>
          <w:bCs/>
          <w:i/>
          <w:iCs/>
          <w:szCs w:val="20"/>
        </w:rPr>
        <w:t>Appendix D to this report is NOT FOR PUBLICATION because it deals with information relating to the financial or business affairs of any particular person (including the authority holding that information) (Paragraph 3 Schedule 12A).</w:t>
      </w:r>
    </w:p>
    <w:p w:rsidR="00025DCF" w:rsidRPr="006C255E" w:rsidRDefault="00025DCF" w:rsidP="00014F53">
      <w:pPr>
        <w:keepNext/>
        <w:ind w:left="1276" w:hanging="1276"/>
        <w:rPr>
          <w:rFonts w:ascii="Arial" w:hAnsi="Arial" w:cs="Arial"/>
          <w:b/>
          <w:color w:val="000000" w:themeColor="text1"/>
        </w:rPr>
      </w:pPr>
      <w:r w:rsidRPr="006C255E">
        <w:rPr>
          <w:rFonts w:ascii="Arial" w:hAnsi="Arial" w:cs="Arial"/>
          <w:color w:val="000000" w:themeColor="text1"/>
        </w:rPr>
        <w:t>1.</w:t>
      </w:r>
      <w:r w:rsidRPr="006C255E">
        <w:rPr>
          <w:rFonts w:ascii="Arial" w:hAnsi="Arial" w:cs="Arial"/>
          <w:color w:val="000000" w:themeColor="text1"/>
        </w:rPr>
        <w:tab/>
      </w:r>
      <w:r w:rsidRPr="006C255E">
        <w:rPr>
          <w:rFonts w:ascii="Arial" w:hAnsi="Arial" w:cs="Arial"/>
          <w:b/>
          <w:color w:val="000000" w:themeColor="text1"/>
        </w:rPr>
        <w:t>Summary</w:t>
      </w:r>
    </w:p>
    <w:p w:rsidR="00025DCF" w:rsidRPr="006C255E" w:rsidRDefault="002C00AC" w:rsidP="006C255E">
      <w:pPr>
        <w:pStyle w:val="ListParagraph"/>
        <w:keepNext/>
        <w:numPr>
          <w:ilvl w:val="1"/>
          <w:numId w:val="4"/>
        </w:numPr>
        <w:ind w:left="1276" w:hanging="1276"/>
        <w:rPr>
          <w:rFonts w:cs="Arial"/>
          <w:szCs w:val="22"/>
        </w:rPr>
      </w:pPr>
      <w:r w:rsidRPr="006C255E">
        <w:rPr>
          <w:rFonts w:cs="Arial"/>
          <w:szCs w:val="22"/>
        </w:rPr>
        <w:t>This</w:t>
      </w:r>
      <w:r w:rsidR="00025DCF" w:rsidRPr="006C255E">
        <w:rPr>
          <w:rFonts w:cs="Arial"/>
          <w:szCs w:val="22"/>
        </w:rPr>
        <w:t xml:space="preserve"> report </w:t>
      </w:r>
      <w:r w:rsidR="008423C0" w:rsidRPr="006C255E">
        <w:rPr>
          <w:rFonts w:cs="Arial"/>
          <w:szCs w:val="22"/>
        </w:rPr>
        <w:t>will</w:t>
      </w:r>
      <w:r w:rsidR="00025DCF" w:rsidRPr="006C255E">
        <w:rPr>
          <w:rFonts w:cs="Arial"/>
          <w:szCs w:val="22"/>
        </w:rPr>
        <w:t xml:space="preserve"> update </w:t>
      </w:r>
      <w:r w:rsidR="008423C0" w:rsidRPr="006C255E">
        <w:rPr>
          <w:rFonts w:cs="Arial"/>
          <w:szCs w:val="22"/>
        </w:rPr>
        <w:t>the</w:t>
      </w:r>
      <w:r w:rsidR="00025DCF" w:rsidRPr="006C255E">
        <w:rPr>
          <w:rFonts w:cs="Arial"/>
          <w:szCs w:val="22"/>
        </w:rPr>
        <w:t xml:space="preserve"> Committee of the </w:t>
      </w:r>
      <w:r w:rsidR="007C7409" w:rsidRPr="006C255E">
        <w:rPr>
          <w:rFonts w:cs="Arial"/>
          <w:szCs w:val="22"/>
        </w:rPr>
        <w:t>o</w:t>
      </w:r>
      <w:r w:rsidR="00025DCF" w:rsidRPr="006C255E">
        <w:rPr>
          <w:rFonts w:cs="Arial"/>
          <w:szCs w:val="22"/>
        </w:rPr>
        <w:t xml:space="preserve">fficer investigations </w:t>
      </w:r>
      <w:r w:rsidR="008423C0" w:rsidRPr="006C255E">
        <w:rPr>
          <w:rFonts w:cs="Arial"/>
          <w:szCs w:val="22"/>
        </w:rPr>
        <w:t>on</w:t>
      </w:r>
      <w:r w:rsidR="00025DCF" w:rsidRPr="006C255E">
        <w:rPr>
          <w:rFonts w:cs="Arial"/>
          <w:szCs w:val="22"/>
        </w:rPr>
        <w:t xml:space="preserve"> a </w:t>
      </w:r>
      <w:r w:rsidR="007710C4" w:rsidRPr="006C255E">
        <w:rPr>
          <w:rFonts w:cs="Arial"/>
          <w:szCs w:val="22"/>
        </w:rPr>
        <w:t xml:space="preserve">proposed </w:t>
      </w:r>
      <w:r w:rsidR="00025DCF" w:rsidRPr="006C255E">
        <w:rPr>
          <w:rFonts w:cs="Arial"/>
          <w:szCs w:val="22"/>
        </w:rPr>
        <w:t xml:space="preserve">new parking </w:t>
      </w:r>
      <w:r w:rsidR="008423C0" w:rsidRPr="006C255E">
        <w:rPr>
          <w:rFonts w:cs="Arial"/>
          <w:szCs w:val="22"/>
        </w:rPr>
        <w:t>partnership arrangement</w:t>
      </w:r>
      <w:r w:rsidR="00025DCF" w:rsidRPr="006C255E">
        <w:rPr>
          <w:rFonts w:cs="Arial"/>
          <w:szCs w:val="22"/>
        </w:rPr>
        <w:t xml:space="preserve"> with </w:t>
      </w:r>
      <w:r w:rsidR="007710C4" w:rsidRPr="006C255E">
        <w:rPr>
          <w:rFonts w:cs="Arial"/>
          <w:szCs w:val="22"/>
        </w:rPr>
        <w:t>Hertsmere</w:t>
      </w:r>
      <w:r w:rsidR="00025DCF" w:rsidRPr="006C255E">
        <w:rPr>
          <w:rFonts w:cs="Arial"/>
          <w:szCs w:val="22"/>
        </w:rPr>
        <w:t xml:space="preserve"> Borough Counc</w:t>
      </w:r>
      <w:r w:rsidR="007710C4" w:rsidRPr="006C255E">
        <w:rPr>
          <w:rFonts w:cs="Arial"/>
          <w:szCs w:val="22"/>
        </w:rPr>
        <w:t>il (HBC). The C</w:t>
      </w:r>
      <w:r w:rsidR="008423C0" w:rsidRPr="006C255E">
        <w:rPr>
          <w:rFonts w:cs="Arial"/>
          <w:szCs w:val="22"/>
        </w:rPr>
        <w:t>ommittee is asked to agree</w:t>
      </w:r>
      <w:r w:rsidR="00F82E79" w:rsidRPr="006C255E">
        <w:rPr>
          <w:rFonts w:cs="Arial"/>
          <w:szCs w:val="22"/>
        </w:rPr>
        <w:t xml:space="preserve"> </w:t>
      </w:r>
      <w:r w:rsidR="008423C0" w:rsidRPr="006C255E">
        <w:rPr>
          <w:rFonts w:cs="Arial"/>
          <w:szCs w:val="22"/>
        </w:rPr>
        <w:t xml:space="preserve">that </w:t>
      </w:r>
      <w:r w:rsidR="00696DF5" w:rsidRPr="006C255E">
        <w:rPr>
          <w:rFonts w:cs="Arial"/>
          <w:szCs w:val="22"/>
        </w:rPr>
        <w:t xml:space="preserve">that officers continue to progress this option </w:t>
      </w:r>
      <w:r w:rsidR="009A3F9A" w:rsidRPr="006C255E">
        <w:rPr>
          <w:rFonts w:cs="Arial"/>
          <w:szCs w:val="22"/>
        </w:rPr>
        <w:t>to enable a service level agreement to be drawn up</w:t>
      </w:r>
      <w:r w:rsidR="007C7409" w:rsidRPr="006C255E">
        <w:rPr>
          <w:rFonts w:cs="Arial"/>
          <w:szCs w:val="22"/>
        </w:rPr>
        <w:t xml:space="preserve"> with </w:t>
      </w:r>
      <w:r w:rsidR="007710C4" w:rsidRPr="006C255E">
        <w:rPr>
          <w:rFonts w:cs="Arial"/>
          <w:szCs w:val="22"/>
        </w:rPr>
        <w:t>HBC</w:t>
      </w:r>
      <w:r w:rsidR="007C7409" w:rsidRPr="006C255E">
        <w:rPr>
          <w:rFonts w:cs="Arial"/>
          <w:szCs w:val="22"/>
        </w:rPr>
        <w:t xml:space="preserve"> </w:t>
      </w:r>
      <w:r w:rsidR="00444448" w:rsidRPr="006C255E">
        <w:rPr>
          <w:rFonts w:cs="Arial"/>
          <w:szCs w:val="22"/>
        </w:rPr>
        <w:t xml:space="preserve">as the preferred provider </w:t>
      </w:r>
      <w:r w:rsidR="007C7409" w:rsidRPr="006C255E">
        <w:rPr>
          <w:rFonts w:cs="Arial"/>
          <w:szCs w:val="22"/>
        </w:rPr>
        <w:t>based on the attached proposal.</w:t>
      </w:r>
    </w:p>
    <w:p w:rsidR="00E4329A" w:rsidRPr="006C255E" w:rsidRDefault="00E4329A" w:rsidP="00E4329A">
      <w:pPr>
        <w:pStyle w:val="ListParagraph"/>
        <w:keepNext/>
        <w:ind w:left="1276"/>
        <w:rPr>
          <w:rFonts w:cs="Arial"/>
          <w:color w:val="4F81BD" w:themeColor="accent1"/>
          <w:szCs w:val="22"/>
        </w:rPr>
      </w:pPr>
    </w:p>
    <w:p w:rsidR="008423C0" w:rsidRPr="006C255E" w:rsidRDefault="00DB65F7" w:rsidP="008423C0">
      <w:pPr>
        <w:pStyle w:val="ListParagraph"/>
        <w:keepNext/>
        <w:numPr>
          <w:ilvl w:val="1"/>
          <w:numId w:val="4"/>
        </w:numPr>
        <w:ind w:left="1276" w:hanging="1276"/>
        <w:rPr>
          <w:rFonts w:cs="Arial"/>
          <w:color w:val="000000" w:themeColor="text1"/>
        </w:rPr>
      </w:pPr>
      <w:r w:rsidRPr="006C255E">
        <w:rPr>
          <w:rFonts w:cs="Arial"/>
          <w:color w:val="000000" w:themeColor="text1"/>
          <w:szCs w:val="22"/>
        </w:rPr>
        <w:t xml:space="preserve">Officers from </w:t>
      </w:r>
      <w:r w:rsidR="007710C4" w:rsidRPr="006C255E">
        <w:rPr>
          <w:rFonts w:cs="Arial"/>
          <w:color w:val="000000" w:themeColor="text1"/>
          <w:szCs w:val="22"/>
        </w:rPr>
        <w:t>HBC</w:t>
      </w:r>
      <w:r w:rsidRPr="006C255E">
        <w:rPr>
          <w:rFonts w:cs="Arial"/>
          <w:color w:val="000000" w:themeColor="text1"/>
          <w:szCs w:val="22"/>
        </w:rPr>
        <w:t xml:space="preserve"> will attend </w:t>
      </w:r>
      <w:r w:rsidR="007C7409" w:rsidRPr="006C255E">
        <w:rPr>
          <w:rFonts w:cs="Arial"/>
          <w:color w:val="000000" w:themeColor="text1"/>
          <w:szCs w:val="22"/>
        </w:rPr>
        <w:t>the</w:t>
      </w:r>
      <w:r w:rsidRPr="006C255E">
        <w:rPr>
          <w:rFonts w:cs="Arial"/>
          <w:color w:val="000000" w:themeColor="text1"/>
          <w:szCs w:val="22"/>
        </w:rPr>
        <w:t xml:space="preserve"> pre-meeting. </w:t>
      </w:r>
      <w:r w:rsidR="00E4329A" w:rsidRPr="006C255E">
        <w:rPr>
          <w:rFonts w:cs="Arial"/>
          <w:color w:val="000000" w:themeColor="text1"/>
          <w:szCs w:val="22"/>
        </w:rPr>
        <w:t>There will be a short presentation and an opportunity for questions.</w:t>
      </w:r>
    </w:p>
    <w:p w:rsidR="008423C0" w:rsidRPr="006C255E" w:rsidRDefault="008423C0" w:rsidP="008423C0">
      <w:pPr>
        <w:pStyle w:val="ListParagraph"/>
        <w:keepNext/>
        <w:ind w:left="1276"/>
        <w:rPr>
          <w:rFonts w:cs="Arial"/>
          <w:color w:val="000000" w:themeColor="text1"/>
        </w:rPr>
      </w:pPr>
    </w:p>
    <w:p w:rsidR="00025DCF" w:rsidRPr="006C255E" w:rsidRDefault="00025DCF" w:rsidP="00014F53">
      <w:pPr>
        <w:keepNext/>
        <w:ind w:left="1267" w:hanging="1267"/>
        <w:rPr>
          <w:rFonts w:ascii="Arial" w:hAnsi="Arial" w:cs="Arial"/>
          <w:b/>
          <w:color w:val="000000" w:themeColor="text1"/>
        </w:rPr>
      </w:pPr>
      <w:r w:rsidRPr="006C255E">
        <w:rPr>
          <w:rFonts w:ascii="Arial" w:hAnsi="Arial" w:cs="Arial"/>
          <w:color w:val="000000" w:themeColor="text1"/>
        </w:rPr>
        <w:t>2.</w:t>
      </w:r>
      <w:r w:rsidRPr="006C255E">
        <w:rPr>
          <w:rFonts w:ascii="Arial" w:hAnsi="Arial" w:cs="Arial"/>
          <w:color w:val="000000" w:themeColor="text1"/>
        </w:rPr>
        <w:tab/>
      </w:r>
      <w:r w:rsidRPr="006C255E">
        <w:rPr>
          <w:rFonts w:ascii="Arial" w:hAnsi="Arial" w:cs="Arial"/>
          <w:b/>
          <w:color w:val="000000" w:themeColor="text1"/>
        </w:rPr>
        <w:t>Details</w:t>
      </w:r>
    </w:p>
    <w:p w:rsidR="00025DCF" w:rsidRPr="006C255E" w:rsidRDefault="00025DCF" w:rsidP="009B6816">
      <w:pPr>
        <w:ind w:left="1260" w:hanging="1260"/>
        <w:jc w:val="both"/>
        <w:rPr>
          <w:rFonts w:ascii="Arial" w:hAnsi="Arial" w:cs="Arial"/>
          <w:color w:val="000000" w:themeColor="text1"/>
        </w:rPr>
      </w:pPr>
      <w:r w:rsidRPr="006C255E">
        <w:rPr>
          <w:rFonts w:ascii="Arial" w:hAnsi="Arial" w:cs="Arial"/>
          <w:color w:val="000000" w:themeColor="text1"/>
        </w:rPr>
        <w:t>2.1</w:t>
      </w:r>
      <w:r w:rsidRPr="006C255E">
        <w:rPr>
          <w:rFonts w:ascii="Arial" w:hAnsi="Arial" w:cs="Arial"/>
          <w:color w:val="000000" w:themeColor="text1"/>
        </w:rPr>
        <w:tab/>
        <w:t xml:space="preserve">The existing Parking Enforcement contract ends in April 2018.  Members have </w:t>
      </w:r>
      <w:r w:rsidR="007710C4" w:rsidRPr="006C255E">
        <w:rPr>
          <w:rFonts w:ascii="Arial" w:hAnsi="Arial" w:cs="Arial"/>
          <w:color w:val="000000" w:themeColor="text1"/>
        </w:rPr>
        <w:t xml:space="preserve">previously </w:t>
      </w:r>
      <w:r w:rsidRPr="006C255E">
        <w:rPr>
          <w:rFonts w:ascii="Arial" w:hAnsi="Arial" w:cs="Arial"/>
          <w:color w:val="000000" w:themeColor="text1"/>
        </w:rPr>
        <w:t>been provided</w:t>
      </w:r>
      <w:r w:rsidR="00F82E79" w:rsidRPr="006C255E">
        <w:rPr>
          <w:rFonts w:ascii="Arial" w:hAnsi="Arial" w:cs="Arial"/>
          <w:color w:val="000000" w:themeColor="text1"/>
        </w:rPr>
        <w:t xml:space="preserve"> with</w:t>
      </w:r>
      <w:r w:rsidRPr="006C255E">
        <w:rPr>
          <w:rFonts w:ascii="Arial" w:hAnsi="Arial" w:cs="Arial"/>
          <w:color w:val="000000" w:themeColor="text1"/>
        </w:rPr>
        <w:t xml:space="preserve"> details on the existing contract arrangements and options for procuring a new contract.  Officers were asked to research the alternative opportunities for procuring a new contract for our parking enforcement services. A report was presented to this Committee in November 2016 detailing the opportunities and implications of different models for the parking enforcement service.  At the November Committee Members request</w:t>
      </w:r>
      <w:r w:rsidR="009B6816">
        <w:rPr>
          <w:rFonts w:ascii="Arial" w:hAnsi="Arial" w:cs="Arial"/>
          <w:color w:val="000000" w:themeColor="text1"/>
        </w:rPr>
        <w:t>ed further detail on three</w:t>
      </w:r>
      <w:r w:rsidR="00FD0FB8" w:rsidRPr="006C255E">
        <w:rPr>
          <w:rFonts w:ascii="Arial" w:hAnsi="Arial" w:cs="Arial"/>
          <w:color w:val="000000" w:themeColor="text1"/>
        </w:rPr>
        <w:t xml:space="preserve"> options:</w:t>
      </w:r>
    </w:p>
    <w:p w:rsidR="00025DCF" w:rsidRPr="006C255E" w:rsidRDefault="00025DCF" w:rsidP="009B6816">
      <w:pPr>
        <w:pStyle w:val="ListParagraph"/>
        <w:numPr>
          <w:ilvl w:val="2"/>
          <w:numId w:val="5"/>
        </w:numPr>
        <w:tabs>
          <w:tab w:val="clear" w:pos="1260"/>
          <w:tab w:val="clear" w:pos="1980"/>
          <w:tab w:val="clear" w:pos="2700"/>
          <w:tab w:val="clear" w:pos="3420"/>
        </w:tabs>
        <w:spacing w:after="120"/>
        <w:ind w:left="1843" w:hanging="567"/>
        <w:rPr>
          <w:rFonts w:cs="Arial"/>
          <w:color w:val="000000" w:themeColor="text1"/>
          <w:szCs w:val="22"/>
        </w:rPr>
      </w:pPr>
      <w:r w:rsidRPr="006C255E">
        <w:rPr>
          <w:rFonts w:cs="Arial"/>
          <w:color w:val="000000" w:themeColor="text1"/>
          <w:szCs w:val="22"/>
        </w:rPr>
        <w:t>Continuation of arrangements with Watford Borough Council (Model with an external service provider) (</w:t>
      </w:r>
      <w:r w:rsidRPr="006C255E">
        <w:rPr>
          <w:rFonts w:cs="Arial"/>
          <w:b/>
          <w:color w:val="000000" w:themeColor="text1"/>
          <w:szCs w:val="22"/>
        </w:rPr>
        <w:t>shared contract model</w:t>
      </w:r>
      <w:r w:rsidRPr="006C255E">
        <w:rPr>
          <w:rFonts w:cs="Arial"/>
          <w:color w:val="000000" w:themeColor="text1"/>
          <w:szCs w:val="22"/>
        </w:rPr>
        <w:t>).</w:t>
      </w:r>
    </w:p>
    <w:p w:rsidR="00025DCF" w:rsidRPr="006C255E" w:rsidRDefault="00025DCF" w:rsidP="009B6816">
      <w:pPr>
        <w:pStyle w:val="ListParagraph"/>
        <w:numPr>
          <w:ilvl w:val="2"/>
          <w:numId w:val="5"/>
        </w:numPr>
        <w:tabs>
          <w:tab w:val="clear" w:pos="1260"/>
          <w:tab w:val="clear" w:pos="1980"/>
          <w:tab w:val="clear" w:pos="2700"/>
          <w:tab w:val="clear" w:pos="3420"/>
        </w:tabs>
        <w:spacing w:after="120"/>
        <w:ind w:left="1843" w:hanging="567"/>
        <w:rPr>
          <w:rFonts w:cs="Arial"/>
          <w:color w:val="000000" w:themeColor="text1"/>
          <w:szCs w:val="22"/>
        </w:rPr>
      </w:pPr>
      <w:r w:rsidRPr="006C255E">
        <w:rPr>
          <w:rFonts w:cs="Arial"/>
          <w:color w:val="000000" w:themeColor="text1"/>
          <w:szCs w:val="22"/>
        </w:rPr>
        <w:t>Provision of a Local Authority service managed by a Lead Authority with a joint Parking Services Manager (</w:t>
      </w:r>
      <w:r w:rsidRPr="006C255E">
        <w:rPr>
          <w:rFonts w:cs="Arial"/>
          <w:b/>
          <w:color w:val="000000" w:themeColor="text1"/>
          <w:szCs w:val="22"/>
        </w:rPr>
        <w:t>fully shared or partnership model</w:t>
      </w:r>
      <w:r w:rsidRPr="006C255E">
        <w:rPr>
          <w:rFonts w:cs="Arial"/>
          <w:color w:val="000000" w:themeColor="text1"/>
          <w:szCs w:val="22"/>
        </w:rPr>
        <w:t>).</w:t>
      </w:r>
    </w:p>
    <w:p w:rsidR="00025DCF" w:rsidRPr="006C255E" w:rsidRDefault="00025DCF" w:rsidP="009B6816">
      <w:pPr>
        <w:pStyle w:val="ListParagraph"/>
        <w:spacing w:after="120"/>
        <w:ind w:left="1843" w:hanging="567"/>
        <w:rPr>
          <w:rFonts w:cs="Arial"/>
          <w:color w:val="000000" w:themeColor="text1"/>
          <w:szCs w:val="22"/>
        </w:rPr>
      </w:pPr>
      <w:r w:rsidRPr="006C255E">
        <w:rPr>
          <w:rFonts w:cs="Arial"/>
          <w:color w:val="000000" w:themeColor="text1"/>
          <w:szCs w:val="22"/>
        </w:rPr>
        <w:t>G1.</w:t>
      </w:r>
      <w:r w:rsidRPr="006C255E">
        <w:rPr>
          <w:rFonts w:cs="Arial"/>
          <w:color w:val="000000" w:themeColor="text1"/>
          <w:szCs w:val="22"/>
        </w:rPr>
        <w:tab/>
      </w:r>
      <w:proofErr w:type="gramStart"/>
      <w:r w:rsidRPr="006C255E">
        <w:rPr>
          <w:rFonts w:cs="Arial"/>
          <w:color w:val="000000" w:themeColor="text1"/>
          <w:szCs w:val="22"/>
        </w:rPr>
        <w:t>Reduced civil enforcement activities with potential use of new statutory powers.</w:t>
      </w:r>
      <w:proofErr w:type="gramEnd"/>
    </w:p>
    <w:p w:rsidR="00025DCF" w:rsidRPr="006C255E" w:rsidRDefault="00025DCF" w:rsidP="009B6816">
      <w:pPr>
        <w:ind w:left="1260" w:hanging="1260"/>
        <w:jc w:val="both"/>
        <w:rPr>
          <w:rFonts w:ascii="Arial" w:hAnsi="Arial" w:cs="Arial"/>
          <w:color w:val="000000" w:themeColor="text1"/>
        </w:rPr>
      </w:pPr>
      <w:r w:rsidRPr="006C255E">
        <w:rPr>
          <w:rFonts w:ascii="Arial" w:hAnsi="Arial" w:cs="Arial"/>
          <w:color w:val="000000" w:themeColor="text1"/>
        </w:rPr>
        <w:t>2.2</w:t>
      </w:r>
      <w:r w:rsidRPr="006C255E">
        <w:rPr>
          <w:rFonts w:ascii="Arial" w:hAnsi="Arial" w:cs="Arial"/>
          <w:color w:val="000000" w:themeColor="text1"/>
        </w:rPr>
        <w:tab/>
        <w:t xml:space="preserve">Subsequently in January 2017 </w:t>
      </w:r>
      <w:r w:rsidR="005F03F8" w:rsidRPr="006C255E">
        <w:rPr>
          <w:rFonts w:ascii="Arial" w:hAnsi="Arial" w:cs="Arial"/>
          <w:color w:val="000000" w:themeColor="text1"/>
        </w:rPr>
        <w:t xml:space="preserve">the </w:t>
      </w:r>
      <w:r w:rsidR="00F82E79" w:rsidRPr="006C255E">
        <w:rPr>
          <w:rFonts w:ascii="Arial" w:hAnsi="Arial" w:cs="Arial"/>
          <w:color w:val="000000" w:themeColor="text1"/>
        </w:rPr>
        <w:t>Committee</w:t>
      </w:r>
      <w:r w:rsidR="005F03F8" w:rsidRPr="006C255E">
        <w:rPr>
          <w:rFonts w:ascii="Arial" w:hAnsi="Arial" w:cs="Arial"/>
          <w:color w:val="000000" w:themeColor="text1"/>
        </w:rPr>
        <w:t xml:space="preserve"> was</w:t>
      </w:r>
      <w:r w:rsidRPr="006C255E">
        <w:rPr>
          <w:rFonts w:ascii="Arial" w:hAnsi="Arial" w:cs="Arial"/>
          <w:color w:val="000000" w:themeColor="text1"/>
        </w:rPr>
        <w:t xml:space="preserve"> presented with a paper detailing further investigations on the chosen models.  At this Committee Members</w:t>
      </w:r>
      <w:r w:rsidR="000F2A55" w:rsidRPr="006C255E">
        <w:rPr>
          <w:rFonts w:ascii="Arial" w:hAnsi="Arial" w:cs="Arial"/>
          <w:color w:val="000000" w:themeColor="text1"/>
        </w:rPr>
        <w:t xml:space="preserve"> resolved</w:t>
      </w:r>
      <w:r w:rsidRPr="006C255E">
        <w:rPr>
          <w:rFonts w:ascii="Arial" w:hAnsi="Arial" w:cs="Arial"/>
          <w:color w:val="000000" w:themeColor="text1"/>
        </w:rPr>
        <w:t>:</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That a report be brought back to the Committee on what will inform the Council’s Civil Parking Enforcement Contract (e.g. proposals for the number of Enforcement Officers and the areas they would need to cover).</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lastRenderedPageBreak/>
        <w:t xml:space="preserve">To further investigate option </w:t>
      </w:r>
      <w:r w:rsidR="00557949" w:rsidRPr="006C255E">
        <w:rPr>
          <w:rFonts w:ascii="Arial" w:hAnsi="Arial" w:cs="Arial"/>
          <w:color w:val="000000" w:themeColor="text1"/>
        </w:rPr>
        <w:t>B</w:t>
      </w:r>
      <w:r w:rsidRPr="006C255E">
        <w:rPr>
          <w:rFonts w:ascii="Arial" w:hAnsi="Arial" w:cs="Arial"/>
          <w:color w:val="000000" w:themeColor="text1"/>
        </w:rPr>
        <w:t xml:space="preserve"> (Provision of a Local Authority service managed by a Lead Authority with a joint Parking Services Manager), with </w:t>
      </w:r>
      <w:r w:rsidR="00EA419F" w:rsidRPr="006C255E">
        <w:rPr>
          <w:rFonts w:ascii="Arial" w:hAnsi="Arial" w:cs="Arial"/>
          <w:color w:val="000000" w:themeColor="text1"/>
        </w:rPr>
        <w:t>HBC</w:t>
      </w:r>
      <w:r w:rsidRPr="006C255E">
        <w:rPr>
          <w:rFonts w:ascii="Arial" w:hAnsi="Arial" w:cs="Arial"/>
          <w:color w:val="000000" w:themeColor="text1"/>
        </w:rPr>
        <w:t xml:space="preserve"> and a report to be brought back to Committee.</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Not to commit to a future joint service with Watford Borough Council at this time.</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 xml:space="preserve">Not to investigate Option G1 at this stage. </w:t>
      </w:r>
    </w:p>
    <w:p w:rsidR="008423C0" w:rsidRPr="006C255E" w:rsidRDefault="008423C0" w:rsidP="008423C0">
      <w:pPr>
        <w:tabs>
          <w:tab w:val="left" w:pos="1276"/>
          <w:tab w:val="left" w:pos="1701"/>
          <w:tab w:val="left" w:pos="3420"/>
        </w:tabs>
        <w:spacing w:after="0" w:line="240" w:lineRule="auto"/>
        <w:ind w:left="1701"/>
        <w:jc w:val="both"/>
        <w:rPr>
          <w:rFonts w:ascii="Arial" w:hAnsi="Arial" w:cs="Arial"/>
          <w:color w:val="000000" w:themeColor="text1"/>
        </w:rPr>
      </w:pPr>
    </w:p>
    <w:p w:rsidR="005F03F8" w:rsidRPr="006C255E" w:rsidRDefault="00025DCF" w:rsidP="009B6816">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2.3</w:t>
      </w:r>
      <w:r w:rsidRPr="006C255E">
        <w:rPr>
          <w:rFonts w:ascii="Arial" w:hAnsi="Arial" w:cs="Arial"/>
          <w:color w:val="000000" w:themeColor="text1"/>
        </w:rPr>
        <w:tab/>
        <w:t xml:space="preserve">In March 2017 a further report was presented to Members detailing discussions with </w:t>
      </w:r>
      <w:r w:rsidR="00EA419F" w:rsidRPr="006C255E">
        <w:rPr>
          <w:rFonts w:ascii="Arial" w:hAnsi="Arial" w:cs="Arial"/>
          <w:color w:val="000000" w:themeColor="text1"/>
        </w:rPr>
        <w:t>HBC</w:t>
      </w:r>
      <w:r w:rsidRPr="006C255E">
        <w:rPr>
          <w:rFonts w:ascii="Arial" w:hAnsi="Arial" w:cs="Arial"/>
          <w:color w:val="000000" w:themeColor="text1"/>
        </w:rPr>
        <w:t xml:space="preserve"> and </w:t>
      </w:r>
      <w:r w:rsidR="001D6CE0" w:rsidRPr="006C255E">
        <w:rPr>
          <w:rFonts w:ascii="Arial" w:hAnsi="Arial" w:cs="Arial"/>
          <w:color w:val="000000" w:themeColor="text1"/>
        </w:rPr>
        <w:t xml:space="preserve">requesting Member feedback on a number of service areas.   As a result of this meeting a consultancy was commissioned to write a specification for the TRDC parking service.  This was completed and sent to </w:t>
      </w:r>
      <w:r w:rsidR="00EA419F" w:rsidRPr="006C255E">
        <w:rPr>
          <w:rFonts w:ascii="Arial" w:hAnsi="Arial" w:cs="Arial"/>
          <w:color w:val="000000" w:themeColor="text1"/>
        </w:rPr>
        <w:t>HBC</w:t>
      </w:r>
      <w:r w:rsidR="00014F53" w:rsidRPr="006C255E">
        <w:rPr>
          <w:rFonts w:ascii="Arial" w:hAnsi="Arial" w:cs="Arial"/>
          <w:color w:val="000000" w:themeColor="text1"/>
        </w:rPr>
        <w:t xml:space="preserve"> on 24 May 2017 for a response on 30 June 2017.</w:t>
      </w:r>
      <w:r w:rsidR="001D6CE0" w:rsidRPr="006C255E">
        <w:rPr>
          <w:rFonts w:ascii="Arial" w:hAnsi="Arial" w:cs="Arial"/>
          <w:color w:val="000000" w:themeColor="text1"/>
        </w:rPr>
        <w:t xml:space="preserve">  A response </w:t>
      </w:r>
      <w:r w:rsidR="00EA419F" w:rsidRPr="006C255E">
        <w:rPr>
          <w:rFonts w:ascii="Arial" w:hAnsi="Arial" w:cs="Arial"/>
          <w:color w:val="000000" w:themeColor="text1"/>
        </w:rPr>
        <w:t xml:space="preserve">to the specification </w:t>
      </w:r>
      <w:r w:rsidR="001D6CE0" w:rsidRPr="006C255E">
        <w:rPr>
          <w:rFonts w:ascii="Arial" w:hAnsi="Arial" w:cs="Arial"/>
          <w:color w:val="000000" w:themeColor="text1"/>
        </w:rPr>
        <w:t xml:space="preserve">was </w:t>
      </w:r>
      <w:r w:rsidR="00014F53" w:rsidRPr="006C255E">
        <w:rPr>
          <w:rFonts w:ascii="Arial" w:hAnsi="Arial" w:cs="Arial"/>
          <w:color w:val="000000" w:themeColor="text1"/>
        </w:rPr>
        <w:t xml:space="preserve">received from </w:t>
      </w:r>
      <w:r w:rsidR="00EA419F" w:rsidRPr="006C255E">
        <w:rPr>
          <w:rFonts w:ascii="Arial" w:hAnsi="Arial" w:cs="Arial"/>
          <w:color w:val="000000" w:themeColor="text1"/>
        </w:rPr>
        <w:t>HBC</w:t>
      </w:r>
      <w:r w:rsidR="00014F53" w:rsidRPr="006C255E">
        <w:rPr>
          <w:rFonts w:ascii="Arial" w:hAnsi="Arial" w:cs="Arial"/>
          <w:color w:val="000000" w:themeColor="text1"/>
        </w:rPr>
        <w:t xml:space="preserve"> on 30 June 2017.</w:t>
      </w:r>
      <w:r w:rsidR="00EA419F" w:rsidRPr="006C255E">
        <w:rPr>
          <w:rFonts w:ascii="Arial" w:hAnsi="Arial" w:cs="Arial"/>
          <w:color w:val="000000" w:themeColor="text1"/>
        </w:rPr>
        <w:t xml:space="preserve"> </w:t>
      </w:r>
    </w:p>
    <w:p w:rsidR="00270EA7" w:rsidRPr="006C255E" w:rsidRDefault="0044382A" w:rsidP="009B6816">
      <w:pPr>
        <w:tabs>
          <w:tab w:val="left" w:pos="0"/>
          <w:tab w:val="left" w:pos="1985"/>
        </w:tabs>
        <w:ind w:left="1276" w:hanging="1276"/>
        <w:jc w:val="both"/>
        <w:rPr>
          <w:rFonts w:ascii="Arial" w:hAnsi="Arial" w:cs="Arial"/>
          <w:color w:val="4F81BD" w:themeColor="accent1"/>
        </w:rPr>
      </w:pPr>
      <w:r w:rsidRPr="006C255E">
        <w:rPr>
          <w:rFonts w:ascii="Arial" w:hAnsi="Arial" w:cs="Arial"/>
        </w:rPr>
        <w:t>2.3.</w:t>
      </w:r>
      <w:r w:rsidR="002C00AC" w:rsidRPr="006C255E">
        <w:rPr>
          <w:rFonts w:ascii="Arial" w:hAnsi="Arial" w:cs="Arial"/>
        </w:rPr>
        <w:t>1</w:t>
      </w:r>
      <w:r w:rsidRPr="006C255E">
        <w:rPr>
          <w:rFonts w:ascii="Arial" w:hAnsi="Arial" w:cs="Arial"/>
        </w:rPr>
        <w:tab/>
      </w:r>
      <w:r w:rsidR="00270EA7" w:rsidRPr="006C255E">
        <w:rPr>
          <w:rFonts w:ascii="Arial" w:hAnsi="Arial" w:cs="Arial"/>
        </w:rPr>
        <w:t xml:space="preserve">While the </w:t>
      </w:r>
      <w:r w:rsidR="00696DF5" w:rsidRPr="006C255E">
        <w:rPr>
          <w:rFonts w:ascii="Arial" w:hAnsi="Arial" w:cs="Arial"/>
        </w:rPr>
        <w:t xml:space="preserve">HBC </w:t>
      </w:r>
      <w:r w:rsidR="00270EA7" w:rsidRPr="006C255E">
        <w:rPr>
          <w:rFonts w:ascii="Arial" w:hAnsi="Arial" w:cs="Arial"/>
        </w:rPr>
        <w:t xml:space="preserve">offer (see </w:t>
      </w:r>
      <w:r w:rsidR="002C00AC" w:rsidRPr="006C255E">
        <w:rPr>
          <w:rFonts w:ascii="Arial" w:hAnsi="Arial" w:cs="Arial"/>
        </w:rPr>
        <w:t>A</w:t>
      </w:r>
      <w:r w:rsidR="00270EA7" w:rsidRPr="006C255E">
        <w:rPr>
          <w:rFonts w:ascii="Arial" w:hAnsi="Arial" w:cs="Arial"/>
        </w:rPr>
        <w:t xml:space="preserve">ppendix </w:t>
      </w:r>
      <w:r w:rsidR="009A3F9A" w:rsidRPr="006C255E">
        <w:rPr>
          <w:rFonts w:ascii="Arial" w:hAnsi="Arial" w:cs="Arial"/>
        </w:rPr>
        <w:t>A</w:t>
      </w:r>
      <w:r w:rsidR="00270EA7" w:rsidRPr="006C255E">
        <w:rPr>
          <w:rFonts w:ascii="Arial" w:hAnsi="Arial" w:cs="Arial"/>
        </w:rPr>
        <w:t xml:space="preserve">) is for a different service than that detailed by the specification, </w:t>
      </w:r>
      <w:r w:rsidR="00696DF5" w:rsidRPr="006C255E">
        <w:rPr>
          <w:rFonts w:ascii="Arial" w:hAnsi="Arial" w:cs="Arial"/>
        </w:rPr>
        <w:t xml:space="preserve">the </w:t>
      </w:r>
      <w:r w:rsidR="00270EA7" w:rsidRPr="006C255E">
        <w:rPr>
          <w:rFonts w:ascii="Arial" w:hAnsi="Arial" w:cs="Arial"/>
        </w:rPr>
        <w:t xml:space="preserve">HBC response is for a Lead Authority Shared Service, not a contractual arrangement, to which </w:t>
      </w:r>
      <w:r w:rsidR="00696DF5" w:rsidRPr="006C255E">
        <w:rPr>
          <w:rFonts w:ascii="Arial" w:hAnsi="Arial" w:cs="Arial"/>
        </w:rPr>
        <w:t xml:space="preserve">HBC considers </w:t>
      </w:r>
      <w:r w:rsidR="00696DF5" w:rsidRPr="006C255E">
        <w:rPr>
          <w:rFonts w:ascii="Arial" w:hAnsi="Arial" w:cs="Arial"/>
          <w:i/>
          <w:color w:val="4F81BD" w:themeColor="accent1"/>
        </w:rPr>
        <w:t>“</w:t>
      </w:r>
      <w:r w:rsidR="00270EA7" w:rsidRPr="006C255E">
        <w:rPr>
          <w:rFonts w:ascii="Arial" w:hAnsi="Arial" w:cs="Arial"/>
          <w:i/>
        </w:rPr>
        <w:t>the specification seems more appropriate</w:t>
      </w:r>
      <w:r w:rsidR="00696DF5" w:rsidRPr="006C255E">
        <w:rPr>
          <w:rFonts w:ascii="Arial" w:hAnsi="Arial" w:cs="Arial"/>
        </w:rPr>
        <w:t>”</w:t>
      </w:r>
      <w:r w:rsidR="00270EA7" w:rsidRPr="006C255E">
        <w:rPr>
          <w:rFonts w:ascii="Arial" w:hAnsi="Arial" w:cs="Arial"/>
        </w:rPr>
        <w:t>. The proposals include elements such as work of the traffic engineer, which was outside the scope of the original specification produced by our consultant</w:t>
      </w:r>
      <w:r w:rsidR="00270EA7" w:rsidRPr="006C255E">
        <w:rPr>
          <w:rFonts w:ascii="Arial" w:hAnsi="Arial" w:cs="Arial"/>
          <w:color w:val="4F81BD" w:themeColor="accent1"/>
        </w:rPr>
        <w:t>.</w:t>
      </w:r>
    </w:p>
    <w:p w:rsidR="00270EA7" w:rsidRPr="006C255E" w:rsidRDefault="0044382A" w:rsidP="009B6816">
      <w:pPr>
        <w:tabs>
          <w:tab w:val="left" w:pos="0"/>
          <w:tab w:val="left" w:pos="1985"/>
        </w:tabs>
        <w:ind w:left="1276" w:hanging="1276"/>
        <w:jc w:val="both"/>
        <w:rPr>
          <w:rFonts w:ascii="Arial" w:hAnsi="Arial" w:cs="Arial"/>
        </w:rPr>
      </w:pPr>
      <w:r w:rsidRPr="006C255E">
        <w:rPr>
          <w:rFonts w:ascii="Arial" w:hAnsi="Arial" w:cs="Arial"/>
          <w:color w:val="000000" w:themeColor="text1"/>
        </w:rPr>
        <w:t>2.3.</w:t>
      </w:r>
      <w:r w:rsidR="003A7029" w:rsidRPr="006C255E">
        <w:rPr>
          <w:rFonts w:ascii="Arial" w:hAnsi="Arial" w:cs="Arial"/>
          <w:color w:val="000000" w:themeColor="text1"/>
        </w:rPr>
        <w:t>2</w:t>
      </w:r>
      <w:r w:rsidRPr="006C255E">
        <w:rPr>
          <w:rFonts w:ascii="Arial" w:hAnsi="Arial" w:cs="Arial"/>
          <w:color w:val="000000" w:themeColor="text1"/>
        </w:rPr>
        <w:tab/>
      </w:r>
      <w:r w:rsidR="007710C4" w:rsidRPr="006C255E">
        <w:rPr>
          <w:rFonts w:ascii="Arial" w:hAnsi="Arial" w:cs="Arial"/>
        </w:rPr>
        <w:t>Officers from both Councils have</w:t>
      </w:r>
      <w:r w:rsidR="00270EA7" w:rsidRPr="006C255E">
        <w:rPr>
          <w:rFonts w:ascii="Arial" w:hAnsi="Arial" w:cs="Arial"/>
        </w:rPr>
        <w:t xml:space="preserve"> worked together to develop the proposal to a point where it </w:t>
      </w:r>
      <w:r w:rsidR="00696DF5" w:rsidRPr="006C255E">
        <w:rPr>
          <w:rFonts w:ascii="Arial" w:hAnsi="Arial" w:cs="Arial"/>
        </w:rPr>
        <w:t xml:space="preserve">appears </w:t>
      </w:r>
      <w:r w:rsidR="00270EA7" w:rsidRPr="006C255E">
        <w:rPr>
          <w:rFonts w:ascii="Arial" w:hAnsi="Arial" w:cs="Arial"/>
        </w:rPr>
        <w:t xml:space="preserve">that it </w:t>
      </w:r>
      <w:r w:rsidR="009A3F9A" w:rsidRPr="006C255E">
        <w:rPr>
          <w:rFonts w:ascii="Arial" w:hAnsi="Arial" w:cs="Arial"/>
        </w:rPr>
        <w:t>will</w:t>
      </w:r>
      <w:r w:rsidR="00696DF5" w:rsidRPr="006C255E">
        <w:rPr>
          <w:rFonts w:ascii="Arial" w:hAnsi="Arial" w:cs="Arial"/>
        </w:rPr>
        <w:t xml:space="preserve"> </w:t>
      </w:r>
      <w:r w:rsidR="00270EA7" w:rsidRPr="006C255E">
        <w:rPr>
          <w:rFonts w:ascii="Arial" w:hAnsi="Arial" w:cs="Arial"/>
        </w:rPr>
        <w:t xml:space="preserve">provide an enhanced service compared with the current WBC Indigo service and that it </w:t>
      </w:r>
      <w:r w:rsidR="00696DF5" w:rsidRPr="006C255E">
        <w:rPr>
          <w:rFonts w:ascii="Arial" w:hAnsi="Arial" w:cs="Arial"/>
        </w:rPr>
        <w:t>seems</w:t>
      </w:r>
      <w:r w:rsidR="00270EA7" w:rsidRPr="006C255E">
        <w:rPr>
          <w:rFonts w:ascii="Arial" w:hAnsi="Arial" w:cs="Arial"/>
        </w:rPr>
        <w:t xml:space="preserve"> that future improvements </w:t>
      </w:r>
      <w:r w:rsidR="009A3F9A" w:rsidRPr="006C255E">
        <w:rPr>
          <w:rFonts w:ascii="Arial" w:hAnsi="Arial" w:cs="Arial"/>
        </w:rPr>
        <w:t>will</w:t>
      </w:r>
      <w:r w:rsidR="00696DF5" w:rsidRPr="006C255E">
        <w:rPr>
          <w:rFonts w:ascii="Arial" w:hAnsi="Arial" w:cs="Arial"/>
        </w:rPr>
        <w:t xml:space="preserve"> </w:t>
      </w:r>
      <w:r w:rsidR="00270EA7" w:rsidRPr="006C255E">
        <w:rPr>
          <w:rFonts w:ascii="Arial" w:hAnsi="Arial" w:cs="Arial"/>
        </w:rPr>
        <w:t>be delivered, such as the introduction of new technology</w:t>
      </w:r>
      <w:r w:rsidR="002C00AC" w:rsidRPr="006C255E">
        <w:rPr>
          <w:rFonts w:ascii="Arial" w:hAnsi="Arial" w:cs="Arial"/>
        </w:rPr>
        <w:t>.</w:t>
      </w:r>
    </w:p>
    <w:p w:rsidR="000F2A55" w:rsidRPr="006C255E" w:rsidRDefault="000F2A55" w:rsidP="009B6816">
      <w:pPr>
        <w:ind w:left="1276" w:hanging="1276"/>
        <w:jc w:val="both"/>
        <w:rPr>
          <w:rFonts w:ascii="Arial" w:hAnsi="Arial" w:cs="Arial"/>
        </w:rPr>
      </w:pPr>
      <w:r w:rsidRPr="006C255E">
        <w:rPr>
          <w:rFonts w:ascii="Arial" w:hAnsi="Arial" w:cs="Arial"/>
        </w:rPr>
        <w:t>2.3.</w:t>
      </w:r>
      <w:r w:rsidR="003A7029" w:rsidRPr="006C255E">
        <w:rPr>
          <w:rFonts w:ascii="Arial" w:hAnsi="Arial" w:cs="Arial"/>
        </w:rPr>
        <w:t>3</w:t>
      </w:r>
      <w:r w:rsidRPr="006C255E">
        <w:rPr>
          <w:rFonts w:ascii="Arial" w:hAnsi="Arial" w:cs="Arial"/>
        </w:rPr>
        <w:tab/>
      </w:r>
      <w:r w:rsidR="007C7D17" w:rsidRPr="006C255E">
        <w:rPr>
          <w:rFonts w:ascii="Arial" w:hAnsi="Arial" w:cs="Arial"/>
          <w:color w:val="000000" w:themeColor="text1"/>
        </w:rPr>
        <w:t>Some TRDC k</w:t>
      </w:r>
      <w:r w:rsidR="007710C4" w:rsidRPr="006C255E">
        <w:rPr>
          <w:rFonts w:ascii="Arial" w:hAnsi="Arial" w:cs="Arial"/>
          <w:color w:val="000000" w:themeColor="text1"/>
        </w:rPr>
        <w:t>ey requirements are described</w:t>
      </w:r>
      <w:r w:rsidR="007C7D17" w:rsidRPr="006C255E">
        <w:rPr>
          <w:rFonts w:ascii="Arial" w:hAnsi="Arial" w:cs="Arial"/>
          <w:color w:val="000000" w:themeColor="text1"/>
        </w:rPr>
        <w:t xml:space="preserve"> below; the service offered is described in section 2.5 and a comparison is discussed in section 2.6</w:t>
      </w:r>
      <w:r w:rsidR="0008040A" w:rsidRPr="006C255E">
        <w:rPr>
          <w:rFonts w:ascii="Arial" w:hAnsi="Arial" w:cs="Arial"/>
          <w:color w:val="000000" w:themeColor="text1"/>
        </w:rPr>
        <w:t>.</w:t>
      </w:r>
      <w:r w:rsidRPr="006C255E">
        <w:rPr>
          <w:rFonts w:ascii="Arial" w:hAnsi="Arial" w:cs="Arial"/>
        </w:rPr>
        <w:t xml:space="preserve">TRDC has </w:t>
      </w:r>
      <w:r w:rsidR="00737199" w:rsidRPr="006C255E">
        <w:rPr>
          <w:rFonts w:ascii="Arial" w:hAnsi="Arial" w:cs="Arial"/>
        </w:rPr>
        <w:t>prioritised</w:t>
      </w:r>
      <w:r w:rsidRPr="006C255E">
        <w:rPr>
          <w:rFonts w:ascii="Arial" w:hAnsi="Arial" w:cs="Arial"/>
        </w:rPr>
        <w:t xml:space="preserve"> some </w:t>
      </w:r>
      <w:r w:rsidR="007C7D17" w:rsidRPr="006C255E">
        <w:rPr>
          <w:rFonts w:ascii="Arial" w:hAnsi="Arial" w:cs="Arial"/>
        </w:rPr>
        <w:t>requirements</w:t>
      </w:r>
      <w:r w:rsidRPr="006C255E">
        <w:rPr>
          <w:rFonts w:ascii="Arial" w:hAnsi="Arial" w:cs="Arial"/>
        </w:rPr>
        <w:t>, including:</w:t>
      </w:r>
    </w:p>
    <w:p w:rsidR="000F2A55" w:rsidRPr="006C255E" w:rsidRDefault="000F2A55" w:rsidP="009B6816">
      <w:pPr>
        <w:pStyle w:val="ListParagraph"/>
        <w:numPr>
          <w:ilvl w:val="0"/>
          <w:numId w:val="22"/>
        </w:numPr>
        <w:rPr>
          <w:rFonts w:cs="Arial"/>
        </w:rPr>
      </w:pPr>
      <w:r w:rsidRPr="006C255E">
        <w:rPr>
          <w:rFonts w:cs="Arial"/>
        </w:rPr>
        <w:t xml:space="preserve">Provision of an increased number of Enforcement Officers above the </w:t>
      </w:r>
      <w:r w:rsidR="00C36A93">
        <w:rPr>
          <w:rFonts w:cs="Arial"/>
        </w:rPr>
        <w:t>4</w:t>
      </w:r>
      <w:r w:rsidRPr="006C255E">
        <w:rPr>
          <w:rFonts w:cs="Arial"/>
        </w:rPr>
        <w:t xml:space="preserve"> provided through the current contract;</w:t>
      </w:r>
    </w:p>
    <w:p w:rsidR="000F2A55" w:rsidRPr="006C255E" w:rsidRDefault="000F2A55" w:rsidP="009B6816">
      <w:pPr>
        <w:pStyle w:val="ListParagraph"/>
        <w:numPr>
          <w:ilvl w:val="0"/>
          <w:numId w:val="22"/>
        </w:numPr>
        <w:rPr>
          <w:rFonts w:cs="Arial"/>
        </w:rPr>
      </w:pPr>
      <w:r w:rsidRPr="006C255E">
        <w:rPr>
          <w:rFonts w:cs="Arial"/>
        </w:rPr>
        <w:t>Demonstrable commitment and a detailed plan with timescales to introduce new tec</w:t>
      </w:r>
      <w:r w:rsidR="009B6816">
        <w:rPr>
          <w:rFonts w:cs="Arial"/>
        </w:rPr>
        <w:t>hnology such as virtual permits;</w:t>
      </w:r>
    </w:p>
    <w:p w:rsidR="000F2A55" w:rsidRPr="006C255E" w:rsidRDefault="000F2A55" w:rsidP="009B6816">
      <w:pPr>
        <w:pStyle w:val="ListParagraph"/>
        <w:numPr>
          <w:ilvl w:val="0"/>
          <w:numId w:val="22"/>
        </w:numPr>
        <w:rPr>
          <w:rFonts w:cs="Arial"/>
        </w:rPr>
      </w:pPr>
      <w:r w:rsidRPr="006C255E">
        <w:rPr>
          <w:rFonts w:cs="Arial"/>
        </w:rPr>
        <w:t>Flexibility of enforcement service to include capacity to provide services out of hours and at weekends</w:t>
      </w:r>
      <w:r w:rsidR="009B6816">
        <w:rPr>
          <w:rFonts w:cs="Arial"/>
        </w:rPr>
        <w:t>;</w:t>
      </w:r>
    </w:p>
    <w:p w:rsidR="000F2A55" w:rsidRPr="006C255E" w:rsidRDefault="000F2A55" w:rsidP="009B6816">
      <w:pPr>
        <w:pStyle w:val="ListParagraph"/>
        <w:numPr>
          <w:ilvl w:val="0"/>
          <w:numId w:val="22"/>
        </w:numPr>
        <w:rPr>
          <w:rFonts w:cs="Arial"/>
        </w:rPr>
      </w:pPr>
      <w:r w:rsidRPr="006C255E">
        <w:rPr>
          <w:rFonts w:cs="Arial"/>
        </w:rPr>
        <w:t xml:space="preserve">A contract period of </w:t>
      </w:r>
      <w:r w:rsidR="00C36A93">
        <w:rPr>
          <w:rFonts w:cs="Arial"/>
        </w:rPr>
        <w:t xml:space="preserve">5 </w:t>
      </w:r>
      <w:r w:rsidRPr="006C255E">
        <w:rPr>
          <w:rFonts w:cs="Arial"/>
        </w:rPr>
        <w:t xml:space="preserve">years plus an option to extend this by a further </w:t>
      </w:r>
      <w:r w:rsidR="00C36A93">
        <w:rPr>
          <w:rFonts w:cs="Arial"/>
        </w:rPr>
        <w:t>3</w:t>
      </w:r>
      <w:r w:rsidRPr="006C255E">
        <w:rPr>
          <w:rFonts w:cs="Arial"/>
        </w:rPr>
        <w:t xml:space="preserve"> years.</w:t>
      </w:r>
    </w:p>
    <w:p w:rsidR="000F2A55" w:rsidRPr="006C255E" w:rsidRDefault="000F2A55" w:rsidP="000F2A55">
      <w:pPr>
        <w:pStyle w:val="ListParagraph"/>
        <w:ind w:left="1620"/>
        <w:rPr>
          <w:rFonts w:cs="Arial"/>
        </w:rPr>
      </w:pPr>
    </w:p>
    <w:p w:rsidR="008D4D9D" w:rsidRPr="006C255E" w:rsidRDefault="003A7029" w:rsidP="009B6816">
      <w:pPr>
        <w:ind w:left="1276" w:hanging="1276"/>
        <w:jc w:val="both"/>
        <w:rPr>
          <w:rFonts w:ascii="Arial" w:hAnsi="Arial" w:cs="Arial"/>
        </w:rPr>
      </w:pPr>
      <w:r w:rsidRPr="006C255E">
        <w:rPr>
          <w:rFonts w:ascii="Arial" w:hAnsi="Arial" w:cs="Arial"/>
        </w:rPr>
        <w:t>2.3.4</w:t>
      </w:r>
      <w:r w:rsidR="008D4D9D" w:rsidRPr="006C255E">
        <w:rPr>
          <w:rFonts w:ascii="Arial" w:hAnsi="Arial" w:cs="Arial"/>
        </w:rPr>
        <w:tab/>
        <w:t xml:space="preserve">The elements of the proposed service which differ from the specification are: </w:t>
      </w:r>
    </w:p>
    <w:p w:rsidR="008D4D9D" w:rsidRPr="006C255E" w:rsidRDefault="008D4D9D" w:rsidP="009B6816">
      <w:pPr>
        <w:pStyle w:val="ListParagraph"/>
        <w:numPr>
          <w:ilvl w:val="0"/>
          <w:numId w:val="19"/>
        </w:numPr>
        <w:spacing w:after="120"/>
        <w:ind w:left="1560" w:hanging="284"/>
        <w:rPr>
          <w:rFonts w:cs="Arial"/>
        </w:rPr>
      </w:pPr>
      <w:r w:rsidRPr="006C255E">
        <w:rPr>
          <w:rFonts w:cs="Arial"/>
        </w:rPr>
        <w:t>No holiday or annual leave cover</w:t>
      </w:r>
      <w:r w:rsidR="002C00AC" w:rsidRPr="006C255E">
        <w:rPr>
          <w:rFonts w:cs="Arial"/>
        </w:rPr>
        <w:t xml:space="preserve">; </w:t>
      </w:r>
      <w:r w:rsidRPr="006C255E">
        <w:rPr>
          <w:rFonts w:cs="Arial"/>
        </w:rPr>
        <w:t>two enforcement officers on Saturday. HBC consider that their proposal is a more effective use of resources</w:t>
      </w:r>
      <w:r w:rsidR="00D04B12" w:rsidRPr="006C255E">
        <w:rPr>
          <w:rFonts w:cs="Arial"/>
        </w:rPr>
        <w:t xml:space="preserve"> and in line with how Hertsmere ope</w:t>
      </w:r>
      <w:r w:rsidR="002C00AC" w:rsidRPr="006C255E">
        <w:rPr>
          <w:rFonts w:cs="Arial"/>
        </w:rPr>
        <w:t xml:space="preserve">rate their own parking service, </w:t>
      </w:r>
      <w:r w:rsidR="00D04B12" w:rsidRPr="006C255E">
        <w:rPr>
          <w:rFonts w:cs="Arial"/>
        </w:rPr>
        <w:t xml:space="preserve">please see Appendix </w:t>
      </w:r>
      <w:r w:rsidR="009A3F9A" w:rsidRPr="006C255E">
        <w:rPr>
          <w:rFonts w:cs="Arial"/>
        </w:rPr>
        <w:t>B</w:t>
      </w:r>
      <w:r w:rsidR="0008040A" w:rsidRPr="006C255E">
        <w:rPr>
          <w:rFonts w:cs="Arial"/>
        </w:rPr>
        <w:t xml:space="preserve"> </w:t>
      </w:r>
      <w:r w:rsidR="00D04B12" w:rsidRPr="006C255E">
        <w:rPr>
          <w:rFonts w:cs="Arial"/>
        </w:rPr>
        <w:t>for full details</w:t>
      </w:r>
      <w:r w:rsidRPr="006C255E">
        <w:rPr>
          <w:rFonts w:cs="Arial"/>
        </w:rPr>
        <w:t xml:space="preserve"> </w:t>
      </w:r>
    </w:p>
    <w:p w:rsidR="002C00AC" w:rsidRDefault="00D04B12" w:rsidP="00291426">
      <w:pPr>
        <w:pStyle w:val="ListParagraph"/>
        <w:numPr>
          <w:ilvl w:val="0"/>
          <w:numId w:val="19"/>
        </w:numPr>
        <w:spacing w:after="120"/>
        <w:ind w:left="1560" w:hanging="284"/>
        <w:rPr>
          <w:rFonts w:cs="Arial"/>
        </w:rPr>
      </w:pPr>
      <w:r w:rsidRPr="006C255E">
        <w:rPr>
          <w:rFonts w:cs="Arial"/>
        </w:rPr>
        <w:t>The</w:t>
      </w:r>
      <w:r w:rsidR="008D4D9D" w:rsidRPr="006C255E">
        <w:rPr>
          <w:rFonts w:cs="Arial"/>
        </w:rPr>
        <w:t xml:space="preserve"> performance indicators </w:t>
      </w:r>
      <w:r w:rsidRPr="006C255E">
        <w:rPr>
          <w:rFonts w:cs="Arial"/>
        </w:rPr>
        <w:t xml:space="preserve">proposed by HBC differ from those suggested in the consultant’s specification. HBC felt these were geared to a contract provider and have therefore provided a comprehensive list of alternative KPIs which are more customer focused. Please see Appendix </w:t>
      </w:r>
      <w:r w:rsidR="009A3F9A" w:rsidRPr="006C255E">
        <w:rPr>
          <w:rFonts w:cs="Arial"/>
        </w:rPr>
        <w:t>C</w:t>
      </w:r>
      <w:r w:rsidR="00EE614B">
        <w:rPr>
          <w:rFonts w:cs="Arial"/>
        </w:rPr>
        <w:t>.</w:t>
      </w:r>
    </w:p>
    <w:p w:rsidR="00291426" w:rsidRDefault="00291426" w:rsidP="00291426">
      <w:pPr>
        <w:pStyle w:val="ListParagraph"/>
        <w:spacing w:after="120"/>
        <w:ind w:left="1560"/>
        <w:rPr>
          <w:rFonts w:cs="Arial"/>
        </w:rPr>
      </w:pPr>
    </w:p>
    <w:p w:rsidR="00291426" w:rsidRPr="00291426" w:rsidRDefault="00291426" w:rsidP="00291426">
      <w:pPr>
        <w:pStyle w:val="ListParagraph"/>
        <w:spacing w:after="120"/>
        <w:ind w:left="1560"/>
        <w:rPr>
          <w:rFonts w:cs="Arial"/>
        </w:rPr>
      </w:pPr>
    </w:p>
    <w:p w:rsidR="00BD542B" w:rsidRPr="006C255E" w:rsidRDefault="00025536" w:rsidP="00014F53">
      <w:pPr>
        <w:tabs>
          <w:tab w:val="left" w:pos="0"/>
          <w:tab w:val="left" w:pos="1985"/>
        </w:tabs>
        <w:ind w:left="1276" w:hanging="1276"/>
        <w:rPr>
          <w:rFonts w:ascii="Arial" w:hAnsi="Arial" w:cs="Arial"/>
          <w:color w:val="000000"/>
        </w:rPr>
      </w:pPr>
      <w:r w:rsidRPr="006C255E">
        <w:rPr>
          <w:rFonts w:ascii="Arial" w:hAnsi="Arial" w:cs="Arial"/>
          <w:color w:val="000000"/>
        </w:rPr>
        <w:lastRenderedPageBreak/>
        <w:t>2.4</w:t>
      </w:r>
      <w:r w:rsidR="00025DCF" w:rsidRPr="006C255E">
        <w:rPr>
          <w:rFonts w:ascii="Arial" w:hAnsi="Arial" w:cs="Arial"/>
          <w:b/>
          <w:color w:val="000000"/>
        </w:rPr>
        <w:tab/>
      </w:r>
      <w:r w:rsidR="00BD542B" w:rsidRPr="006C255E">
        <w:rPr>
          <w:rFonts w:ascii="Arial" w:hAnsi="Arial" w:cs="Arial"/>
          <w:b/>
          <w:color w:val="000000"/>
        </w:rPr>
        <w:t>Description of existing Service</w:t>
      </w:r>
    </w:p>
    <w:p w:rsidR="00021850" w:rsidRPr="006C255E" w:rsidRDefault="00025536" w:rsidP="00176400">
      <w:pPr>
        <w:tabs>
          <w:tab w:val="left" w:pos="0"/>
        </w:tabs>
        <w:ind w:left="1276" w:hanging="1276"/>
        <w:jc w:val="both"/>
        <w:rPr>
          <w:rFonts w:ascii="Arial" w:hAnsi="Arial" w:cs="Arial"/>
        </w:rPr>
      </w:pPr>
      <w:r w:rsidRPr="006C255E">
        <w:rPr>
          <w:rFonts w:ascii="Arial" w:hAnsi="Arial" w:cs="Arial"/>
          <w:color w:val="000000"/>
        </w:rPr>
        <w:t>2.4</w:t>
      </w:r>
      <w:r w:rsidR="00025DCF" w:rsidRPr="006C255E">
        <w:rPr>
          <w:rFonts w:ascii="Arial" w:hAnsi="Arial" w:cs="Arial"/>
          <w:color w:val="000000"/>
        </w:rPr>
        <w:t>.1</w:t>
      </w:r>
      <w:r w:rsidR="00025DCF" w:rsidRPr="006C255E">
        <w:rPr>
          <w:rFonts w:ascii="Arial" w:hAnsi="Arial" w:cs="Arial"/>
          <w:color w:val="000000"/>
        </w:rPr>
        <w:tab/>
      </w:r>
      <w:r w:rsidR="00025DCF" w:rsidRPr="006C255E">
        <w:rPr>
          <w:rFonts w:ascii="Arial" w:hAnsi="Arial" w:cs="Arial"/>
        </w:rPr>
        <w:t xml:space="preserve">The existing Indigo contract provides to the District Council a frontline service comprising </w:t>
      </w:r>
      <w:r w:rsidR="00021850" w:rsidRPr="006C255E">
        <w:rPr>
          <w:rFonts w:ascii="Arial" w:hAnsi="Arial" w:cs="Arial"/>
        </w:rPr>
        <w:t>3</w:t>
      </w:r>
      <w:r w:rsidR="00025DCF" w:rsidRPr="006C255E">
        <w:rPr>
          <w:rFonts w:ascii="Arial" w:hAnsi="Arial" w:cs="Arial"/>
        </w:rPr>
        <w:t xml:space="preserve"> CEOs</w:t>
      </w:r>
      <w:r w:rsidR="00021850" w:rsidRPr="006C255E">
        <w:rPr>
          <w:rFonts w:ascii="Arial" w:hAnsi="Arial" w:cs="Arial"/>
        </w:rPr>
        <w:t>, and one senior CEO,</w:t>
      </w:r>
      <w:r w:rsidR="00025DCF" w:rsidRPr="006C255E">
        <w:rPr>
          <w:rFonts w:ascii="Arial" w:hAnsi="Arial" w:cs="Arial"/>
        </w:rPr>
        <w:t xml:space="preserve"> (including uniforms and equipment</w:t>
      </w:r>
      <w:r w:rsidR="00021850" w:rsidRPr="006C255E">
        <w:rPr>
          <w:rFonts w:ascii="Arial" w:hAnsi="Arial" w:cs="Arial"/>
        </w:rPr>
        <w:t xml:space="preserve"> with</w:t>
      </w:r>
      <w:r w:rsidR="00FD0FB8" w:rsidRPr="006C255E">
        <w:rPr>
          <w:rFonts w:ascii="Arial" w:hAnsi="Arial" w:cs="Arial"/>
        </w:rPr>
        <w:t xml:space="preserve"> w</w:t>
      </w:r>
      <w:r w:rsidR="00025DCF" w:rsidRPr="006C255E">
        <w:rPr>
          <w:rFonts w:ascii="Arial" w:hAnsi="Arial" w:cs="Arial"/>
        </w:rPr>
        <w:t xml:space="preserve">ork transport </w:t>
      </w:r>
      <w:r w:rsidR="00021850" w:rsidRPr="006C255E">
        <w:rPr>
          <w:rFonts w:ascii="Arial" w:hAnsi="Arial" w:cs="Arial"/>
        </w:rPr>
        <w:t>being</w:t>
      </w:r>
      <w:r w:rsidR="00025DCF" w:rsidRPr="006C255E">
        <w:rPr>
          <w:rFonts w:ascii="Arial" w:hAnsi="Arial" w:cs="Arial"/>
        </w:rPr>
        <w:t xml:space="preserve"> </w:t>
      </w:r>
      <w:r w:rsidR="00014F53" w:rsidRPr="006C255E">
        <w:rPr>
          <w:rFonts w:ascii="Arial" w:hAnsi="Arial" w:cs="Arial"/>
        </w:rPr>
        <w:t>a shared company vehicle</w:t>
      </w:r>
      <w:r w:rsidR="00FD0FB8" w:rsidRPr="006C255E">
        <w:rPr>
          <w:rFonts w:ascii="Arial" w:hAnsi="Arial" w:cs="Arial"/>
        </w:rPr>
        <w:t>)</w:t>
      </w:r>
      <w:r w:rsidR="00014F53" w:rsidRPr="006C255E">
        <w:rPr>
          <w:rFonts w:ascii="Arial" w:hAnsi="Arial" w:cs="Arial"/>
        </w:rPr>
        <w:t xml:space="preserve"> </w:t>
      </w:r>
      <w:r w:rsidR="00025DCF" w:rsidRPr="006C255E">
        <w:rPr>
          <w:rFonts w:ascii="Arial" w:hAnsi="Arial" w:cs="Arial"/>
        </w:rPr>
        <w:t xml:space="preserve">and counter staff at The Parking Shop.  These, in addition to the back office staff, handle parking enquiries, processing of PCNs and management and issue of visitor and residents’ permits.  </w:t>
      </w:r>
    </w:p>
    <w:p w:rsidR="001C3BCC" w:rsidRPr="006C255E" w:rsidRDefault="00021850" w:rsidP="00176400">
      <w:pPr>
        <w:tabs>
          <w:tab w:val="left" w:pos="0"/>
        </w:tabs>
        <w:ind w:left="1276" w:hanging="1276"/>
        <w:jc w:val="both"/>
        <w:rPr>
          <w:rFonts w:ascii="Arial" w:hAnsi="Arial" w:cs="Arial"/>
        </w:rPr>
      </w:pPr>
      <w:r w:rsidRPr="006C255E">
        <w:rPr>
          <w:rFonts w:ascii="Arial" w:hAnsi="Arial" w:cs="Arial"/>
          <w:color w:val="000000"/>
        </w:rPr>
        <w:t>2.4.</w:t>
      </w:r>
      <w:r w:rsidR="003A7029" w:rsidRPr="006C255E">
        <w:rPr>
          <w:rFonts w:ascii="Arial" w:hAnsi="Arial" w:cs="Arial"/>
          <w:color w:val="000000"/>
        </w:rPr>
        <w:t>2</w:t>
      </w:r>
      <w:r w:rsidRPr="006C255E">
        <w:rPr>
          <w:rFonts w:ascii="Arial" w:hAnsi="Arial" w:cs="Arial"/>
          <w:color w:val="000000"/>
        </w:rPr>
        <w:tab/>
      </w:r>
      <w:r w:rsidR="00025DCF" w:rsidRPr="006C255E">
        <w:rPr>
          <w:rFonts w:ascii="Arial" w:hAnsi="Arial" w:cs="Arial"/>
        </w:rPr>
        <w:t xml:space="preserve">No parking enforcement related phone or face to face enquiries are handled by staff at </w:t>
      </w:r>
      <w:r w:rsidR="009350EA" w:rsidRPr="006C255E">
        <w:rPr>
          <w:rFonts w:ascii="Arial" w:hAnsi="Arial" w:cs="Arial"/>
        </w:rPr>
        <w:t>the Rickmansworth office</w:t>
      </w:r>
      <w:r w:rsidR="00025DCF" w:rsidRPr="006C255E">
        <w:rPr>
          <w:rFonts w:ascii="Arial" w:hAnsi="Arial" w:cs="Arial"/>
        </w:rPr>
        <w:t>.  A direct number is provided for The Parking Shop for parking and permit related enquiries</w:t>
      </w:r>
      <w:r w:rsidRPr="006C255E">
        <w:rPr>
          <w:rFonts w:ascii="Arial" w:hAnsi="Arial" w:cs="Arial"/>
        </w:rPr>
        <w:t>.</w:t>
      </w:r>
      <w:r w:rsidR="00025DCF" w:rsidRPr="006C255E">
        <w:rPr>
          <w:rFonts w:ascii="Arial" w:hAnsi="Arial" w:cs="Arial"/>
        </w:rPr>
        <w:t xml:space="preserve"> </w:t>
      </w:r>
    </w:p>
    <w:p w:rsidR="00025DCF" w:rsidRPr="006C255E" w:rsidRDefault="00025536" w:rsidP="00176400">
      <w:pPr>
        <w:tabs>
          <w:tab w:val="left" w:pos="0"/>
        </w:tabs>
        <w:ind w:left="1276" w:hanging="1276"/>
        <w:jc w:val="both"/>
        <w:rPr>
          <w:rFonts w:ascii="Arial" w:hAnsi="Arial" w:cs="Arial"/>
        </w:rPr>
      </w:pPr>
      <w:r w:rsidRPr="006C255E">
        <w:rPr>
          <w:rFonts w:ascii="Arial" w:hAnsi="Arial" w:cs="Arial"/>
        </w:rPr>
        <w:t>2.4</w:t>
      </w:r>
      <w:r w:rsidR="003A7029" w:rsidRPr="006C255E">
        <w:rPr>
          <w:rFonts w:ascii="Arial" w:hAnsi="Arial" w:cs="Arial"/>
        </w:rPr>
        <w:t>.3</w:t>
      </w:r>
      <w:r w:rsidR="00025DCF" w:rsidRPr="006C255E">
        <w:rPr>
          <w:rFonts w:ascii="Arial" w:hAnsi="Arial" w:cs="Arial"/>
        </w:rPr>
        <w:tab/>
        <w:t xml:space="preserve">In addition, the existing contract provides contract management by Indigo, </w:t>
      </w:r>
      <w:r w:rsidR="00021850" w:rsidRPr="006C255E">
        <w:rPr>
          <w:rFonts w:ascii="Arial" w:hAnsi="Arial" w:cs="Arial"/>
        </w:rPr>
        <w:t xml:space="preserve">IT software, hardware </w:t>
      </w:r>
      <w:r w:rsidR="00025DCF" w:rsidRPr="006C255E">
        <w:rPr>
          <w:rFonts w:ascii="Arial" w:hAnsi="Arial" w:cs="Arial"/>
        </w:rPr>
        <w:t>and handheld devices, cash collec</w:t>
      </w:r>
      <w:r w:rsidR="00014F53" w:rsidRPr="006C255E">
        <w:rPr>
          <w:rFonts w:ascii="Arial" w:hAnsi="Arial" w:cs="Arial"/>
        </w:rPr>
        <w:t xml:space="preserve">tion services and P&amp;D machine </w:t>
      </w:r>
      <w:r w:rsidR="00025DCF" w:rsidRPr="006C255E">
        <w:rPr>
          <w:rFonts w:ascii="Arial" w:hAnsi="Arial" w:cs="Arial"/>
        </w:rPr>
        <w:t>maintenance.</w:t>
      </w:r>
    </w:p>
    <w:p w:rsidR="00025DCF" w:rsidRPr="006C255E" w:rsidRDefault="00025DCF" w:rsidP="00176400">
      <w:pPr>
        <w:ind w:left="1276" w:hanging="1260"/>
        <w:jc w:val="both"/>
        <w:rPr>
          <w:rFonts w:ascii="Arial" w:hAnsi="Arial" w:cs="Arial"/>
        </w:rPr>
      </w:pPr>
      <w:r w:rsidRPr="006C255E">
        <w:rPr>
          <w:rFonts w:ascii="Arial" w:hAnsi="Arial" w:cs="Arial"/>
        </w:rPr>
        <w:t>2.</w:t>
      </w:r>
      <w:r w:rsidR="00025536" w:rsidRPr="006C255E">
        <w:rPr>
          <w:rFonts w:ascii="Arial" w:hAnsi="Arial" w:cs="Arial"/>
        </w:rPr>
        <w:t>4</w:t>
      </w:r>
      <w:r w:rsidR="003A7029" w:rsidRPr="006C255E">
        <w:rPr>
          <w:rFonts w:ascii="Arial" w:hAnsi="Arial" w:cs="Arial"/>
        </w:rPr>
        <w:t>.4</w:t>
      </w:r>
      <w:r w:rsidRPr="006C255E">
        <w:rPr>
          <w:rFonts w:ascii="Arial" w:hAnsi="Arial" w:cs="Arial"/>
        </w:rPr>
        <w:tab/>
        <w:t xml:space="preserve">The District Council </w:t>
      </w:r>
      <w:r w:rsidR="0055752A" w:rsidRPr="006C255E">
        <w:rPr>
          <w:rFonts w:ascii="Arial" w:hAnsi="Arial" w:cs="Arial"/>
        </w:rPr>
        <w:t>contracts Watford</w:t>
      </w:r>
      <w:r w:rsidR="00021850" w:rsidRPr="006C255E">
        <w:rPr>
          <w:rFonts w:ascii="Arial" w:hAnsi="Arial" w:cs="Arial"/>
        </w:rPr>
        <w:t xml:space="preserve"> Borough Council</w:t>
      </w:r>
      <w:r w:rsidRPr="006C255E">
        <w:rPr>
          <w:rFonts w:ascii="Arial" w:hAnsi="Arial" w:cs="Arial"/>
        </w:rPr>
        <w:t xml:space="preserve"> for them to deliver the management of the Parking </w:t>
      </w:r>
      <w:r w:rsidR="00021850" w:rsidRPr="006C255E">
        <w:rPr>
          <w:rFonts w:ascii="Arial" w:hAnsi="Arial" w:cs="Arial"/>
        </w:rPr>
        <w:t>Enforcement Function</w:t>
      </w:r>
      <w:r w:rsidRPr="006C255E">
        <w:rPr>
          <w:rFonts w:ascii="Arial" w:hAnsi="Arial" w:cs="Arial"/>
        </w:rPr>
        <w:t>. This agreement currently costs this authority approximately £80</w:t>
      </w:r>
      <w:r w:rsidR="00021850" w:rsidRPr="006C255E">
        <w:rPr>
          <w:rFonts w:ascii="Arial" w:hAnsi="Arial" w:cs="Arial"/>
        </w:rPr>
        <w:t>,000</w:t>
      </w:r>
      <w:r w:rsidRPr="006C255E">
        <w:rPr>
          <w:rFonts w:ascii="Arial" w:hAnsi="Arial" w:cs="Arial"/>
        </w:rPr>
        <w:t xml:space="preserve"> </w:t>
      </w:r>
      <w:r w:rsidR="00021850" w:rsidRPr="006C255E">
        <w:rPr>
          <w:rFonts w:ascii="Arial" w:hAnsi="Arial" w:cs="Arial"/>
        </w:rPr>
        <w:t>each year</w:t>
      </w:r>
      <w:r w:rsidRPr="006C255E">
        <w:rPr>
          <w:rFonts w:ascii="Arial" w:hAnsi="Arial" w:cs="Arial"/>
        </w:rPr>
        <w:t xml:space="preserve"> and </w:t>
      </w:r>
      <w:r w:rsidR="00FD0FB8" w:rsidRPr="006C255E">
        <w:rPr>
          <w:rFonts w:ascii="Arial" w:hAnsi="Arial" w:cs="Arial"/>
        </w:rPr>
        <w:t>includes the following:</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Rent and associated building costs for the building contain</w:t>
      </w:r>
      <w:r w:rsidR="009350EA" w:rsidRPr="006C255E">
        <w:rPr>
          <w:rFonts w:cs="Arial"/>
          <w:szCs w:val="22"/>
        </w:rPr>
        <w:t>ing the Parking Shop in Watford.</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Management costs for the parking enforcement service and associated functions of the Parking Shop</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 xml:space="preserve">Representation Officer </w:t>
      </w:r>
      <w:proofErr w:type="gramStart"/>
      <w:r w:rsidRPr="006C255E">
        <w:rPr>
          <w:rFonts w:cs="Arial"/>
          <w:szCs w:val="22"/>
        </w:rPr>
        <w:t>costs</w:t>
      </w:r>
      <w:proofErr w:type="gramEnd"/>
      <w:r w:rsidRPr="006C255E">
        <w:rPr>
          <w:rFonts w:cs="Arial"/>
          <w:szCs w:val="22"/>
        </w:rPr>
        <w:t xml:space="preserve"> (TRDC currently pay </w:t>
      </w:r>
      <w:r w:rsidR="00021850" w:rsidRPr="006C255E">
        <w:rPr>
          <w:rFonts w:cs="Arial"/>
          <w:szCs w:val="22"/>
        </w:rPr>
        <w:t>33</w:t>
      </w:r>
      <w:r w:rsidRPr="006C255E">
        <w:rPr>
          <w:rFonts w:cs="Arial"/>
          <w:szCs w:val="22"/>
        </w:rPr>
        <w:t xml:space="preserve">% of the salary of 2 WBC-employed Written Representations Officers) to </w:t>
      </w:r>
      <w:r w:rsidR="00021850" w:rsidRPr="006C255E">
        <w:rPr>
          <w:rFonts w:cs="Arial"/>
          <w:szCs w:val="22"/>
        </w:rPr>
        <w:t>support</w:t>
      </w:r>
      <w:r w:rsidRPr="006C255E">
        <w:rPr>
          <w:rFonts w:cs="Arial"/>
          <w:szCs w:val="22"/>
        </w:rPr>
        <w:t xml:space="preserve"> </w:t>
      </w:r>
      <w:r w:rsidR="00021850" w:rsidRPr="006C255E">
        <w:rPr>
          <w:rFonts w:cs="Arial"/>
          <w:szCs w:val="22"/>
        </w:rPr>
        <w:t xml:space="preserve">the Representations Officer directly employed by </w:t>
      </w:r>
      <w:r w:rsidRPr="006C255E">
        <w:rPr>
          <w:rFonts w:cs="Arial"/>
          <w:szCs w:val="22"/>
        </w:rPr>
        <w:t>TRDC</w:t>
      </w:r>
      <w:r w:rsidR="008423C0" w:rsidRPr="006C255E">
        <w:rPr>
          <w:rFonts w:cs="Arial"/>
          <w:szCs w:val="22"/>
        </w:rPr>
        <w:t>.</w:t>
      </w:r>
      <w:r w:rsidRPr="006C255E">
        <w:rPr>
          <w:rFonts w:cs="Arial"/>
          <w:szCs w:val="22"/>
        </w:rPr>
        <w:t xml:space="preserve"> </w:t>
      </w:r>
    </w:p>
    <w:p w:rsidR="00025DCF" w:rsidRDefault="00025DCF" w:rsidP="00176400">
      <w:pPr>
        <w:pStyle w:val="ListParagraph"/>
        <w:numPr>
          <w:ilvl w:val="0"/>
          <w:numId w:val="6"/>
        </w:numPr>
        <w:spacing w:after="80"/>
        <w:ind w:left="1985" w:hanging="709"/>
        <w:rPr>
          <w:rFonts w:cs="Arial"/>
          <w:szCs w:val="22"/>
        </w:rPr>
      </w:pPr>
      <w:r w:rsidRPr="006C255E">
        <w:rPr>
          <w:rFonts w:cs="Arial"/>
          <w:szCs w:val="22"/>
        </w:rPr>
        <w:t>Web, IT and telephony charges.</w:t>
      </w:r>
    </w:p>
    <w:p w:rsidR="009B6816" w:rsidRPr="006C255E" w:rsidRDefault="009B6816" w:rsidP="00E076BB">
      <w:pPr>
        <w:pStyle w:val="ListParagraph"/>
        <w:ind w:left="1985"/>
        <w:rPr>
          <w:rFonts w:cs="Arial"/>
          <w:szCs w:val="22"/>
        </w:rPr>
      </w:pPr>
    </w:p>
    <w:p w:rsidR="00025DCF" w:rsidRPr="006C255E" w:rsidRDefault="00025536" w:rsidP="00176400">
      <w:pPr>
        <w:ind w:left="1276" w:hanging="1276"/>
        <w:jc w:val="both"/>
        <w:rPr>
          <w:rFonts w:ascii="Arial" w:hAnsi="Arial" w:cs="Arial"/>
        </w:rPr>
      </w:pPr>
      <w:r w:rsidRPr="006C255E">
        <w:rPr>
          <w:rFonts w:ascii="Arial" w:hAnsi="Arial" w:cs="Arial"/>
        </w:rPr>
        <w:t>2.4</w:t>
      </w:r>
      <w:r w:rsidR="003A7029" w:rsidRPr="006C255E">
        <w:rPr>
          <w:rFonts w:ascii="Arial" w:hAnsi="Arial" w:cs="Arial"/>
        </w:rPr>
        <w:t>.5</w:t>
      </w:r>
      <w:r w:rsidR="00025DCF" w:rsidRPr="006C255E">
        <w:rPr>
          <w:rFonts w:ascii="Arial" w:hAnsi="Arial" w:cs="Arial"/>
        </w:rPr>
        <w:tab/>
        <w:t xml:space="preserve">The </w:t>
      </w:r>
      <w:r w:rsidR="009350EA" w:rsidRPr="006C255E">
        <w:rPr>
          <w:rFonts w:ascii="Arial" w:hAnsi="Arial" w:cs="Arial"/>
        </w:rPr>
        <w:t>element paid towards the Parking M</w:t>
      </w:r>
      <w:r w:rsidR="00025DCF" w:rsidRPr="006C255E">
        <w:rPr>
          <w:rFonts w:ascii="Arial" w:hAnsi="Arial" w:cs="Arial"/>
        </w:rPr>
        <w:t>anage</w:t>
      </w:r>
      <w:r w:rsidR="009350EA" w:rsidRPr="006C255E">
        <w:rPr>
          <w:rFonts w:ascii="Arial" w:hAnsi="Arial" w:cs="Arial"/>
        </w:rPr>
        <w:t>r</w:t>
      </w:r>
      <w:r w:rsidR="00025DCF" w:rsidRPr="006C255E">
        <w:rPr>
          <w:rFonts w:ascii="Arial" w:hAnsi="Arial" w:cs="Arial"/>
        </w:rPr>
        <w:t xml:space="preserve"> and </w:t>
      </w:r>
      <w:r w:rsidR="009350EA" w:rsidRPr="006C255E">
        <w:rPr>
          <w:rFonts w:ascii="Arial" w:hAnsi="Arial" w:cs="Arial"/>
        </w:rPr>
        <w:t xml:space="preserve">the duties of the </w:t>
      </w:r>
      <w:r w:rsidR="00025DCF" w:rsidRPr="006C255E">
        <w:rPr>
          <w:rFonts w:ascii="Arial" w:hAnsi="Arial" w:cs="Arial"/>
        </w:rPr>
        <w:t>Representation Officer</w:t>
      </w:r>
      <w:r w:rsidR="009350EA" w:rsidRPr="006C255E">
        <w:rPr>
          <w:rFonts w:ascii="Arial" w:hAnsi="Arial" w:cs="Arial"/>
        </w:rPr>
        <w:t>s</w:t>
      </w:r>
      <w:r w:rsidR="00025DCF" w:rsidRPr="006C255E">
        <w:rPr>
          <w:rFonts w:ascii="Arial" w:hAnsi="Arial" w:cs="Arial"/>
        </w:rPr>
        <w:t xml:space="preserve"> includes:</w:t>
      </w:r>
      <w:r w:rsidR="00FD0FB8" w:rsidRPr="006C255E">
        <w:rPr>
          <w:rFonts w:ascii="Arial" w:hAnsi="Arial" w:cs="Arial"/>
        </w:rPr>
        <w:t xml:space="preserve"> </w:t>
      </w:r>
    </w:p>
    <w:p w:rsidR="00025DCF" w:rsidRPr="006C255E" w:rsidRDefault="00021850"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of the </w:t>
      </w:r>
      <w:r w:rsidR="00025DCF" w:rsidRPr="006C255E">
        <w:rPr>
          <w:rFonts w:ascii="Arial" w:hAnsi="Arial" w:cs="Arial"/>
        </w:rPr>
        <w:t xml:space="preserve">Indigo contract, </w:t>
      </w:r>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processing and administration of Penalty Charge Notices,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M</w:t>
      </w:r>
      <w:r w:rsidR="00025DCF" w:rsidRPr="006C255E">
        <w:rPr>
          <w:rFonts w:ascii="Arial" w:hAnsi="Arial" w:cs="Arial"/>
        </w:rPr>
        <w:t xml:space="preserve">anaging appeals and cost recovery,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Managing </w:t>
      </w:r>
      <w:r w:rsidR="00025DCF" w:rsidRPr="006C255E">
        <w:rPr>
          <w:rFonts w:ascii="Arial" w:hAnsi="Arial" w:cs="Arial"/>
        </w:rPr>
        <w:t xml:space="preserve">resident and business parking permits,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w:t>
      </w:r>
      <w:r w:rsidR="00025DCF" w:rsidRPr="006C255E">
        <w:rPr>
          <w:rFonts w:ascii="Arial" w:hAnsi="Arial" w:cs="Arial"/>
        </w:rPr>
        <w:t>of car parks,</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w:t>
      </w:r>
      <w:r w:rsidR="00025DCF" w:rsidRPr="006C255E">
        <w:rPr>
          <w:rFonts w:ascii="Arial" w:hAnsi="Arial" w:cs="Arial"/>
        </w:rPr>
        <w:t xml:space="preserve">of signage/lines, </w:t>
      </w:r>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dealing with public enquiries,</w:t>
      </w:r>
      <w:bookmarkStart w:id="0" w:name="_GoBack"/>
      <w:bookmarkEnd w:id="0"/>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Service marketing,</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Management</w:t>
      </w:r>
      <w:r w:rsidR="00025DCF" w:rsidRPr="006C255E">
        <w:rPr>
          <w:rFonts w:ascii="Arial" w:hAnsi="Arial" w:cs="Arial"/>
        </w:rPr>
        <w:t xml:space="preserve"> of bailiff contract and three appointed companies.</w:t>
      </w:r>
    </w:p>
    <w:p w:rsidR="009B6816" w:rsidRDefault="009B6816" w:rsidP="00176400">
      <w:pPr>
        <w:spacing w:after="0" w:line="240" w:lineRule="auto"/>
        <w:ind w:left="1276" w:hanging="1276"/>
        <w:jc w:val="both"/>
        <w:rPr>
          <w:rFonts w:ascii="Arial" w:hAnsi="Arial" w:cs="Arial"/>
        </w:rPr>
      </w:pPr>
    </w:p>
    <w:p w:rsidR="00025DCF" w:rsidRPr="006C255E" w:rsidRDefault="00025536" w:rsidP="00176400">
      <w:pPr>
        <w:ind w:left="1276" w:hanging="1276"/>
        <w:jc w:val="both"/>
        <w:rPr>
          <w:rFonts w:ascii="Arial" w:hAnsi="Arial" w:cs="Arial"/>
        </w:rPr>
      </w:pPr>
      <w:r w:rsidRPr="006C255E">
        <w:rPr>
          <w:rFonts w:ascii="Arial" w:hAnsi="Arial" w:cs="Arial"/>
        </w:rPr>
        <w:t>2.4</w:t>
      </w:r>
      <w:r w:rsidR="003A7029" w:rsidRPr="006C255E">
        <w:rPr>
          <w:rFonts w:ascii="Arial" w:hAnsi="Arial" w:cs="Arial"/>
        </w:rPr>
        <w:t>.6</w:t>
      </w:r>
      <w:r w:rsidR="00025DCF" w:rsidRPr="006C255E">
        <w:rPr>
          <w:rFonts w:ascii="Arial" w:hAnsi="Arial" w:cs="Arial"/>
        </w:rPr>
        <w:tab/>
        <w:t>In addition, the District Council directly employs a Representations Officer who is based at the Parking Shop.  Employment of this role directly was a requirement of the contract set up.  This is a total cost of £32k per annum.  This role undertakes many o</w:t>
      </w:r>
      <w:r w:rsidR="00900BFA" w:rsidRPr="006C255E">
        <w:rPr>
          <w:rFonts w:ascii="Arial" w:hAnsi="Arial" w:cs="Arial"/>
        </w:rPr>
        <w:t>f the elements in paragraph 2.</w:t>
      </w:r>
      <w:r w:rsidR="00025DCF" w:rsidRPr="006C255E">
        <w:rPr>
          <w:rFonts w:ascii="Arial" w:hAnsi="Arial" w:cs="Arial"/>
        </w:rPr>
        <w:t>4</w:t>
      </w:r>
      <w:r w:rsidR="00900BFA" w:rsidRPr="006C255E">
        <w:rPr>
          <w:rFonts w:ascii="Arial" w:hAnsi="Arial" w:cs="Arial"/>
        </w:rPr>
        <w:t>.</w:t>
      </w:r>
      <w:r w:rsidR="003A7029" w:rsidRPr="006C255E">
        <w:rPr>
          <w:rFonts w:ascii="Arial" w:hAnsi="Arial" w:cs="Arial"/>
        </w:rPr>
        <w:t>5</w:t>
      </w:r>
      <w:r w:rsidR="00025DCF" w:rsidRPr="006C255E">
        <w:rPr>
          <w:rFonts w:ascii="Arial" w:hAnsi="Arial" w:cs="Arial"/>
        </w:rPr>
        <w:t xml:space="preserve"> in addition to a number of other specific traffic management duties for the District Council.</w:t>
      </w:r>
    </w:p>
    <w:p w:rsidR="000021AD" w:rsidRPr="006C255E" w:rsidRDefault="00025536" w:rsidP="00176400">
      <w:pPr>
        <w:ind w:left="1276" w:hanging="1276"/>
        <w:jc w:val="both"/>
        <w:rPr>
          <w:rFonts w:ascii="Arial" w:hAnsi="Arial" w:cs="Arial"/>
        </w:rPr>
      </w:pPr>
      <w:r w:rsidRPr="006C255E">
        <w:rPr>
          <w:rFonts w:ascii="Arial" w:hAnsi="Arial" w:cs="Arial"/>
        </w:rPr>
        <w:lastRenderedPageBreak/>
        <w:t>2.4</w:t>
      </w:r>
      <w:r w:rsidR="003A7029" w:rsidRPr="006C255E">
        <w:rPr>
          <w:rFonts w:ascii="Arial" w:hAnsi="Arial" w:cs="Arial"/>
        </w:rPr>
        <w:t>.7</w:t>
      </w:r>
      <w:r w:rsidR="00025DCF" w:rsidRPr="006C255E">
        <w:rPr>
          <w:rFonts w:ascii="Arial" w:hAnsi="Arial" w:cs="Arial"/>
        </w:rPr>
        <w:tab/>
        <w:t xml:space="preserve">TRDC </w:t>
      </w:r>
      <w:r w:rsidR="00021850" w:rsidRPr="006C255E">
        <w:rPr>
          <w:rFonts w:ascii="Arial" w:hAnsi="Arial" w:cs="Arial"/>
        </w:rPr>
        <w:t xml:space="preserve">currently </w:t>
      </w:r>
      <w:r w:rsidR="00025DCF" w:rsidRPr="006C255E">
        <w:rPr>
          <w:rFonts w:ascii="Arial" w:hAnsi="Arial" w:cs="Arial"/>
        </w:rPr>
        <w:t>employ</w:t>
      </w:r>
      <w:r w:rsidR="00021850" w:rsidRPr="006C255E">
        <w:rPr>
          <w:rFonts w:ascii="Arial" w:hAnsi="Arial" w:cs="Arial"/>
        </w:rPr>
        <w:t>s</w:t>
      </w:r>
      <w:r w:rsidR="00025DCF" w:rsidRPr="006C255E">
        <w:rPr>
          <w:rFonts w:ascii="Arial" w:hAnsi="Arial" w:cs="Arial"/>
        </w:rPr>
        <w:t xml:space="preserve"> a Traffic Engineer</w:t>
      </w:r>
      <w:r w:rsidR="00021850" w:rsidRPr="006C255E">
        <w:rPr>
          <w:rFonts w:ascii="Arial" w:hAnsi="Arial" w:cs="Arial"/>
        </w:rPr>
        <w:t xml:space="preserve"> in a separate role to the Parking Enforcement service,</w:t>
      </w:r>
      <w:r w:rsidR="00025DCF" w:rsidRPr="006C255E">
        <w:rPr>
          <w:rFonts w:ascii="Arial" w:hAnsi="Arial" w:cs="Arial"/>
        </w:rPr>
        <w:t xml:space="preserve"> for 3 days a week.  This is currently a post which is filled on a secondment basis due to recruitment </w:t>
      </w:r>
      <w:r w:rsidR="00737199" w:rsidRPr="006C255E">
        <w:rPr>
          <w:rFonts w:ascii="Arial" w:hAnsi="Arial" w:cs="Arial"/>
        </w:rPr>
        <w:t xml:space="preserve">difficulties. The current HBC Traffic Engineer </w:t>
      </w:r>
      <w:r w:rsidR="007710C4" w:rsidRPr="006C255E">
        <w:rPr>
          <w:rFonts w:ascii="Arial" w:hAnsi="Arial" w:cs="Arial"/>
        </w:rPr>
        <w:t xml:space="preserve">also </w:t>
      </w:r>
      <w:r w:rsidR="00737199" w:rsidRPr="006C255E">
        <w:rPr>
          <w:rFonts w:ascii="Arial" w:hAnsi="Arial" w:cs="Arial"/>
        </w:rPr>
        <w:t>contributes to this role through an informal contract.</w:t>
      </w:r>
    </w:p>
    <w:p w:rsidR="006B62D0" w:rsidRPr="006C255E" w:rsidRDefault="00BD542B" w:rsidP="00176400">
      <w:pPr>
        <w:ind w:left="1276" w:hanging="1276"/>
        <w:jc w:val="both"/>
        <w:rPr>
          <w:rFonts w:ascii="Arial" w:hAnsi="Arial" w:cs="Arial"/>
        </w:rPr>
      </w:pPr>
      <w:r w:rsidRPr="006C255E">
        <w:rPr>
          <w:rFonts w:ascii="Arial" w:hAnsi="Arial" w:cs="Arial"/>
          <w:b/>
          <w:color w:val="000000"/>
        </w:rPr>
        <w:t>2.5</w:t>
      </w:r>
      <w:r w:rsidRPr="006C255E">
        <w:rPr>
          <w:rFonts w:ascii="Arial" w:hAnsi="Arial" w:cs="Arial"/>
          <w:b/>
          <w:color w:val="000000"/>
        </w:rPr>
        <w:tab/>
      </w:r>
      <w:r w:rsidRPr="009B6816">
        <w:rPr>
          <w:rFonts w:ascii="Arial" w:hAnsi="Arial" w:cs="Arial"/>
          <w:b/>
          <w:i/>
          <w:color w:val="000000"/>
        </w:rPr>
        <w:t>Description of Service offered</w:t>
      </w:r>
      <w:r w:rsidR="006B62D0" w:rsidRPr="009B6816">
        <w:rPr>
          <w:rFonts w:ascii="Arial" w:hAnsi="Arial" w:cs="Arial"/>
          <w:b/>
          <w:i/>
          <w:color w:val="000000"/>
        </w:rPr>
        <w:t xml:space="preserve"> by HBC</w:t>
      </w:r>
    </w:p>
    <w:p w:rsidR="003D3EA4" w:rsidRPr="006C255E" w:rsidRDefault="00025536" w:rsidP="00176400">
      <w:pPr>
        <w:ind w:left="1276" w:hanging="1276"/>
        <w:jc w:val="both"/>
        <w:rPr>
          <w:rFonts w:ascii="Arial" w:hAnsi="Arial" w:cs="Arial"/>
          <w:b/>
        </w:rPr>
      </w:pPr>
      <w:r w:rsidRPr="006C255E">
        <w:rPr>
          <w:rFonts w:ascii="Arial" w:hAnsi="Arial" w:cs="Arial"/>
        </w:rPr>
        <w:t>2</w:t>
      </w:r>
      <w:r w:rsidR="0055752A" w:rsidRPr="006C255E">
        <w:rPr>
          <w:rFonts w:ascii="Arial" w:hAnsi="Arial" w:cs="Arial"/>
        </w:rPr>
        <w:t>.5.1</w:t>
      </w:r>
      <w:r w:rsidR="00025DCF" w:rsidRPr="006C255E">
        <w:rPr>
          <w:rFonts w:ascii="Arial" w:hAnsi="Arial" w:cs="Arial"/>
        </w:rPr>
        <w:tab/>
      </w:r>
      <w:r w:rsidR="002C00AC" w:rsidRPr="006C255E">
        <w:rPr>
          <w:rFonts w:ascii="Arial" w:hAnsi="Arial" w:cs="Arial"/>
        </w:rPr>
        <w:t>In</w:t>
      </w:r>
      <w:r w:rsidR="003D3EA4" w:rsidRPr="006C255E">
        <w:rPr>
          <w:rFonts w:ascii="Arial" w:hAnsi="Arial" w:cs="Arial"/>
        </w:rPr>
        <w:t xml:space="preserve"> a response from an enquiry from TRDC officers, a letter was received from HBC dated </w:t>
      </w:r>
      <w:r w:rsidR="00F27D6B" w:rsidRPr="006C255E">
        <w:rPr>
          <w:rFonts w:ascii="Arial" w:hAnsi="Arial" w:cs="Arial"/>
        </w:rPr>
        <w:t>1 February 2017</w:t>
      </w:r>
      <w:r w:rsidR="003D3EA4" w:rsidRPr="006C255E">
        <w:rPr>
          <w:rFonts w:ascii="Arial" w:hAnsi="Arial" w:cs="Arial"/>
        </w:rPr>
        <w:t>, indicating their interest in exploring a sh</w:t>
      </w:r>
      <w:r w:rsidR="007710C4" w:rsidRPr="006C255E">
        <w:rPr>
          <w:rFonts w:ascii="Arial" w:hAnsi="Arial" w:cs="Arial"/>
        </w:rPr>
        <w:t xml:space="preserve">ared parking service with TRDC. </w:t>
      </w:r>
      <w:r w:rsidR="003D3EA4" w:rsidRPr="006C255E">
        <w:rPr>
          <w:rFonts w:ascii="Arial" w:hAnsi="Arial" w:cs="Arial"/>
        </w:rPr>
        <w:t xml:space="preserve">HBC confirmed it could provide a parking enforcement service to match the level of existing service which made an estimated saving of £30,000 on TRDC current service costs based on data and information available at the time. </w:t>
      </w:r>
      <w:r w:rsidR="007710C4" w:rsidRPr="006C255E">
        <w:rPr>
          <w:rFonts w:ascii="Arial" w:hAnsi="Arial" w:cs="Arial"/>
        </w:rPr>
        <w:t>It should be borne in mind of course that the WBC Indigo costs would inevitably have risen should a new contract have been procured with them.</w:t>
      </w:r>
    </w:p>
    <w:p w:rsidR="000741EF" w:rsidRPr="006C255E" w:rsidRDefault="00025536" w:rsidP="00176400">
      <w:pPr>
        <w:ind w:left="1276" w:hanging="1276"/>
        <w:jc w:val="both"/>
        <w:rPr>
          <w:rFonts w:ascii="Arial" w:hAnsi="Arial" w:cs="Arial"/>
        </w:rPr>
      </w:pPr>
      <w:r w:rsidRPr="006C255E">
        <w:rPr>
          <w:rFonts w:ascii="Arial" w:hAnsi="Arial" w:cs="Arial"/>
        </w:rPr>
        <w:t>2.</w:t>
      </w:r>
      <w:r w:rsidR="0055752A" w:rsidRPr="006C255E">
        <w:rPr>
          <w:rFonts w:ascii="Arial" w:hAnsi="Arial" w:cs="Arial"/>
        </w:rPr>
        <w:t>5.2</w:t>
      </w:r>
      <w:r w:rsidR="004854B3" w:rsidRPr="006C255E">
        <w:rPr>
          <w:rFonts w:ascii="Arial" w:hAnsi="Arial" w:cs="Arial"/>
        </w:rPr>
        <w:tab/>
      </w:r>
      <w:r w:rsidR="006B62D0" w:rsidRPr="006C255E">
        <w:rPr>
          <w:rFonts w:ascii="Arial" w:hAnsi="Arial" w:cs="Arial"/>
        </w:rPr>
        <w:t>HBC</w:t>
      </w:r>
      <w:r w:rsidR="000741EF" w:rsidRPr="006C255E">
        <w:rPr>
          <w:rFonts w:ascii="Arial" w:hAnsi="Arial" w:cs="Arial"/>
        </w:rPr>
        <w:t xml:space="preserve"> Officers advise that they</w:t>
      </w:r>
      <w:r w:rsidR="00F27D6B" w:rsidRPr="006C255E">
        <w:rPr>
          <w:rFonts w:ascii="Arial" w:hAnsi="Arial" w:cs="Arial"/>
        </w:rPr>
        <w:t xml:space="preserve"> “</w:t>
      </w:r>
      <w:r w:rsidR="000741EF" w:rsidRPr="006C255E">
        <w:rPr>
          <w:rFonts w:ascii="Arial" w:hAnsi="Arial" w:cs="Arial"/>
          <w:i/>
        </w:rPr>
        <w:t xml:space="preserve">have an existing highly successful parking </w:t>
      </w:r>
      <w:r w:rsidR="00F76E2E" w:rsidRPr="006C255E">
        <w:rPr>
          <w:rFonts w:ascii="Arial" w:hAnsi="Arial" w:cs="Arial"/>
          <w:i/>
        </w:rPr>
        <w:t>service</w:t>
      </w:r>
      <w:r w:rsidR="00F27D6B" w:rsidRPr="006C255E">
        <w:rPr>
          <w:rFonts w:ascii="Arial" w:hAnsi="Arial" w:cs="Arial"/>
        </w:rPr>
        <w:t>”</w:t>
      </w:r>
      <w:r w:rsidR="00F76E2E" w:rsidRPr="006C255E">
        <w:rPr>
          <w:rFonts w:ascii="Arial" w:hAnsi="Arial" w:cs="Arial"/>
        </w:rPr>
        <w:t xml:space="preserve"> (</w:t>
      </w:r>
      <w:r w:rsidR="000741EF" w:rsidRPr="006C255E">
        <w:rPr>
          <w:rFonts w:ascii="Arial" w:hAnsi="Arial" w:cs="Arial"/>
        </w:rPr>
        <w:t xml:space="preserve">see Appendix </w:t>
      </w:r>
      <w:r w:rsidR="009A3F9A" w:rsidRPr="006C255E">
        <w:rPr>
          <w:rFonts w:ascii="Arial" w:hAnsi="Arial" w:cs="Arial"/>
        </w:rPr>
        <w:t>B</w:t>
      </w:r>
      <w:r w:rsidR="0008040A" w:rsidRPr="006C255E">
        <w:rPr>
          <w:rFonts w:ascii="Arial" w:hAnsi="Arial" w:cs="Arial"/>
        </w:rPr>
        <w:t xml:space="preserve">) </w:t>
      </w:r>
      <w:r w:rsidR="000741EF" w:rsidRPr="006C255E">
        <w:rPr>
          <w:rFonts w:ascii="Arial" w:hAnsi="Arial" w:cs="Arial"/>
        </w:rPr>
        <w:t>and would be looking at replicating this at TRDC.</w:t>
      </w:r>
    </w:p>
    <w:p w:rsidR="00597D23" w:rsidRPr="006C255E" w:rsidRDefault="00025536" w:rsidP="00176400">
      <w:pPr>
        <w:ind w:left="1276" w:hanging="1276"/>
        <w:jc w:val="both"/>
        <w:rPr>
          <w:rFonts w:ascii="Arial" w:hAnsi="Arial" w:cs="Arial"/>
        </w:rPr>
      </w:pPr>
      <w:r w:rsidRPr="006C255E">
        <w:rPr>
          <w:rFonts w:ascii="Arial" w:hAnsi="Arial" w:cs="Arial"/>
        </w:rPr>
        <w:t>2</w:t>
      </w:r>
      <w:r w:rsidR="0055752A" w:rsidRPr="006C255E">
        <w:rPr>
          <w:rFonts w:ascii="Arial" w:hAnsi="Arial" w:cs="Arial"/>
        </w:rPr>
        <w:t>.5.3</w:t>
      </w:r>
      <w:r w:rsidR="00F1068C" w:rsidRPr="006C255E">
        <w:rPr>
          <w:rFonts w:ascii="Arial" w:hAnsi="Arial" w:cs="Arial"/>
        </w:rPr>
        <w:tab/>
      </w:r>
      <w:r w:rsidR="002C00AC" w:rsidRPr="006C255E">
        <w:rPr>
          <w:rFonts w:ascii="Arial" w:hAnsi="Arial" w:cs="Arial"/>
        </w:rPr>
        <w:t>T</w:t>
      </w:r>
      <w:r w:rsidR="00597D23" w:rsidRPr="006C255E">
        <w:rPr>
          <w:rFonts w:ascii="Arial" w:hAnsi="Arial" w:cs="Arial"/>
        </w:rPr>
        <w:t xml:space="preserve">he key details and costs of the HBC response are detailed further below with Officer </w:t>
      </w:r>
      <w:proofErr w:type="gramStart"/>
      <w:r w:rsidR="00597D23" w:rsidRPr="006C255E">
        <w:rPr>
          <w:rFonts w:ascii="Arial" w:hAnsi="Arial" w:cs="Arial"/>
        </w:rPr>
        <w:t>comments</w:t>
      </w:r>
      <w:proofErr w:type="gramEnd"/>
      <w:r w:rsidR="00597D23" w:rsidRPr="006C255E">
        <w:rPr>
          <w:rFonts w:ascii="Arial" w:hAnsi="Arial" w:cs="Arial"/>
        </w:rPr>
        <w:t>.  TRDC Officers have met with Officers from HBC since the receipt of their response to discuss aspects of the specification/offer and to clarify/request further detail.</w:t>
      </w:r>
      <w:r w:rsidR="00F27D6B" w:rsidRPr="006C255E">
        <w:rPr>
          <w:rFonts w:ascii="Arial" w:hAnsi="Arial" w:cs="Arial"/>
        </w:rPr>
        <w:t xml:space="preserve"> </w:t>
      </w:r>
    </w:p>
    <w:p w:rsidR="00025536" w:rsidRPr="006C255E" w:rsidRDefault="0055752A" w:rsidP="00176400">
      <w:pPr>
        <w:ind w:left="1276" w:hanging="1276"/>
        <w:jc w:val="both"/>
        <w:rPr>
          <w:rFonts w:ascii="Arial" w:hAnsi="Arial" w:cs="Arial"/>
        </w:rPr>
      </w:pPr>
      <w:r w:rsidRPr="006C255E">
        <w:rPr>
          <w:rFonts w:ascii="Arial" w:hAnsi="Arial" w:cs="Arial"/>
        </w:rPr>
        <w:t>2.5.4</w:t>
      </w:r>
      <w:r w:rsidR="000021AD" w:rsidRPr="006C255E">
        <w:rPr>
          <w:rFonts w:ascii="Arial" w:hAnsi="Arial" w:cs="Arial"/>
        </w:rPr>
        <w:tab/>
      </w:r>
      <w:r w:rsidR="00025536" w:rsidRPr="006C255E">
        <w:rPr>
          <w:rFonts w:ascii="Arial" w:hAnsi="Arial" w:cs="Arial"/>
        </w:rPr>
        <w:t xml:space="preserve">Whilst the key function of the </w:t>
      </w:r>
      <w:r w:rsidR="00A73DB8" w:rsidRPr="006C255E">
        <w:rPr>
          <w:rFonts w:ascii="Arial" w:hAnsi="Arial" w:cs="Arial"/>
        </w:rPr>
        <w:t xml:space="preserve">HBC CEOs is </w:t>
      </w:r>
      <w:r w:rsidR="00025536" w:rsidRPr="006C255E">
        <w:rPr>
          <w:rFonts w:ascii="Arial" w:hAnsi="Arial" w:cs="Arial"/>
        </w:rPr>
        <w:t xml:space="preserve">to </w:t>
      </w:r>
      <w:r w:rsidR="00A73DB8" w:rsidRPr="006C255E">
        <w:rPr>
          <w:rFonts w:ascii="Arial" w:hAnsi="Arial" w:cs="Arial"/>
        </w:rPr>
        <w:t xml:space="preserve">ensure parking controls are observed and enforced in a fair, accurate and consistent </w:t>
      </w:r>
      <w:r w:rsidRPr="006C255E">
        <w:rPr>
          <w:rFonts w:ascii="Arial" w:hAnsi="Arial" w:cs="Arial"/>
        </w:rPr>
        <w:t>manner their</w:t>
      </w:r>
      <w:r w:rsidR="00A73DB8" w:rsidRPr="006C255E">
        <w:rPr>
          <w:rFonts w:ascii="Arial" w:hAnsi="Arial" w:cs="Arial"/>
        </w:rPr>
        <w:t xml:space="preserve"> duties also require them to help and inform the public and in this respect they are seen as positive additions to the streets and community.  </w:t>
      </w:r>
      <w:r w:rsidRPr="006C255E">
        <w:rPr>
          <w:rFonts w:ascii="Arial" w:hAnsi="Arial" w:cs="Arial"/>
        </w:rPr>
        <w:t xml:space="preserve">HBC places emphasis on this ‘civic ambassador’ role.  </w:t>
      </w:r>
      <w:r w:rsidR="00A73DB8" w:rsidRPr="006C255E">
        <w:rPr>
          <w:rFonts w:ascii="Arial" w:hAnsi="Arial" w:cs="Arial"/>
        </w:rPr>
        <w:t xml:space="preserve">This is not considered </w:t>
      </w:r>
      <w:r w:rsidR="000021AD" w:rsidRPr="006C255E">
        <w:rPr>
          <w:rFonts w:ascii="Arial" w:hAnsi="Arial" w:cs="Arial"/>
        </w:rPr>
        <w:t xml:space="preserve">by HBC </w:t>
      </w:r>
      <w:r w:rsidR="00A73DB8" w:rsidRPr="006C255E">
        <w:rPr>
          <w:rFonts w:ascii="Arial" w:hAnsi="Arial" w:cs="Arial"/>
        </w:rPr>
        <w:t xml:space="preserve">to detract from their </w:t>
      </w:r>
      <w:r w:rsidR="00900BFA" w:rsidRPr="006C255E">
        <w:rPr>
          <w:rFonts w:ascii="Arial" w:hAnsi="Arial" w:cs="Arial"/>
        </w:rPr>
        <w:t>principal duties but is</w:t>
      </w:r>
      <w:r w:rsidR="000021AD" w:rsidRPr="006C255E">
        <w:rPr>
          <w:rFonts w:ascii="Arial" w:hAnsi="Arial" w:cs="Arial"/>
        </w:rPr>
        <w:t xml:space="preserve"> seen as</w:t>
      </w:r>
      <w:r w:rsidR="00900BFA" w:rsidRPr="006C255E">
        <w:rPr>
          <w:rFonts w:ascii="Arial" w:hAnsi="Arial" w:cs="Arial"/>
        </w:rPr>
        <w:t xml:space="preserve"> a comple</w:t>
      </w:r>
      <w:r w:rsidR="00A73DB8" w:rsidRPr="006C255E">
        <w:rPr>
          <w:rFonts w:ascii="Arial" w:hAnsi="Arial" w:cs="Arial"/>
        </w:rPr>
        <w:t xml:space="preserve">mentary part of their role.  This </w:t>
      </w:r>
      <w:r w:rsidR="000021AD" w:rsidRPr="006C255E">
        <w:rPr>
          <w:rFonts w:ascii="Arial" w:hAnsi="Arial" w:cs="Arial"/>
        </w:rPr>
        <w:t xml:space="preserve">role </w:t>
      </w:r>
      <w:r w:rsidR="00A73DB8" w:rsidRPr="006C255E">
        <w:rPr>
          <w:rFonts w:ascii="Arial" w:hAnsi="Arial" w:cs="Arial"/>
        </w:rPr>
        <w:t xml:space="preserve">would be </w:t>
      </w:r>
      <w:r w:rsidR="008423C0" w:rsidRPr="006C255E">
        <w:rPr>
          <w:rFonts w:ascii="Arial" w:hAnsi="Arial" w:cs="Arial"/>
        </w:rPr>
        <w:t xml:space="preserve">repeated in TRDC and is described </w:t>
      </w:r>
      <w:r w:rsidR="008423C0" w:rsidRPr="006C255E">
        <w:rPr>
          <w:rFonts w:ascii="Arial" w:hAnsi="Arial" w:cs="Arial"/>
          <w:b/>
        </w:rPr>
        <w:t>in Appendi</w:t>
      </w:r>
      <w:r w:rsidR="0008040A" w:rsidRPr="006C255E">
        <w:rPr>
          <w:rFonts w:ascii="Arial" w:hAnsi="Arial" w:cs="Arial"/>
          <w:b/>
        </w:rPr>
        <w:t xml:space="preserve">ces </w:t>
      </w:r>
      <w:r w:rsidR="009A3F9A" w:rsidRPr="006C255E">
        <w:rPr>
          <w:rFonts w:ascii="Arial" w:hAnsi="Arial" w:cs="Arial"/>
          <w:b/>
        </w:rPr>
        <w:t>A</w:t>
      </w:r>
      <w:r w:rsidR="0008040A" w:rsidRPr="006C255E">
        <w:rPr>
          <w:rFonts w:ascii="Arial" w:hAnsi="Arial" w:cs="Arial"/>
          <w:b/>
        </w:rPr>
        <w:t xml:space="preserve"> and</w:t>
      </w:r>
      <w:r w:rsidR="008423C0" w:rsidRPr="006C255E">
        <w:rPr>
          <w:rFonts w:ascii="Arial" w:hAnsi="Arial" w:cs="Arial"/>
          <w:b/>
        </w:rPr>
        <w:t xml:space="preserve"> </w:t>
      </w:r>
      <w:r w:rsidR="009A3F9A" w:rsidRPr="006C255E">
        <w:rPr>
          <w:rFonts w:ascii="Arial" w:hAnsi="Arial" w:cs="Arial"/>
          <w:b/>
        </w:rPr>
        <w:t>B</w:t>
      </w:r>
      <w:r w:rsidR="008423C0" w:rsidRPr="006C255E">
        <w:rPr>
          <w:rFonts w:ascii="Arial" w:hAnsi="Arial" w:cs="Arial"/>
        </w:rPr>
        <w:t>.</w:t>
      </w:r>
    </w:p>
    <w:p w:rsidR="00FD0FB8" w:rsidRPr="006C255E" w:rsidRDefault="0055752A" w:rsidP="00176400">
      <w:pPr>
        <w:ind w:left="1276" w:hanging="1276"/>
        <w:jc w:val="both"/>
        <w:rPr>
          <w:rFonts w:ascii="Arial" w:hAnsi="Arial" w:cs="Arial"/>
        </w:rPr>
      </w:pPr>
      <w:r w:rsidRPr="006C255E">
        <w:rPr>
          <w:rFonts w:ascii="Arial" w:hAnsi="Arial" w:cs="Arial"/>
        </w:rPr>
        <w:t>2.5.5</w:t>
      </w:r>
      <w:r w:rsidR="00A73DB8" w:rsidRPr="006C255E">
        <w:rPr>
          <w:rFonts w:ascii="Arial" w:hAnsi="Arial" w:cs="Arial"/>
        </w:rPr>
        <w:tab/>
      </w:r>
      <w:r w:rsidR="00C0396F" w:rsidRPr="006C255E">
        <w:rPr>
          <w:rFonts w:ascii="Arial" w:hAnsi="Arial" w:cs="Arial"/>
        </w:rPr>
        <w:t xml:space="preserve">HBC </w:t>
      </w:r>
      <w:r w:rsidRPr="006C255E">
        <w:rPr>
          <w:rFonts w:ascii="Arial" w:hAnsi="Arial" w:cs="Arial"/>
        </w:rPr>
        <w:t>proposes</w:t>
      </w:r>
      <w:r w:rsidR="00A73DB8" w:rsidRPr="006C255E">
        <w:rPr>
          <w:rFonts w:ascii="Arial" w:hAnsi="Arial" w:cs="Arial"/>
        </w:rPr>
        <w:t xml:space="preserve"> </w:t>
      </w:r>
      <w:r w:rsidR="00F1068C" w:rsidRPr="006C255E">
        <w:rPr>
          <w:rFonts w:ascii="Arial" w:hAnsi="Arial" w:cs="Arial"/>
        </w:rPr>
        <w:t xml:space="preserve">a </w:t>
      </w:r>
      <w:r w:rsidR="000021AD" w:rsidRPr="006C255E">
        <w:rPr>
          <w:rFonts w:ascii="Arial" w:hAnsi="Arial" w:cs="Arial"/>
        </w:rPr>
        <w:t>Rickmansworth-</w:t>
      </w:r>
      <w:r w:rsidR="00C0396F" w:rsidRPr="006C255E">
        <w:rPr>
          <w:rFonts w:ascii="Arial" w:hAnsi="Arial" w:cs="Arial"/>
        </w:rPr>
        <w:t xml:space="preserve">based </w:t>
      </w:r>
      <w:r w:rsidR="00F1068C" w:rsidRPr="006C255E">
        <w:rPr>
          <w:rFonts w:ascii="Arial" w:hAnsi="Arial" w:cs="Arial"/>
        </w:rPr>
        <w:t>CEO team, dedicated solely to TRDC, with shared back</w:t>
      </w:r>
      <w:r w:rsidR="000021AD" w:rsidRPr="006C255E">
        <w:rPr>
          <w:rFonts w:ascii="Arial" w:hAnsi="Arial" w:cs="Arial"/>
        </w:rPr>
        <w:t>-</w:t>
      </w:r>
      <w:r w:rsidR="00F1068C" w:rsidRPr="006C255E">
        <w:rPr>
          <w:rFonts w:ascii="Arial" w:hAnsi="Arial" w:cs="Arial"/>
        </w:rPr>
        <w:t xml:space="preserve">office </w:t>
      </w:r>
      <w:r w:rsidR="00496555" w:rsidRPr="006C255E">
        <w:rPr>
          <w:rFonts w:ascii="Arial" w:hAnsi="Arial" w:cs="Arial"/>
        </w:rPr>
        <w:t xml:space="preserve">processing. There is more detail set out in the discussion below in sections 2.6.4 to 2.6.8. </w:t>
      </w:r>
    </w:p>
    <w:p w:rsidR="00025536" w:rsidRPr="006C255E" w:rsidRDefault="007C7D17" w:rsidP="00176400">
      <w:pPr>
        <w:spacing w:line="240" w:lineRule="auto"/>
        <w:ind w:left="1276" w:hanging="1276"/>
        <w:jc w:val="both"/>
        <w:rPr>
          <w:rFonts w:ascii="Arial" w:hAnsi="Arial" w:cs="Arial"/>
          <w:b/>
          <w:color w:val="000000" w:themeColor="text1"/>
        </w:rPr>
      </w:pPr>
      <w:r w:rsidRPr="006C255E">
        <w:rPr>
          <w:rFonts w:ascii="Arial" w:hAnsi="Arial" w:cs="Arial"/>
          <w:b/>
          <w:color w:val="000000" w:themeColor="text1"/>
        </w:rPr>
        <w:t>2.6</w:t>
      </w:r>
      <w:r w:rsidRPr="006C255E">
        <w:rPr>
          <w:rFonts w:ascii="Arial" w:hAnsi="Arial" w:cs="Arial"/>
          <w:b/>
          <w:color w:val="000000" w:themeColor="text1"/>
        </w:rPr>
        <w:tab/>
      </w:r>
      <w:r w:rsidR="00025536" w:rsidRPr="009B6816">
        <w:rPr>
          <w:rFonts w:ascii="Arial" w:hAnsi="Arial" w:cs="Arial"/>
          <w:b/>
          <w:i/>
          <w:color w:val="000000" w:themeColor="text1"/>
        </w:rPr>
        <w:t>Comparison of existing Service and HBC proposal (July 2017)</w:t>
      </w:r>
    </w:p>
    <w:p w:rsidR="008423C0" w:rsidRPr="006C255E" w:rsidRDefault="0055752A" w:rsidP="00176400">
      <w:pPr>
        <w:spacing w:line="240" w:lineRule="auto"/>
        <w:ind w:left="1276" w:hanging="1276"/>
        <w:jc w:val="both"/>
        <w:rPr>
          <w:rFonts w:ascii="Arial" w:hAnsi="Arial" w:cs="Arial"/>
          <w:b/>
          <w:color w:val="000000" w:themeColor="text1"/>
        </w:rPr>
      </w:pPr>
      <w:r w:rsidRPr="006C255E">
        <w:rPr>
          <w:rFonts w:ascii="Arial" w:hAnsi="Arial" w:cs="Arial"/>
          <w:color w:val="000000" w:themeColor="text1"/>
        </w:rPr>
        <w:t>2.6.1</w:t>
      </w:r>
      <w:r w:rsidR="008423C0" w:rsidRPr="006C255E">
        <w:rPr>
          <w:rFonts w:ascii="Arial" w:hAnsi="Arial" w:cs="Arial"/>
          <w:color w:val="000000" w:themeColor="text1"/>
        </w:rPr>
        <w:tab/>
      </w:r>
      <w:r w:rsidR="00D91534" w:rsidRPr="006C255E">
        <w:rPr>
          <w:rFonts w:ascii="Arial" w:hAnsi="Arial" w:cs="Arial"/>
          <w:color w:val="000000" w:themeColor="text1"/>
        </w:rPr>
        <w:t xml:space="preserve">The HBC proposal is set out in Appendices </w:t>
      </w:r>
      <w:r w:rsidR="009A3F9A" w:rsidRPr="006C255E">
        <w:rPr>
          <w:rFonts w:ascii="Arial" w:hAnsi="Arial" w:cs="Arial"/>
          <w:color w:val="000000" w:themeColor="text1"/>
        </w:rPr>
        <w:t>A</w:t>
      </w:r>
      <w:r w:rsidR="0008040A" w:rsidRPr="006C255E">
        <w:rPr>
          <w:rFonts w:ascii="Arial" w:hAnsi="Arial" w:cs="Arial"/>
          <w:color w:val="000000" w:themeColor="text1"/>
        </w:rPr>
        <w:t>,</w:t>
      </w:r>
      <w:r w:rsidR="00D91534" w:rsidRPr="006C255E">
        <w:rPr>
          <w:rFonts w:ascii="Arial" w:hAnsi="Arial" w:cs="Arial"/>
          <w:color w:val="000000" w:themeColor="text1"/>
        </w:rPr>
        <w:t xml:space="preserve"> </w:t>
      </w:r>
      <w:r w:rsidR="009A3F9A" w:rsidRPr="006C255E">
        <w:rPr>
          <w:rFonts w:ascii="Arial" w:hAnsi="Arial" w:cs="Arial"/>
          <w:color w:val="000000" w:themeColor="text1"/>
        </w:rPr>
        <w:t>B</w:t>
      </w:r>
      <w:r w:rsidR="0008040A" w:rsidRPr="006C255E">
        <w:rPr>
          <w:rFonts w:ascii="Arial" w:hAnsi="Arial" w:cs="Arial"/>
          <w:color w:val="000000" w:themeColor="text1"/>
        </w:rPr>
        <w:t xml:space="preserve">, </w:t>
      </w:r>
      <w:r w:rsidR="009A3F9A" w:rsidRPr="006C255E">
        <w:rPr>
          <w:rFonts w:ascii="Arial" w:hAnsi="Arial" w:cs="Arial"/>
          <w:color w:val="000000" w:themeColor="text1"/>
        </w:rPr>
        <w:t>C</w:t>
      </w:r>
      <w:r w:rsidR="0008040A" w:rsidRPr="006C255E">
        <w:rPr>
          <w:rFonts w:ascii="Arial" w:hAnsi="Arial" w:cs="Arial"/>
          <w:color w:val="000000" w:themeColor="text1"/>
        </w:rPr>
        <w:t xml:space="preserve"> and </w:t>
      </w:r>
      <w:r w:rsidR="009A3F9A" w:rsidRPr="006C255E">
        <w:rPr>
          <w:rFonts w:ascii="Arial" w:hAnsi="Arial" w:cs="Arial"/>
          <w:color w:val="000000" w:themeColor="text1"/>
        </w:rPr>
        <w:t>D</w:t>
      </w:r>
      <w:r w:rsidR="00D91534" w:rsidRPr="006C255E">
        <w:rPr>
          <w:rFonts w:ascii="Arial" w:hAnsi="Arial" w:cs="Arial"/>
          <w:color w:val="000000" w:themeColor="text1"/>
        </w:rPr>
        <w:t xml:space="preserve">. </w:t>
      </w:r>
      <w:r w:rsidR="008423C0" w:rsidRPr="006C255E">
        <w:rPr>
          <w:rFonts w:ascii="Arial" w:hAnsi="Arial" w:cs="Arial"/>
          <w:color w:val="000000" w:themeColor="text1"/>
        </w:rPr>
        <w:t xml:space="preserve"> </w:t>
      </w:r>
    </w:p>
    <w:p w:rsidR="00202B8F" w:rsidRPr="006C255E" w:rsidRDefault="0055752A" w:rsidP="00176400">
      <w:pPr>
        <w:ind w:left="1276" w:hanging="1276"/>
        <w:jc w:val="both"/>
        <w:rPr>
          <w:rFonts w:ascii="Arial" w:hAnsi="Arial" w:cs="Arial"/>
          <w:color w:val="4F81BD" w:themeColor="accent1"/>
        </w:rPr>
      </w:pPr>
      <w:r w:rsidRPr="006C255E">
        <w:rPr>
          <w:rFonts w:ascii="Arial" w:hAnsi="Arial" w:cs="Arial"/>
        </w:rPr>
        <w:t>2.6.2</w:t>
      </w:r>
      <w:r w:rsidR="00FD0FB8" w:rsidRPr="006C255E">
        <w:rPr>
          <w:rFonts w:ascii="Arial" w:hAnsi="Arial" w:cs="Arial"/>
        </w:rPr>
        <w:tab/>
      </w:r>
      <w:r w:rsidR="002C00AC" w:rsidRPr="006C255E">
        <w:rPr>
          <w:rFonts w:ascii="Arial" w:hAnsi="Arial" w:cs="Arial"/>
        </w:rPr>
        <w:t>The</w:t>
      </w:r>
      <w:r w:rsidR="00202B8F" w:rsidRPr="006C255E">
        <w:rPr>
          <w:rFonts w:ascii="Arial" w:hAnsi="Arial" w:cs="Arial"/>
        </w:rPr>
        <w:t xml:space="preserve"> parking service would </w:t>
      </w:r>
      <w:r w:rsidR="008E4FF6" w:rsidRPr="006C255E">
        <w:rPr>
          <w:rFonts w:ascii="Arial" w:hAnsi="Arial" w:cs="Arial"/>
        </w:rPr>
        <w:t xml:space="preserve">be transferred to the Lead Authority rather than through </w:t>
      </w:r>
      <w:r w:rsidR="00FD7C29" w:rsidRPr="006C255E">
        <w:rPr>
          <w:rFonts w:ascii="Arial" w:hAnsi="Arial" w:cs="Arial"/>
        </w:rPr>
        <w:t>a</w:t>
      </w:r>
      <w:r w:rsidR="00202B8F" w:rsidRPr="006C255E">
        <w:rPr>
          <w:rFonts w:ascii="Arial" w:hAnsi="Arial" w:cs="Arial"/>
        </w:rPr>
        <w:t xml:space="preserve"> </w:t>
      </w:r>
      <w:r w:rsidR="008E4FF6" w:rsidRPr="006C255E">
        <w:rPr>
          <w:rFonts w:ascii="Arial" w:hAnsi="Arial" w:cs="Arial"/>
        </w:rPr>
        <w:t>contractual arrangement.</w:t>
      </w:r>
      <w:r w:rsidR="00202B8F" w:rsidRPr="006C255E">
        <w:rPr>
          <w:rFonts w:ascii="Arial" w:hAnsi="Arial" w:cs="Arial"/>
        </w:rPr>
        <w:t xml:space="preserve"> TRDC would still retain a </w:t>
      </w:r>
      <w:r w:rsidR="009A3F9A" w:rsidRPr="006C255E">
        <w:rPr>
          <w:rFonts w:ascii="Arial" w:hAnsi="Arial" w:cs="Arial"/>
        </w:rPr>
        <w:t xml:space="preserve">good </w:t>
      </w:r>
      <w:r w:rsidR="00202B8F" w:rsidRPr="006C255E">
        <w:rPr>
          <w:rFonts w:ascii="Arial" w:hAnsi="Arial" w:cs="Arial"/>
        </w:rPr>
        <w:t>level of control over the service through agreed reporting/reg</w:t>
      </w:r>
      <w:r w:rsidR="008E4FF6" w:rsidRPr="006C255E">
        <w:rPr>
          <w:rFonts w:ascii="Arial" w:hAnsi="Arial" w:cs="Arial"/>
        </w:rPr>
        <w:t xml:space="preserve">ular meetings and KPIs.  In addition there will be regular </w:t>
      </w:r>
      <w:r w:rsidR="00202B8F" w:rsidRPr="006C255E">
        <w:rPr>
          <w:rFonts w:ascii="Arial" w:hAnsi="Arial" w:cs="Arial"/>
        </w:rPr>
        <w:t>‘</w:t>
      </w:r>
      <w:r w:rsidR="008E4FF6" w:rsidRPr="006C255E">
        <w:rPr>
          <w:rFonts w:ascii="Arial" w:hAnsi="Arial" w:cs="Arial"/>
        </w:rPr>
        <w:t xml:space="preserve">public </w:t>
      </w:r>
      <w:r w:rsidR="00202B8F" w:rsidRPr="006C255E">
        <w:rPr>
          <w:rFonts w:ascii="Arial" w:hAnsi="Arial" w:cs="Arial"/>
        </w:rPr>
        <w:t xml:space="preserve">parking surgeries’ </w:t>
      </w:r>
      <w:r w:rsidR="008E4FF6" w:rsidRPr="006C255E">
        <w:rPr>
          <w:rFonts w:ascii="Arial" w:hAnsi="Arial" w:cs="Arial"/>
        </w:rPr>
        <w:t xml:space="preserve">held </w:t>
      </w:r>
      <w:r w:rsidR="0089406D" w:rsidRPr="006C255E">
        <w:rPr>
          <w:rFonts w:ascii="Arial" w:hAnsi="Arial" w:cs="Arial"/>
        </w:rPr>
        <w:t xml:space="preserve">by HBC </w:t>
      </w:r>
      <w:r w:rsidR="00202B8F" w:rsidRPr="006C255E">
        <w:rPr>
          <w:rFonts w:ascii="Arial" w:hAnsi="Arial" w:cs="Arial"/>
        </w:rPr>
        <w:t xml:space="preserve">at </w:t>
      </w:r>
      <w:r w:rsidR="0089406D" w:rsidRPr="006C255E">
        <w:rPr>
          <w:rFonts w:ascii="Arial" w:hAnsi="Arial" w:cs="Arial"/>
        </w:rPr>
        <w:t xml:space="preserve">the </w:t>
      </w:r>
      <w:r w:rsidR="00202B8F" w:rsidRPr="006C255E">
        <w:rPr>
          <w:rFonts w:ascii="Arial" w:hAnsi="Arial" w:cs="Arial"/>
        </w:rPr>
        <w:t>TRDC</w:t>
      </w:r>
      <w:r w:rsidR="008E4FF6" w:rsidRPr="006C255E">
        <w:rPr>
          <w:rFonts w:ascii="Arial" w:hAnsi="Arial" w:cs="Arial"/>
        </w:rPr>
        <w:t xml:space="preserve"> offices. </w:t>
      </w:r>
      <w:r w:rsidR="00202B8F" w:rsidRPr="006C255E">
        <w:rPr>
          <w:rFonts w:ascii="Arial" w:hAnsi="Arial" w:cs="Arial"/>
        </w:rPr>
        <w:t>HBC would have responsibility for the whole back-office function</w:t>
      </w:r>
      <w:r w:rsidR="008E4FF6" w:rsidRPr="006C255E">
        <w:rPr>
          <w:rFonts w:ascii="Arial" w:hAnsi="Arial" w:cs="Arial"/>
        </w:rPr>
        <w:t xml:space="preserve">, and </w:t>
      </w:r>
      <w:r w:rsidR="0089406D" w:rsidRPr="006C255E">
        <w:rPr>
          <w:rFonts w:ascii="Arial" w:hAnsi="Arial" w:cs="Arial"/>
        </w:rPr>
        <w:t>would</w:t>
      </w:r>
      <w:r w:rsidR="008E4FF6" w:rsidRPr="006C255E">
        <w:rPr>
          <w:rFonts w:ascii="Arial" w:hAnsi="Arial" w:cs="Arial"/>
        </w:rPr>
        <w:t xml:space="preserve"> be based at their offices in Borehamwood, including the dedicated TRDC Representation Officer.  </w:t>
      </w:r>
      <w:r w:rsidR="0089406D" w:rsidRPr="006C255E">
        <w:rPr>
          <w:rFonts w:ascii="Arial" w:hAnsi="Arial" w:cs="Arial"/>
        </w:rPr>
        <w:t>However t</w:t>
      </w:r>
      <w:r w:rsidR="008E4FF6" w:rsidRPr="006C255E">
        <w:rPr>
          <w:rFonts w:ascii="Arial" w:hAnsi="Arial" w:cs="Arial"/>
        </w:rPr>
        <w:t>he dedicated TRDC CEOs and supervisor will be based at the TRDC offices in Rickmansworth.</w:t>
      </w:r>
      <w:r w:rsidR="0089406D" w:rsidRPr="006C255E">
        <w:rPr>
          <w:rFonts w:ascii="Arial" w:hAnsi="Arial" w:cs="Arial"/>
        </w:rPr>
        <w:t xml:space="preserve"> Although enquires can be made directly to Borehamwood, i</w:t>
      </w:r>
      <w:r w:rsidR="008E4FF6" w:rsidRPr="006C255E">
        <w:rPr>
          <w:rFonts w:ascii="Arial" w:hAnsi="Arial" w:cs="Arial"/>
        </w:rPr>
        <w:t xml:space="preserve">nitial contact can </w:t>
      </w:r>
      <w:r w:rsidR="0089406D" w:rsidRPr="006C255E">
        <w:rPr>
          <w:rFonts w:ascii="Arial" w:hAnsi="Arial" w:cs="Arial"/>
        </w:rPr>
        <w:t>also</w:t>
      </w:r>
      <w:r w:rsidR="008E4FF6" w:rsidRPr="006C255E">
        <w:rPr>
          <w:rFonts w:ascii="Arial" w:hAnsi="Arial" w:cs="Arial"/>
        </w:rPr>
        <w:t xml:space="preserve"> be made via </w:t>
      </w:r>
      <w:r w:rsidR="0089406D" w:rsidRPr="006C255E">
        <w:rPr>
          <w:rFonts w:ascii="Arial" w:hAnsi="Arial" w:cs="Arial"/>
        </w:rPr>
        <w:t xml:space="preserve">the </w:t>
      </w:r>
      <w:r w:rsidR="00202B8F" w:rsidRPr="006C255E">
        <w:rPr>
          <w:rFonts w:ascii="Arial" w:hAnsi="Arial" w:cs="Arial"/>
        </w:rPr>
        <w:t xml:space="preserve">Customer Services </w:t>
      </w:r>
      <w:r w:rsidR="0089406D" w:rsidRPr="006C255E">
        <w:rPr>
          <w:rFonts w:ascii="Arial" w:hAnsi="Arial" w:cs="Arial"/>
        </w:rPr>
        <w:t xml:space="preserve">team </w:t>
      </w:r>
      <w:r w:rsidR="008E4FF6" w:rsidRPr="006C255E">
        <w:rPr>
          <w:rFonts w:ascii="Arial" w:hAnsi="Arial" w:cs="Arial"/>
        </w:rPr>
        <w:t>at TRDC</w:t>
      </w:r>
      <w:r w:rsidR="00202B8F" w:rsidRPr="006C255E">
        <w:rPr>
          <w:rFonts w:ascii="Arial" w:hAnsi="Arial" w:cs="Arial"/>
          <w:color w:val="4F81BD" w:themeColor="accent1"/>
        </w:rPr>
        <w:t xml:space="preserve">. </w:t>
      </w:r>
    </w:p>
    <w:p w:rsidR="005F68D9" w:rsidRPr="009B6816" w:rsidRDefault="002C00AC" w:rsidP="007710C4">
      <w:pPr>
        <w:ind w:left="556" w:firstLine="720"/>
        <w:rPr>
          <w:rFonts w:ascii="Arial" w:hAnsi="Arial" w:cs="Arial"/>
          <w:b/>
          <w:i/>
        </w:rPr>
      </w:pPr>
      <w:r w:rsidRPr="006C255E">
        <w:rPr>
          <w:rFonts w:ascii="Arial" w:hAnsi="Arial" w:cs="Arial"/>
          <w:b/>
        </w:rPr>
        <w:br w:type="page"/>
      </w:r>
      <w:r w:rsidR="005F68D9" w:rsidRPr="009B6816">
        <w:rPr>
          <w:rFonts w:ascii="Arial" w:hAnsi="Arial" w:cs="Arial"/>
          <w:b/>
          <w:i/>
        </w:rPr>
        <w:lastRenderedPageBreak/>
        <w:t>Traffic Engineer</w:t>
      </w:r>
    </w:p>
    <w:p w:rsidR="00850FB3" w:rsidRPr="006C255E" w:rsidRDefault="0055752A" w:rsidP="00176400">
      <w:pPr>
        <w:ind w:left="1276" w:hanging="1276"/>
        <w:jc w:val="both"/>
        <w:rPr>
          <w:rFonts w:ascii="Arial" w:hAnsi="Arial" w:cs="Arial"/>
        </w:rPr>
      </w:pPr>
      <w:r w:rsidRPr="006C255E">
        <w:rPr>
          <w:rFonts w:ascii="Arial" w:hAnsi="Arial" w:cs="Arial"/>
        </w:rPr>
        <w:t>2.6.</w:t>
      </w:r>
      <w:r w:rsidR="00F4289F" w:rsidRPr="006C255E">
        <w:rPr>
          <w:rFonts w:ascii="Arial" w:hAnsi="Arial" w:cs="Arial"/>
        </w:rPr>
        <w:t>3</w:t>
      </w:r>
      <w:r w:rsidR="00F4289F" w:rsidRPr="006C255E">
        <w:rPr>
          <w:rFonts w:ascii="Arial" w:hAnsi="Arial" w:cs="Arial"/>
        </w:rPr>
        <w:tab/>
      </w:r>
      <w:r w:rsidR="002C00AC" w:rsidRPr="006C255E">
        <w:rPr>
          <w:rFonts w:ascii="Arial" w:hAnsi="Arial" w:cs="Arial"/>
        </w:rPr>
        <w:t xml:space="preserve">TRDC </w:t>
      </w:r>
      <w:r w:rsidR="008E4FF6" w:rsidRPr="006C255E">
        <w:rPr>
          <w:rFonts w:ascii="Arial" w:hAnsi="Arial" w:cs="Arial"/>
        </w:rPr>
        <w:t>currently operates a 3 day a week</w:t>
      </w:r>
      <w:r w:rsidR="00850FB3" w:rsidRPr="006C255E">
        <w:rPr>
          <w:rFonts w:ascii="Arial" w:hAnsi="Arial" w:cs="Arial"/>
        </w:rPr>
        <w:t xml:space="preserve"> traffic engineer</w:t>
      </w:r>
      <w:r w:rsidR="008E4FF6" w:rsidRPr="006C255E">
        <w:rPr>
          <w:rFonts w:ascii="Arial" w:hAnsi="Arial" w:cs="Arial"/>
        </w:rPr>
        <w:t xml:space="preserve"> role and currently uses the</w:t>
      </w:r>
      <w:r w:rsidR="00F27D6B" w:rsidRPr="006C255E">
        <w:rPr>
          <w:rFonts w:ascii="Arial" w:hAnsi="Arial" w:cs="Arial"/>
        </w:rPr>
        <w:t xml:space="preserve"> qualified and experienced</w:t>
      </w:r>
      <w:r w:rsidR="008E4FF6" w:rsidRPr="006C255E">
        <w:rPr>
          <w:rFonts w:ascii="Arial" w:hAnsi="Arial" w:cs="Arial"/>
        </w:rPr>
        <w:t xml:space="preserve"> HBC Traffic Engineer for 2 days a week under an informal agreement. </w:t>
      </w:r>
      <w:r w:rsidR="00850FB3" w:rsidRPr="006C255E">
        <w:rPr>
          <w:rFonts w:ascii="Arial" w:hAnsi="Arial" w:cs="Arial"/>
        </w:rPr>
        <w:t>Under the proposal, traffic engineering services will be provided by HBC</w:t>
      </w:r>
      <w:r w:rsidR="00F27D6B" w:rsidRPr="006C255E">
        <w:rPr>
          <w:rFonts w:ascii="Arial" w:hAnsi="Arial" w:cs="Arial"/>
        </w:rPr>
        <w:t xml:space="preserve"> using </w:t>
      </w:r>
      <w:r w:rsidR="00153558" w:rsidRPr="006C255E">
        <w:rPr>
          <w:rFonts w:ascii="Arial" w:hAnsi="Arial" w:cs="Arial"/>
        </w:rPr>
        <w:t>qualitied</w:t>
      </w:r>
      <w:r w:rsidR="00F27D6B" w:rsidRPr="006C255E">
        <w:rPr>
          <w:rFonts w:ascii="Arial" w:hAnsi="Arial" w:cs="Arial"/>
        </w:rPr>
        <w:t xml:space="preserve"> and experienced traffic engineers</w:t>
      </w:r>
      <w:r w:rsidR="00850FB3" w:rsidRPr="006C255E">
        <w:rPr>
          <w:rFonts w:ascii="Arial" w:hAnsi="Arial" w:cs="Arial"/>
        </w:rPr>
        <w:t>.</w:t>
      </w:r>
      <w:r w:rsidR="00850FB3" w:rsidRPr="006C255E">
        <w:rPr>
          <w:rFonts w:ascii="Arial" w:hAnsi="Arial" w:cs="Arial"/>
          <w:b/>
          <w:sz w:val="20"/>
          <w:szCs w:val="20"/>
        </w:rPr>
        <w:t xml:space="preserve"> </w:t>
      </w:r>
      <w:r w:rsidR="00850FB3" w:rsidRPr="006C255E">
        <w:rPr>
          <w:rFonts w:ascii="Arial" w:hAnsi="Arial" w:cs="Arial"/>
        </w:rPr>
        <w:t xml:space="preserve">The number </w:t>
      </w:r>
      <w:r w:rsidR="007710C4" w:rsidRPr="006C255E">
        <w:rPr>
          <w:rFonts w:ascii="Arial" w:hAnsi="Arial" w:cs="Arial"/>
        </w:rPr>
        <w:t xml:space="preserve">of </w:t>
      </w:r>
      <w:r w:rsidR="00850FB3" w:rsidRPr="006C255E">
        <w:rPr>
          <w:rFonts w:ascii="Arial" w:hAnsi="Arial" w:cs="Arial"/>
        </w:rPr>
        <w:t xml:space="preserve">days the traffic engineer works at TRDC or on TRDC projects will be </w:t>
      </w:r>
      <w:r w:rsidR="00696DF5" w:rsidRPr="006C255E">
        <w:rPr>
          <w:rFonts w:ascii="Arial" w:hAnsi="Arial" w:cs="Arial"/>
        </w:rPr>
        <w:t xml:space="preserve">agreed by TRDC through the agreement with </w:t>
      </w:r>
      <w:r w:rsidR="00850FB3" w:rsidRPr="006C255E">
        <w:rPr>
          <w:rFonts w:ascii="Arial" w:hAnsi="Arial" w:cs="Arial"/>
        </w:rPr>
        <w:t xml:space="preserve">HBC as part of the management of TRDC parking services </w:t>
      </w:r>
      <w:r w:rsidR="00696DF5" w:rsidRPr="006C255E">
        <w:rPr>
          <w:rFonts w:ascii="Arial" w:hAnsi="Arial" w:cs="Arial"/>
        </w:rPr>
        <w:t xml:space="preserve">and </w:t>
      </w:r>
      <w:r w:rsidR="00850FB3" w:rsidRPr="006C255E">
        <w:rPr>
          <w:rFonts w:ascii="Arial" w:hAnsi="Arial" w:cs="Arial"/>
        </w:rPr>
        <w:t>will be "flexe</w:t>
      </w:r>
      <w:r w:rsidR="007710C4" w:rsidRPr="006C255E">
        <w:rPr>
          <w:rFonts w:ascii="Arial" w:hAnsi="Arial" w:cs="Arial"/>
        </w:rPr>
        <w:t>d" to meet service requirements in discussion with the Head of Regulatory Services.</w:t>
      </w:r>
    </w:p>
    <w:p w:rsidR="005F68D9" w:rsidRPr="009B6816" w:rsidRDefault="005F68D9" w:rsidP="00176400">
      <w:pPr>
        <w:ind w:left="1276" w:hanging="1276"/>
        <w:jc w:val="both"/>
        <w:rPr>
          <w:rFonts w:ascii="Arial" w:hAnsi="Arial" w:cs="Arial"/>
          <w:b/>
          <w:i/>
        </w:rPr>
      </w:pPr>
      <w:r w:rsidRPr="009B6816">
        <w:rPr>
          <w:rFonts w:ascii="Arial" w:hAnsi="Arial" w:cs="Arial"/>
          <w:i/>
        </w:rPr>
        <w:tab/>
      </w:r>
      <w:r w:rsidRPr="009B6816">
        <w:rPr>
          <w:rFonts w:ascii="Arial" w:hAnsi="Arial" w:cs="Arial"/>
          <w:b/>
          <w:i/>
        </w:rPr>
        <w:t>Number of Civil Enforcement Officers</w:t>
      </w:r>
    </w:p>
    <w:p w:rsidR="0006523A" w:rsidRPr="006C255E" w:rsidRDefault="00025DCF"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w:t>
      </w:r>
      <w:r w:rsidR="0055752A" w:rsidRPr="006C255E">
        <w:rPr>
          <w:rFonts w:ascii="Arial" w:hAnsi="Arial" w:cs="Arial"/>
          <w:color w:val="000000"/>
        </w:rPr>
        <w:t>6.</w:t>
      </w:r>
      <w:r w:rsidR="008D238A" w:rsidRPr="006C255E">
        <w:rPr>
          <w:rFonts w:ascii="Arial" w:hAnsi="Arial" w:cs="Arial"/>
          <w:color w:val="000000"/>
        </w:rPr>
        <w:t>4</w:t>
      </w:r>
      <w:r w:rsidRPr="006C255E">
        <w:rPr>
          <w:rFonts w:ascii="Arial" w:hAnsi="Arial" w:cs="Arial"/>
          <w:color w:val="000000"/>
        </w:rPr>
        <w:tab/>
        <w:t xml:space="preserve">Members have consistently requested an increased enforcement presence on TRDC streets.  Since the start of the current contract in 2008 there has been a general trend of increased car ownership, additional vehicles on the roads and </w:t>
      </w:r>
      <w:r w:rsidR="000C7A7A" w:rsidRPr="006C255E">
        <w:rPr>
          <w:rFonts w:ascii="Arial" w:hAnsi="Arial" w:cs="Arial"/>
          <w:color w:val="000000"/>
        </w:rPr>
        <w:t xml:space="preserve">the introduction of </w:t>
      </w:r>
      <w:r w:rsidRPr="006C255E">
        <w:rPr>
          <w:rFonts w:ascii="Arial" w:hAnsi="Arial" w:cs="Arial"/>
          <w:color w:val="000000"/>
        </w:rPr>
        <w:t>additional measures and restrictions to manage traffic and parking</w:t>
      </w:r>
      <w:r w:rsidR="005F68D9" w:rsidRPr="006C255E">
        <w:rPr>
          <w:rFonts w:ascii="Arial" w:hAnsi="Arial" w:cs="Arial"/>
          <w:color w:val="000000"/>
        </w:rPr>
        <w:t>, all of which indicate a need for increased enforcement coverage</w:t>
      </w:r>
      <w:r w:rsidR="0055752A" w:rsidRPr="006C255E">
        <w:rPr>
          <w:rFonts w:ascii="Arial" w:hAnsi="Arial" w:cs="Arial"/>
          <w:color w:val="000000"/>
        </w:rPr>
        <w:t>.</w:t>
      </w:r>
      <w:r w:rsidRPr="006C255E">
        <w:rPr>
          <w:rFonts w:ascii="Arial" w:hAnsi="Arial" w:cs="Arial"/>
          <w:color w:val="000000"/>
        </w:rPr>
        <w:t xml:space="preserve"> </w:t>
      </w:r>
      <w:r w:rsidR="001333D5" w:rsidRPr="006C255E">
        <w:rPr>
          <w:rFonts w:ascii="Arial" w:hAnsi="Arial" w:cs="Arial"/>
          <w:color w:val="000000"/>
        </w:rPr>
        <w:t xml:space="preserve">However, the number of CEOs has remained at the level of four </w:t>
      </w:r>
      <w:proofErr w:type="gramStart"/>
      <w:r w:rsidR="001333D5" w:rsidRPr="006C255E">
        <w:rPr>
          <w:rFonts w:ascii="Arial" w:hAnsi="Arial" w:cs="Arial"/>
          <w:color w:val="000000"/>
        </w:rPr>
        <w:t>officers</w:t>
      </w:r>
      <w:proofErr w:type="gramEnd"/>
      <w:r w:rsidR="001333D5" w:rsidRPr="006C255E">
        <w:rPr>
          <w:rFonts w:ascii="Arial" w:hAnsi="Arial" w:cs="Arial"/>
          <w:color w:val="000000"/>
        </w:rPr>
        <w:t xml:space="preserve"> present on-street at any operational time, since the start of the current contract.</w:t>
      </w:r>
    </w:p>
    <w:p w:rsidR="008E4FF6" w:rsidRPr="006C255E" w:rsidRDefault="0055752A" w:rsidP="00176400">
      <w:pPr>
        <w:tabs>
          <w:tab w:val="left" w:pos="0"/>
          <w:tab w:val="left" w:pos="1985"/>
        </w:tabs>
        <w:ind w:left="1276" w:hanging="1276"/>
        <w:jc w:val="both"/>
        <w:rPr>
          <w:rFonts w:ascii="Arial" w:hAnsi="Arial" w:cs="Arial"/>
        </w:rPr>
      </w:pPr>
      <w:r w:rsidRPr="006C255E">
        <w:rPr>
          <w:rFonts w:ascii="Arial" w:hAnsi="Arial" w:cs="Arial"/>
          <w:color w:val="000000"/>
        </w:rPr>
        <w:t>2.6.5</w:t>
      </w:r>
      <w:r w:rsidR="0006523A" w:rsidRPr="006C255E">
        <w:rPr>
          <w:rFonts w:ascii="Arial" w:hAnsi="Arial" w:cs="Arial"/>
          <w:color w:val="000000"/>
        </w:rPr>
        <w:tab/>
      </w:r>
      <w:r w:rsidR="00A50B37" w:rsidRPr="006C255E">
        <w:rPr>
          <w:rFonts w:ascii="Arial" w:hAnsi="Arial" w:cs="Arial"/>
        </w:rPr>
        <w:t xml:space="preserve">The HBC </w:t>
      </w:r>
      <w:r w:rsidR="009F475E" w:rsidRPr="006C255E">
        <w:rPr>
          <w:rFonts w:ascii="Arial" w:hAnsi="Arial" w:cs="Arial"/>
        </w:rPr>
        <w:t xml:space="preserve">parking </w:t>
      </w:r>
      <w:r w:rsidR="008E4FF6" w:rsidRPr="006C255E">
        <w:rPr>
          <w:rFonts w:ascii="Arial" w:hAnsi="Arial" w:cs="Arial"/>
        </w:rPr>
        <w:t xml:space="preserve">proposal provides for 4 CEOs </w:t>
      </w:r>
      <w:r w:rsidR="009F475E" w:rsidRPr="006C255E">
        <w:rPr>
          <w:rFonts w:ascii="Arial" w:hAnsi="Arial" w:cs="Arial"/>
        </w:rPr>
        <w:t>plus a supervisor</w:t>
      </w:r>
      <w:r w:rsidR="008E4FF6" w:rsidRPr="006C255E">
        <w:rPr>
          <w:rFonts w:ascii="Arial" w:hAnsi="Arial" w:cs="Arial"/>
        </w:rPr>
        <w:t>.</w:t>
      </w:r>
      <w:r w:rsidR="009F475E" w:rsidRPr="006C255E">
        <w:rPr>
          <w:rFonts w:ascii="Arial" w:hAnsi="Arial" w:cs="Arial"/>
        </w:rPr>
        <w:t xml:space="preserve"> All CEO’s are electronically tracked in real time to ensure health &amp; safety of the officers as well as aiding an efficient and effective use of resources.  </w:t>
      </w:r>
    </w:p>
    <w:p w:rsidR="008E4FF6" w:rsidRPr="006C255E" w:rsidRDefault="001333D5" w:rsidP="00176400">
      <w:pPr>
        <w:tabs>
          <w:tab w:val="left" w:pos="0"/>
          <w:tab w:val="left" w:pos="1985"/>
        </w:tabs>
        <w:ind w:left="1276" w:hanging="1276"/>
        <w:jc w:val="both"/>
        <w:rPr>
          <w:rFonts w:ascii="Arial" w:hAnsi="Arial" w:cs="Arial"/>
        </w:rPr>
      </w:pPr>
      <w:r w:rsidRPr="006C255E">
        <w:rPr>
          <w:rFonts w:ascii="Arial" w:hAnsi="Arial" w:cs="Arial"/>
          <w:color w:val="4F81BD" w:themeColor="accent1"/>
        </w:rPr>
        <w:t xml:space="preserve"> </w:t>
      </w:r>
      <w:r w:rsidR="003A7029" w:rsidRPr="006C255E">
        <w:rPr>
          <w:rFonts w:ascii="Arial" w:hAnsi="Arial" w:cs="Arial"/>
          <w:color w:val="000000"/>
        </w:rPr>
        <w:t>2.6.6</w:t>
      </w:r>
      <w:r w:rsidR="005F68D9" w:rsidRPr="006C255E">
        <w:rPr>
          <w:rFonts w:ascii="Arial" w:hAnsi="Arial" w:cs="Arial"/>
          <w:color w:val="000000"/>
        </w:rPr>
        <w:tab/>
      </w:r>
      <w:r w:rsidRPr="006C255E">
        <w:rPr>
          <w:rFonts w:ascii="Arial" w:hAnsi="Arial" w:cs="Arial"/>
        </w:rPr>
        <w:t xml:space="preserve">HBC </w:t>
      </w:r>
      <w:r w:rsidR="008E4FF6" w:rsidRPr="006C255E">
        <w:rPr>
          <w:rFonts w:ascii="Arial" w:hAnsi="Arial" w:cs="Arial"/>
        </w:rPr>
        <w:t xml:space="preserve">are of the opinion, based on their existing experience of over 20 years of </w:t>
      </w:r>
      <w:r w:rsidR="00085037" w:rsidRPr="006C255E">
        <w:rPr>
          <w:rFonts w:ascii="Arial" w:hAnsi="Arial" w:cs="Arial"/>
        </w:rPr>
        <w:t>p</w:t>
      </w:r>
      <w:r w:rsidR="008E4FF6" w:rsidRPr="006C255E">
        <w:rPr>
          <w:rFonts w:ascii="Arial" w:hAnsi="Arial" w:cs="Arial"/>
        </w:rPr>
        <w:t xml:space="preserve">arking </w:t>
      </w:r>
      <w:r w:rsidR="00085037" w:rsidRPr="006C255E">
        <w:rPr>
          <w:rFonts w:ascii="Arial" w:hAnsi="Arial" w:cs="Arial"/>
        </w:rPr>
        <w:t>e</w:t>
      </w:r>
      <w:r w:rsidR="008E4FF6" w:rsidRPr="006C255E">
        <w:rPr>
          <w:rFonts w:ascii="Arial" w:hAnsi="Arial" w:cs="Arial"/>
        </w:rPr>
        <w:t xml:space="preserve">nforcement, that 4 </w:t>
      </w:r>
      <w:r w:rsidR="00085037" w:rsidRPr="006C255E">
        <w:rPr>
          <w:rFonts w:ascii="Arial" w:hAnsi="Arial" w:cs="Arial"/>
        </w:rPr>
        <w:t>CEOs and a supervisor</w:t>
      </w:r>
      <w:r w:rsidR="008E4FF6" w:rsidRPr="006C255E">
        <w:rPr>
          <w:rFonts w:ascii="Arial" w:hAnsi="Arial" w:cs="Arial"/>
        </w:rPr>
        <w:t xml:space="preserve"> would be </w:t>
      </w:r>
      <w:r w:rsidR="00085037" w:rsidRPr="006C255E">
        <w:rPr>
          <w:rFonts w:ascii="Arial" w:hAnsi="Arial" w:cs="Arial"/>
        </w:rPr>
        <w:t xml:space="preserve">sufficient </w:t>
      </w:r>
      <w:r w:rsidR="008E4FF6" w:rsidRPr="006C255E">
        <w:rPr>
          <w:rFonts w:ascii="Arial" w:hAnsi="Arial" w:cs="Arial"/>
        </w:rPr>
        <w:t xml:space="preserve">to enforce </w:t>
      </w:r>
      <w:r w:rsidR="00085037" w:rsidRPr="006C255E">
        <w:rPr>
          <w:rFonts w:ascii="Arial" w:hAnsi="Arial" w:cs="Arial"/>
        </w:rPr>
        <w:t xml:space="preserve">the current </w:t>
      </w:r>
      <w:r w:rsidR="008E4FF6" w:rsidRPr="006C255E">
        <w:rPr>
          <w:rFonts w:ascii="Arial" w:hAnsi="Arial" w:cs="Arial"/>
        </w:rPr>
        <w:t xml:space="preserve">parking controls in TRDC and that this would be managed through the deployment plan (which </w:t>
      </w:r>
      <w:r w:rsidR="00085037" w:rsidRPr="006C255E">
        <w:rPr>
          <w:rFonts w:ascii="Arial" w:hAnsi="Arial" w:cs="Arial"/>
        </w:rPr>
        <w:t xml:space="preserve">will be agreed with </w:t>
      </w:r>
      <w:r w:rsidR="008E4FF6" w:rsidRPr="006C255E">
        <w:rPr>
          <w:rFonts w:ascii="Arial" w:hAnsi="Arial" w:cs="Arial"/>
        </w:rPr>
        <w:t xml:space="preserve">TRDC). </w:t>
      </w:r>
      <w:r w:rsidR="007710C4" w:rsidRPr="006C255E">
        <w:rPr>
          <w:rFonts w:ascii="Arial" w:hAnsi="Arial" w:cs="Arial"/>
        </w:rPr>
        <w:t>Members have consistently raised concerns at the current deployment practices of WBC Indigo and it is considered essential that this is adequately addressed.</w:t>
      </w:r>
      <w:r w:rsidR="003A7029" w:rsidRPr="006C255E">
        <w:rPr>
          <w:rFonts w:ascii="Arial" w:hAnsi="Arial" w:cs="Arial"/>
        </w:rPr>
        <w:t xml:space="preserve">  The HBC offer is for a total number of 4 CEOs and not a pool therefore, taking into account annual leave and </w:t>
      </w:r>
      <w:proofErr w:type="gramStart"/>
      <w:r w:rsidR="003A7029" w:rsidRPr="006C255E">
        <w:rPr>
          <w:rFonts w:ascii="Arial" w:hAnsi="Arial" w:cs="Arial"/>
        </w:rPr>
        <w:t>sickness,</w:t>
      </w:r>
      <w:proofErr w:type="gramEnd"/>
      <w:r w:rsidR="003A7029" w:rsidRPr="006C255E">
        <w:rPr>
          <w:rFonts w:ascii="Arial" w:hAnsi="Arial" w:cs="Arial"/>
        </w:rPr>
        <w:t xml:space="preserve"> there will be occasions where there are less than 4 in deployment.</w:t>
      </w:r>
    </w:p>
    <w:p w:rsidR="003A7029" w:rsidRPr="006C255E" w:rsidRDefault="003A7029" w:rsidP="00176400">
      <w:pPr>
        <w:tabs>
          <w:tab w:val="left" w:pos="0"/>
          <w:tab w:val="left" w:pos="1985"/>
        </w:tabs>
        <w:ind w:left="1276" w:hanging="1276"/>
        <w:jc w:val="both"/>
        <w:rPr>
          <w:rFonts w:ascii="Arial" w:hAnsi="Arial" w:cs="Arial"/>
        </w:rPr>
      </w:pPr>
      <w:r w:rsidRPr="006C255E">
        <w:rPr>
          <w:rFonts w:ascii="Arial" w:hAnsi="Arial" w:cs="Arial"/>
          <w:color w:val="000000"/>
        </w:rPr>
        <w:t>2.6.7</w:t>
      </w:r>
      <w:r w:rsidR="001333D5" w:rsidRPr="006C255E">
        <w:rPr>
          <w:rFonts w:ascii="Arial" w:hAnsi="Arial" w:cs="Arial"/>
          <w:color w:val="000000"/>
        </w:rPr>
        <w:tab/>
      </w:r>
      <w:r w:rsidR="002C00AC" w:rsidRPr="006C255E">
        <w:rPr>
          <w:rFonts w:ascii="Arial" w:hAnsi="Arial" w:cs="Arial"/>
        </w:rPr>
        <w:t xml:space="preserve">However </w:t>
      </w:r>
      <w:r w:rsidR="00085037" w:rsidRPr="006C255E">
        <w:rPr>
          <w:rFonts w:ascii="Arial" w:hAnsi="Arial" w:cs="Arial"/>
        </w:rPr>
        <w:t>HBC have confirmed that they are able to offer additional CEOs at a fee of £31,000 annually for each CEO</w:t>
      </w:r>
      <w:r w:rsidR="007710C4" w:rsidRPr="006C255E">
        <w:rPr>
          <w:rFonts w:ascii="Arial" w:hAnsi="Arial" w:cs="Arial"/>
        </w:rPr>
        <w:t xml:space="preserve"> should this be required</w:t>
      </w:r>
      <w:r w:rsidR="00085037" w:rsidRPr="006C255E">
        <w:rPr>
          <w:rFonts w:ascii="Arial" w:hAnsi="Arial" w:cs="Arial"/>
        </w:rPr>
        <w:t>. Members are advised that the provision of an additional CEO will not necessarily increase the number of paid Parking Contravention Notices (PCNs).  The Government intends Civil Parking Enforcement to ensure compliance with parking controls and education of the public.  Legislation requires t</w:t>
      </w:r>
      <w:r w:rsidRPr="006C255E">
        <w:rPr>
          <w:rFonts w:ascii="Arial" w:hAnsi="Arial" w:cs="Arial"/>
        </w:rPr>
        <w:t xml:space="preserve">here is not a financial goal.  </w:t>
      </w:r>
    </w:p>
    <w:p w:rsidR="00191C80" w:rsidRPr="006C255E" w:rsidRDefault="0055752A" w:rsidP="00176400">
      <w:pPr>
        <w:tabs>
          <w:tab w:val="left" w:pos="0"/>
          <w:tab w:val="left" w:pos="1985"/>
        </w:tabs>
        <w:ind w:left="1276" w:hanging="1276"/>
        <w:jc w:val="both"/>
        <w:rPr>
          <w:rFonts w:ascii="Arial" w:hAnsi="Arial" w:cs="Arial"/>
        </w:rPr>
      </w:pPr>
      <w:r w:rsidRPr="006C255E">
        <w:rPr>
          <w:rFonts w:ascii="Arial" w:hAnsi="Arial" w:cs="Arial"/>
        </w:rPr>
        <w:t>2.6.</w:t>
      </w:r>
      <w:r w:rsidR="003A7029" w:rsidRPr="006C255E">
        <w:rPr>
          <w:rFonts w:ascii="Arial" w:hAnsi="Arial" w:cs="Arial"/>
        </w:rPr>
        <w:t>8</w:t>
      </w:r>
      <w:r w:rsidR="00025DCF" w:rsidRPr="006C255E">
        <w:rPr>
          <w:rFonts w:ascii="Arial" w:hAnsi="Arial" w:cs="Arial"/>
        </w:rPr>
        <w:tab/>
      </w:r>
      <w:r w:rsidR="005A760A" w:rsidRPr="006C255E">
        <w:rPr>
          <w:rFonts w:ascii="Arial" w:hAnsi="Arial" w:cs="Arial"/>
        </w:rPr>
        <w:t>A</w:t>
      </w:r>
      <w:r w:rsidR="00191C80" w:rsidRPr="006C255E">
        <w:rPr>
          <w:rFonts w:ascii="Arial" w:hAnsi="Arial" w:cs="Arial"/>
        </w:rPr>
        <w:t xml:space="preserve"> further requirement is the flexibility of any Service Provider to increase CEO presence if a future need arises or to respond to a request for additional cover on a temporary basis. This is a key requirement for TRDC due to the number of regular large community events and the effects of football and other sports matches especially on Sundays. HBC has offered a bespoke option for out-of-hours enforcement</w:t>
      </w:r>
      <w:r w:rsidR="00F27D6B" w:rsidRPr="006C255E">
        <w:rPr>
          <w:rFonts w:ascii="Arial" w:hAnsi="Arial" w:cs="Arial"/>
        </w:rPr>
        <w:t>, which has not</w:t>
      </w:r>
      <w:r w:rsidR="00211F2E" w:rsidRPr="006C255E">
        <w:rPr>
          <w:rFonts w:ascii="Arial" w:hAnsi="Arial" w:cs="Arial"/>
        </w:rPr>
        <w:t xml:space="preserve"> yet</w:t>
      </w:r>
      <w:r w:rsidR="00F27D6B" w:rsidRPr="006C255E">
        <w:rPr>
          <w:rFonts w:ascii="Arial" w:hAnsi="Arial" w:cs="Arial"/>
        </w:rPr>
        <w:t xml:space="preserve"> been detailed.</w:t>
      </w:r>
    </w:p>
    <w:p w:rsidR="003A7029" w:rsidRPr="006C255E" w:rsidRDefault="003A7029" w:rsidP="003249BD">
      <w:pPr>
        <w:tabs>
          <w:tab w:val="left" w:pos="0"/>
          <w:tab w:val="left" w:pos="1985"/>
        </w:tabs>
        <w:ind w:left="1276" w:hanging="1276"/>
        <w:rPr>
          <w:rFonts w:ascii="Arial" w:hAnsi="Arial" w:cs="Arial"/>
          <w:color w:val="000000"/>
        </w:rPr>
      </w:pPr>
    </w:p>
    <w:p w:rsidR="00025DCF" w:rsidRPr="006C255E" w:rsidRDefault="003249BD" w:rsidP="003249BD">
      <w:pPr>
        <w:tabs>
          <w:tab w:val="left" w:pos="0"/>
          <w:tab w:val="left" w:pos="1985"/>
        </w:tabs>
        <w:ind w:left="1276" w:hanging="1276"/>
        <w:rPr>
          <w:rFonts w:ascii="Arial" w:hAnsi="Arial" w:cs="Arial"/>
          <w:color w:val="000000"/>
        </w:rPr>
      </w:pPr>
      <w:r w:rsidRPr="006C255E">
        <w:rPr>
          <w:rFonts w:ascii="Arial" w:hAnsi="Arial" w:cs="Arial"/>
          <w:color w:val="000000"/>
        </w:rPr>
        <w:lastRenderedPageBreak/>
        <w:t>2.7</w:t>
      </w:r>
      <w:r w:rsidR="00025DCF" w:rsidRPr="006C255E">
        <w:rPr>
          <w:rFonts w:ascii="Arial" w:hAnsi="Arial" w:cs="Arial"/>
          <w:color w:val="000000"/>
        </w:rPr>
        <w:tab/>
      </w:r>
      <w:r w:rsidR="0044382A" w:rsidRPr="009B6816">
        <w:rPr>
          <w:rFonts w:ascii="Arial" w:hAnsi="Arial" w:cs="Arial"/>
          <w:b/>
          <w:i/>
          <w:color w:val="000000"/>
        </w:rPr>
        <w:t>P</w:t>
      </w:r>
      <w:r w:rsidR="00025DCF" w:rsidRPr="009B6816">
        <w:rPr>
          <w:rFonts w:ascii="Arial" w:hAnsi="Arial" w:cs="Arial"/>
          <w:b/>
          <w:i/>
          <w:color w:val="000000"/>
        </w:rPr>
        <w:t xml:space="preserve">erformance </w:t>
      </w:r>
      <w:r w:rsidR="0044382A" w:rsidRPr="009B6816">
        <w:rPr>
          <w:rFonts w:ascii="Arial" w:hAnsi="Arial" w:cs="Arial"/>
          <w:b/>
          <w:i/>
          <w:color w:val="000000"/>
        </w:rPr>
        <w:t>Monitoring through measures of performance</w:t>
      </w:r>
    </w:p>
    <w:p w:rsidR="00025DCF" w:rsidRPr="006C255E" w:rsidRDefault="003249BD"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2.7</w:t>
      </w:r>
      <w:r w:rsidR="00025DCF" w:rsidRPr="006C255E">
        <w:rPr>
          <w:rFonts w:ascii="Arial" w:hAnsi="Arial" w:cs="Arial"/>
          <w:color w:val="000000"/>
        </w:rPr>
        <w:t>.1</w:t>
      </w:r>
      <w:r w:rsidR="00025DCF" w:rsidRPr="006C255E">
        <w:rPr>
          <w:rFonts w:ascii="Arial" w:hAnsi="Arial" w:cs="Arial"/>
          <w:color w:val="000000"/>
        </w:rPr>
        <w:tab/>
        <w:t xml:space="preserve">TRDC </w:t>
      </w:r>
      <w:r w:rsidR="0044382A" w:rsidRPr="006C255E">
        <w:rPr>
          <w:rFonts w:ascii="Arial" w:hAnsi="Arial" w:cs="Arial"/>
          <w:color w:val="000000"/>
        </w:rPr>
        <w:t xml:space="preserve">currently </w:t>
      </w:r>
      <w:r w:rsidR="00025DCF" w:rsidRPr="006C255E">
        <w:rPr>
          <w:rFonts w:ascii="Arial" w:hAnsi="Arial" w:cs="Arial"/>
          <w:color w:val="000000"/>
        </w:rPr>
        <w:t xml:space="preserve">receive weekly reports on aspects of the service such as the number of permits issued, the number of PCNs issued and P&amp;D income, and monthly Key Performance Indicator monitoring.  As recommended as good practice by the British Parking Association, TRDC </w:t>
      </w:r>
      <w:r w:rsidR="0044382A" w:rsidRPr="006C255E">
        <w:rPr>
          <w:rFonts w:ascii="Arial" w:hAnsi="Arial" w:cs="Arial"/>
          <w:color w:val="000000"/>
        </w:rPr>
        <w:t>uses</w:t>
      </w:r>
      <w:r w:rsidR="00025DCF" w:rsidRPr="006C255E">
        <w:rPr>
          <w:rFonts w:ascii="Arial" w:hAnsi="Arial" w:cs="Arial"/>
          <w:color w:val="000000"/>
        </w:rPr>
        <w:t xml:space="preserve"> Key Performance Indicators (KPIs).  Based on the achievement of the existing KPIs, CEOs are awarded performance-related pay, which is at a cost of approximately £25</w:t>
      </w:r>
      <w:r w:rsidR="00351985" w:rsidRPr="006C255E">
        <w:rPr>
          <w:rFonts w:ascii="Arial" w:hAnsi="Arial" w:cs="Arial"/>
          <w:color w:val="000000"/>
        </w:rPr>
        <w:t>,000</w:t>
      </w:r>
      <w:r w:rsidR="00025DCF" w:rsidRPr="006C255E">
        <w:rPr>
          <w:rFonts w:ascii="Arial" w:hAnsi="Arial" w:cs="Arial"/>
          <w:color w:val="000000"/>
        </w:rPr>
        <w:t xml:space="preserve"> per annum.  The KPIs are not based on any financial target but on aspects such as hours of de</w:t>
      </w:r>
      <w:r w:rsidR="006B368C" w:rsidRPr="006C255E">
        <w:rPr>
          <w:rFonts w:ascii="Arial" w:hAnsi="Arial" w:cs="Arial"/>
          <w:color w:val="000000"/>
        </w:rPr>
        <w:t>ployment, amount of CEO errors.</w:t>
      </w:r>
    </w:p>
    <w:p w:rsidR="00025DCF" w:rsidRPr="006C255E" w:rsidRDefault="003249BD"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2.7</w:t>
      </w:r>
      <w:r w:rsidR="006B368C" w:rsidRPr="006C255E">
        <w:rPr>
          <w:rFonts w:ascii="Arial" w:hAnsi="Arial" w:cs="Arial"/>
          <w:color w:val="000000"/>
        </w:rPr>
        <w:t>.2</w:t>
      </w:r>
      <w:r w:rsidR="006B368C" w:rsidRPr="006C255E">
        <w:rPr>
          <w:rFonts w:ascii="Arial" w:hAnsi="Arial" w:cs="Arial"/>
          <w:color w:val="000000"/>
        </w:rPr>
        <w:tab/>
        <w:t>The existing KPIs are:</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Coverage of Patrol Requirements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Deployed CEOs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IT</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Customer Services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PCNs cancelled due to CEO error</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Pay and Display</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Initial Training and Accreditation</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Regular Assessments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Notice Processing – PCN Processing</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 xml:space="preserve">Notice processing - Banking </w:t>
      </w:r>
    </w:p>
    <w:p w:rsidR="009B6816" w:rsidRDefault="009B6816" w:rsidP="00176400">
      <w:pPr>
        <w:tabs>
          <w:tab w:val="left" w:pos="0"/>
          <w:tab w:val="left" w:pos="1985"/>
        </w:tabs>
        <w:spacing w:after="0"/>
        <w:ind w:left="1276" w:hanging="1276"/>
        <w:jc w:val="both"/>
        <w:rPr>
          <w:rFonts w:ascii="Arial" w:hAnsi="Arial" w:cs="Arial"/>
          <w:color w:val="000000" w:themeColor="text1"/>
        </w:rPr>
      </w:pPr>
    </w:p>
    <w:p w:rsidR="005E514E" w:rsidRPr="006C255E" w:rsidRDefault="003249BD" w:rsidP="00176400">
      <w:pPr>
        <w:tabs>
          <w:tab w:val="left" w:pos="0"/>
          <w:tab w:val="left" w:pos="1985"/>
        </w:tabs>
        <w:ind w:left="1276" w:hanging="1276"/>
        <w:jc w:val="both"/>
        <w:rPr>
          <w:rFonts w:ascii="Arial" w:hAnsi="Arial" w:cs="Arial"/>
          <w:color w:val="4F81BD" w:themeColor="accent1"/>
        </w:rPr>
      </w:pPr>
      <w:r w:rsidRPr="006C255E">
        <w:rPr>
          <w:rFonts w:ascii="Arial" w:hAnsi="Arial" w:cs="Arial"/>
          <w:color w:val="000000" w:themeColor="text1"/>
        </w:rPr>
        <w:t>2.7</w:t>
      </w:r>
      <w:r w:rsidR="00025DCF" w:rsidRPr="006C255E">
        <w:rPr>
          <w:rFonts w:ascii="Arial" w:hAnsi="Arial" w:cs="Arial"/>
          <w:color w:val="000000" w:themeColor="text1"/>
        </w:rPr>
        <w:t>.3</w:t>
      </w:r>
      <w:r w:rsidR="00025DCF" w:rsidRPr="006C255E">
        <w:rPr>
          <w:rFonts w:ascii="Arial" w:hAnsi="Arial" w:cs="Arial"/>
          <w:color w:val="000000" w:themeColor="text1"/>
        </w:rPr>
        <w:tab/>
      </w:r>
      <w:r w:rsidR="002C00AC" w:rsidRPr="006C255E">
        <w:rPr>
          <w:rFonts w:ascii="Arial" w:hAnsi="Arial" w:cs="Arial"/>
        </w:rPr>
        <w:t>I</w:t>
      </w:r>
      <w:r w:rsidR="00191C80" w:rsidRPr="006C255E">
        <w:rPr>
          <w:rFonts w:ascii="Arial" w:hAnsi="Arial" w:cs="Arial"/>
        </w:rPr>
        <w:t xml:space="preserve">t is recommended by our consultants that we continue to have a number of KPIs in order to monitor the parking enforcement service and these will be discussed with the Service Provider.  The current KPIs proposed by HBC are detailed in Appendix </w:t>
      </w:r>
      <w:r w:rsidR="009A3F9A" w:rsidRPr="006C255E">
        <w:rPr>
          <w:rFonts w:ascii="Arial" w:hAnsi="Arial" w:cs="Arial"/>
        </w:rPr>
        <w:t>B</w:t>
      </w:r>
      <w:r w:rsidR="00FD7C29" w:rsidRPr="006C255E">
        <w:rPr>
          <w:rFonts w:ascii="Arial" w:hAnsi="Arial" w:cs="Arial"/>
        </w:rPr>
        <w:t xml:space="preserve"> </w:t>
      </w:r>
      <w:r w:rsidR="00F27D6B" w:rsidRPr="006C255E">
        <w:rPr>
          <w:rFonts w:ascii="Arial" w:hAnsi="Arial" w:cs="Arial"/>
        </w:rPr>
        <w:t>and are described as indicative.</w:t>
      </w:r>
    </w:p>
    <w:p w:rsidR="00157EEF" w:rsidRPr="006C255E" w:rsidRDefault="00C31081"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2.7.</w:t>
      </w:r>
      <w:r w:rsidR="00D4686B" w:rsidRPr="006C255E">
        <w:rPr>
          <w:rFonts w:ascii="Arial" w:hAnsi="Arial" w:cs="Arial"/>
          <w:color w:val="000000" w:themeColor="text1"/>
        </w:rPr>
        <w:t>4</w:t>
      </w:r>
      <w:r w:rsidRPr="006C255E">
        <w:rPr>
          <w:rFonts w:ascii="Arial" w:hAnsi="Arial" w:cs="Arial"/>
          <w:color w:val="000000" w:themeColor="text1"/>
        </w:rPr>
        <w:tab/>
      </w:r>
      <w:r w:rsidR="00157EEF" w:rsidRPr="006C255E">
        <w:rPr>
          <w:rFonts w:ascii="Arial" w:hAnsi="Arial" w:cs="Arial"/>
          <w:color w:val="000000" w:themeColor="text1"/>
        </w:rPr>
        <w:t xml:space="preserve">TRDC want to allow assessment of the service provided rather than of individuals, which HBCs measures monitor.  Suggested KPIs have been categorised as follows: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Effective parking enforcement</w:t>
      </w:r>
      <w:r w:rsidRPr="006C255E">
        <w:rPr>
          <w:rFonts w:ascii="Arial" w:hAnsi="Arial" w:cs="Arial"/>
          <w:color w:val="000000" w:themeColor="text1"/>
        </w:rPr>
        <w:t xml:space="preserve"> - achieved of the agreed deployment plan, availability and response of rapid response unit, P&amp;D machine maintenance, sign and line maintenance.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Good quality, motivated and informed CEOs</w:t>
      </w:r>
      <w:r w:rsidRPr="006C255E">
        <w:rPr>
          <w:rFonts w:ascii="Arial" w:hAnsi="Arial" w:cs="Arial"/>
          <w:color w:val="000000" w:themeColor="text1"/>
        </w:rPr>
        <w:t xml:space="preserve"> – training of CEOs, complaint handling.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Issue of good quality PCNs</w:t>
      </w:r>
      <w:r w:rsidRPr="006C255E">
        <w:rPr>
          <w:rFonts w:ascii="Arial" w:hAnsi="Arial" w:cs="Arial"/>
          <w:color w:val="000000" w:themeColor="text1"/>
        </w:rPr>
        <w:t xml:space="preserve"> - number of cancelled PCNs.</w:t>
      </w:r>
    </w:p>
    <w:p w:rsidR="00025DCF" w:rsidRPr="006C255E" w:rsidRDefault="003249BD" w:rsidP="00176400">
      <w:pPr>
        <w:tabs>
          <w:tab w:val="left" w:pos="0"/>
          <w:tab w:val="left" w:pos="1985"/>
        </w:tabs>
        <w:ind w:left="1276" w:hanging="1276"/>
        <w:jc w:val="both"/>
        <w:rPr>
          <w:rFonts w:ascii="Arial" w:hAnsi="Arial" w:cs="Arial"/>
          <w:i/>
          <w:color w:val="000000"/>
        </w:rPr>
      </w:pPr>
      <w:r w:rsidRPr="006C255E">
        <w:rPr>
          <w:rFonts w:ascii="Arial" w:hAnsi="Arial" w:cs="Arial"/>
          <w:color w:val="000000"/>
        </w:rPr>
        <w:t>2.8</w:t>
      </w:r>
      <w:r w:rsidR="00113A9F">
        <w:rPr>
          <w:rFonts w:ascii="Arial" w:hAnsi="Arial" w:cs="Arial"/>
          <w:color w:val="000000"/>
        </w:rPr>
        <w:tab/>
      </w:r>
      <w:r w:rsidR="00025DCF" w:rsidRPr="009B6816">
        <w:rPr>
          <w:rFonts w:ascii="Arial" w:hAnsi="Arial" w:cs="Arial"/>
          <w:b/>
          <w:i/>
          <w:color w:val="000000"/>
        </w:rPr>
        <w:t>Other Matters</w:t>
      </w:r>
      <w:r w:rsidR="00443922" w:rsidRPr="009B6816">
        <w:rPr>
          <w:rFonts w:ascii="Arial" w:hAnsi="Arial" w:cs="Arial"/>
          <w:b/>
          <w:i/>
          <w:color w:val="000000"/>
        </w:rPr>
        <w:t>: Contract Period and Additional Fees for increased revenue</w:t>
      </w:r>
    </w:p>
    <w:p w:rsidR="00351985" w:rsidRPr="006C255E" w:rsidRDefault="006B368C"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2.8</w:t>
      </w:r>
      <w:r w:rsidR="00025DCF" w:rsidRPr="006C255E">
        <w:rPr>
          <w:rFonts w:ascii="Arial" w:hAnsi="Arial" w:cs="Arial"/>
          <w:color w:val="000000"/>
        </w:rPr>
        <w:t>.1</w:t>
      </w:r>
      <w:r w:rsidR="00025DCF" w:rsidRPr="006C255E">
        <w:rPr>
          <w:rFonts w:ascii="Arial" w:hAnsi="Arial" w:cs="Arial"/>
          <w:color w:val="000000"/>
        </w:rPr>
        <w:tab/>
        <w:t xml:space="preserve">The existing contract was negotiated for 10 years with a break clause after 5 years.  </w:t>
      </w:r>
    </w:p>
    <w:p w:rsidR="005E514E" w:rsidRPr="006C255E" w:rsidRDefault="00BB27B9" w:rsidP="00176400">
      <w:pPr>
        <w:tabs>
          <w:tab w:val="left" w:pos="0"/>
          <w:tab w:val="left" w:pos="1985"/>
        </w:tabs>
        <w:ind w:left="1276" w:hanging="1276"/>
        <w:jc w:val="both"/>
        <w:rPr>
          <w:rFonts w:ascii="Arial" w:hAnsi="Arial" w:cs="Arial"/>
        </w:rPr>
      </w:pPr>
      <w:r w:rsidRPr="006C255E">
        <w:rPr>
          <w:rFonts w:ascii="Arial" w:hAnsi="Arial" w:cs="Arial"/>
          <w:color w:val="000000"/>
        </w:rPr>
        <w:t>2.8.2</w:t>
      </w:r>
      <w:r w:rsidR="00351985" w:rsidRPr="006C255E">
        <w:rPr>
          <w:rFonts w:ascii="Arial" w:hAnsi="Arial" w:cs="Arial"/>
          <w:color w:val="000000"/>
        </w:rPr>
        <w:tab/>
      </w:r>
      <w:r w:rsidR="003249BD" w:rsidRPr="006C255E">
        <w:rPr>
          <w:rFonts w:ascii="Arial" w:hAnsi="Arial" w:cs="Arial"/>
        </w:rPr>
        <w:t xml:space="preserve">The </w:t>
      </w:r>
      <w:r w:rsidR="005E514E" w:rsidRPr="006C255E">
        <w:rPr>
          <w:rFonts w:ascii="Arial" w:hAnsi="Arial" w:cs="Arial"/>
        </w:rPr>
        <w:t>specification proposed a 5 year contract plus 3 years.  HBC have now confirmed that they are willing to enter into a 5 year service level agreement with an option to extend to 8 years.  It is envisioned that a review clause would be included after 3 years to protect both authorities.</w:t>
      </w:r>
      <w:r w:rsidR="005E514E" w:rsidRPr="006C255E">
        <w:rPr>
          <w:rFonts w:ascii="Arial" w:hAnsi="Arial" w:cs="Arial"/>
        </w:rPr>
        <w:tab/>
      </w:r>
    </w:p>
    <w:p w:rsidR="005E514E" w:rsidRPr="006C255E" w:rsidRDefault="00BB27B9" w:rsidP="00176400">
      <w:pPr>
        <w:tabs>
          <w:tab w:val="left" w:pos="0"/>
          <w:tab w:val="left" w:pos="1985"/>
        </w:tabs>
        <w:ind w:left="1276" w:hanging="1276"/>
        <w:jc w:val="both"/>
        <w:rPr>
          <w:rFonts w:ascii="Arial" w:hAnsi="Arial" w:cs="Arial"/>
          <w:color w:val="4F81BD" w:themeColor="accent1"/>
        </w:rPr>
      </w:pPr>
      <w:r w:rsidRPr="006C255E">
        <w:rPr>
          <w:rFonts w:ascii="Arial" w:hAnsi="Arial" w:cs="Arial"/>
          <w:color w:val="000000"/>
        </w:rPr>
        <w:lastRenderedPageBreak/>
        <w:t>2.8.</w:t>
      </w:r>
      <w:r w:rsidR="00D4686B" w:rsidRPr="006C255E">
        <w:rPr>
          <w:rFonts w:ascii="Arial" w:hAnsi="Arial" w:cs="Arial"/>
          <w:color w:val="000000"/>
        </w:rPr>
        <w:t>3</w:t>
      </w:r>
      <w:r w:rsidRPr="006C255E">
        <w:rPr>
          <w:rFonts w:ascii="Arial" w:hAnsi="Arial" w:cs="Arial"/>
          <w:color w:val="000000"/>
        </w:rPr>
        <w:tab/>
      </w:r>
      <w:r w:rsidR="007C06E0" w:rsidRPr="006C255E">
        <w:rPr>
          <w:rFonts w:ascii="Arial" w:hAnsi="Arial" w:cs="Arial"/>
          <w:color w:val="000000"/>
        </w:rPr>
        <w:t>The</w:t>
      </w:r>
      <w:r w:rsidR="005E514E" w:rsidRPr="006C255E">
        <w:rPr>
          <w:rFonts w:ascii="Arial" w:hAnsi="Arial" w:cs="Arial"/>
          <w:color w:val="4F81BD" w:themeColor="accent1"/>
        </w:rPr>
        <w:t xml:space="preserve"> </w:t>
      </w:r>
      <w:r w:rsidR="005E514E" w:rsidRPr="006C255E">
        <w:rPr>
          <w:rFonts w:ascii="Arial" w:hAnsi="Arial" w:cs="Arial"/>
        </w:rPr>
        <w:t>HBC parking proposal includes a requirement that a percentage of any additional revenue generated above £360,000 is paid to HBC. The has been fixed a</w:t>
      </w:r>
      <w:r w:rsidR="00A45ADF" w:rsidRPr="006C255E">
        <w:rPr>
          <w:rFonts w:ascii="Arial" w:hAnsi="Arial" w:cs="Arial"/>
        </w:rPr>
        <w:t>t</w:t>
      </w:r>
      <w:r w:rsidR="005E514E" w:rsidRPr="006C255E">
        <w:rPr>
          <w:rFonts w:ascii="Arial" w:hAnsi="Arial" w:cs="Arial"/>
        </w:rPr>
        <w:t xml:space="preserve"> 25p pence for every pound earned</w:t>
      </w:r>
      <w:r w:rsidR="00A45ADF" w:rsidRPr="006C255E">
        <w:rPr>
          <w:rFonts w:ascii="Arial" w:hAnsi="Arial" w:cs="Arial"/>
        </w:rPr>
        <w:t>, and</w:t>
      </w:r>
      <w:r w:rsidR="005E514E" w:rsidRPr="006C255E">
        <w:rPr>
          <w:rFonts w:ascii="Arial" w:hAnsi="Arial" w:cs="Arial"/>
        </w:rPr>
        <w:t xml:space="preserve"> is to cover additional expenditure incurred </w:t>
      </w:r>
      <w:r w:rsidR="00A45ADF" w:rsidRPr="006C255E">
        <w:rPr>
          <w:rFonts w:ascii="Arial" w:hAnsi="Arial" w:cs="Arial"/>
        </w:rPr>
        <w:t>in realising the additional income such as additional back office staff</w:t>
      </w:r>
      <w:r w:rsidR="005E514E" w:rsidRPr="006C255E">
        <w:rPr>
          <w:rFonts w:ascii="Arial" w:hAnsi="Arial" w:cs="Arial"/>
          <w:color w:val="4F81BD" w:themeColor="accent1"/>
        </w:rPr>
        <w:t>.</w:t>
      </w:r>
    </w:p>
    <w:p w:rsidR="006B62D0" w:rsidRPr="009B6816" w:rsidRDefault="006B62D0" w:rsidP="00176400">
      <w:pPr>
        <w:tabs>
          <w:tab w:val="left" w:pos="0"/>
          <w:tab w:val="left" w:pos="1985"/>
        </w:tabs>
        <w:ind w:left="2534" w:hanging="1267"/>
        <w:jc w:val="both"/>
        <w:rPr>
          <w:rFonts w:ascii="Arial" w:hAnsi="Arial" w:cs="Arial"/>
          <w:i/>
          <w:color w:val="000000"/>
        </w:rPr>
      </w:pPr>
      <w:r w:rsidRPr="009B6816">
        <w:rPr>
          <w:rFonts w:ascii="Arial" w:hAnsi="Arial" w:cs="Arial"/>
          <w:b/>
          <w:i/>
          <w:color w:val="000000"/>
        </w:rPr>
        <w:t xml:space="preserve">Capability </w:t>
      </w:r>
      <w:r w:rsidR="005A760A" w:rsidRPr="009B6816">
        <w:rPr>
          <w:rFonts w:ascii="Arial" w:hAnsi="Arial" w:cs="Arial"/>
          <w:b/>
          <w:i/>
          <w:color w:val="000000"/>
        </w:rPr>
        <w:t xml:space="preserve">for rapid introduction of new technology </w:t>
      </w:r>
    </w:p>
    <w:p w:rsidR="006C35C4" w:rsidRPr="006C255E" w:rsidRDefault="006B62D0" w:rsidP="00176400">
      <w:pPr>
        <w:tabs>
          <w:tab w:val="left" w:pos="0"/>
          <w:tab w:val="left" w:pos="1985"/>
        </w:tabs>
        <w:ind w:left="1267" w:hanging="1267"/>
        <w:jc w:val="both"/>
        <w:rPr>
          <w:rFonts w:ascii="Arial" w:hAnsi="Arial" w:cs="Arial"/>
        </w:rPr>
      </w:pPr>
      <w:r w:rsidRPr="006C255E">
        <w:rPr>
          <w:rFonts w:ascii="Arial" w:hAnsi="Arial" w:cs="Arial"/>
          <w:color w:val="000000"/>
        </w:rPr>
        <w:t>2.8.4</w:t>
      </w:r>
      <w:r w:rsidRPr="006C255E">
        <w:rPr>
          <w:rFonts w:ascii="Arial" w:hAnsi="Arial" w:cs="Arial"/>
          <w:color w:val="000000"/>
        </w:rPr>
        <w:tab/>
      </w:r>
      <w:r w:rsidR="00D4686B" w:rsidRPr="006C255E">
        <w:rPr>
          <w:rFonts w:ascii="Arial" w:hAnsi="Arial" w:cs="Arial"/>
        </w:rPr>
        <w:t>The requirement</w:t>
      </w:r>
      <w:r w:rsidR="00A45ADF" w:rsidRPr="006C255E">
        <w:rPr>
          <w:rFonts w:ascii="Arial" w:hAnsi="Arial" w:cs="Arial"/>
        </w:rPr>
        <w:t xml:space="preserve"> to introduce relevant changes in technology that would assist in improving parking services going forward was set out in </w:t>
      </w:r>
      <w:r w:rsidR="007710C4" w:rsidRPr="006C255E">
        <w:rPr>
          <w:rFonts w:ascii="Arial" w:hAnsi="Arial" w:cs="Arial"/>
        </w:rPr>
        <w:t xml:space="preserve">our </w:t>
      </w:r>
      <w:r w:rsidR="00A45ADF" w:rsidRPr="006C255E">
        <w:rPr>
          <w:rFonts w:ascii="Arial" w:hAnsi="Arial" w:cs="Arial"/>
        </w:rPr>
        <w:t xml:space="preserve">specification. </w:t>
      </w:r>
    </w:p>
    <w:p w:rsidR="009B6816" w:rsidRDefault="003A7029" w:rsidP="00176400">
      <w:pPr>
        <w:tabs>
          <w:tab w:val="left" w:pos="0"/>
          <w:tab w:val="left" w:pos="1985"/>
        </w:tabs>
        <w:ind w:left="1267" w:hanging="1267"/>
        <w:jc w:val="both"/>
        <w:rPr>
          <w:rFonts w:ascii="Arial" w:hAnsi="Arial" w:cs="Arial"/>
        </w:rPr>
      </w:pPr>
      <w:r w:rsidRPr="006C255E">
        <w:rPr>
          <w:rFonts w:ascii="Arial" w:hAnsi="Arial" w:cs="Arial"/>
        </w:rPr>
        <w:t>2.8.5</w:t>
      </w:r>
      <w:r w:rsidR="006C35C4" w:rsidRPr="006C255E">
        <w:rPr>
          <w:rFonts w:ascii="Arial" w:hAnsi="Arial" w:cs="Arial"/>
        </w:rPr>
        <w:tab/>
        <w:t xml:space="preserve">It is clear that HBC has taken this into consideration; HBC Officers have </w:t>
      </w:r>
      <w:r w:rsidR="00F27D6B" w:rsidRPr="006C255E">
        <w:rPr>
          <w:rFonts w:ascii="Arial" w:hAnsi="Arial" w:cs="Arial"/>
        </w:rPr>
        <w:t xml:space="preserve">indicated </w:t>
      </w:r>
      <w:r w:rsidR="006C35C4" w:rsidRPr="006C255E">
        <w:rPr>
          <w:rFonts w:ascii="Arial" w:hAnsi="Arial" w:cs="Arial"/>
        </w:rPr>
        <w:t>a commitment in this area and to continuously engage with new technology</w:t>
      </w:r>
      <w:r w:rsidR="009A3F9A" w:rsidRPr="006C255E">
        <w:rPr>
          <w:rFonts w:ascii="Arial" w:hAnsi="Arial" w:cs="Arial"/>
        </w:rPr>
        <w:t>.</w:t>
      </w:r>
      <w:r w:rsidR="00F27D6B" w:rsidRPr="006C255E">
        <w:rPr>
          <w:rFonts w:ascii="Arial" w:hAnsi="Arial" w:cs="Arial"/>
        </w:rPr>
        <w:t xml:space="preserve"> </w:t>
      </w:r>
    </w:p>
    <w:p w:rsidR="006C35C4" w:rsidRPr="006C255E" w:rsidRDefault="004F183D" w:rsidP="00176400">
      <w:pPr>
        <w:tabs>
          <w:tab w:val="left" w:pos="0"/>
          <w:tab w:val="left" w:pos="1985"/>
        </w:tabs>
        <w:ind w:left="1267" w:hanging="1267"/>
        <w:jc w:val="both"/>
        <w:rPr>
          <w:rFonts w:ascii="Arial" w:hAnsi="Arial" w:cs="Arial"/>
          <w:color w:val="4F81BD" w:themeColor="accent1"/>
        </w:rPr>
      </w:pPr>
      <w:r w:rsidRPr="006C255E">
        <w:rPr>
          <w:rFonts w:ascii="Arial" w:hAnsi="Arial" w:cs="Arial"/>
          <w:color w:val="000000" w:themeColor="text1"/>
        </w:rPr>
        <w:t>2.8.</w:t>
      </w:r>
      <w:r w:rsidR="003A7029" w:rsidRPr="006C255E">
        <w:rPr>
          <w:rFonts w:ascii="Arial" w:hAnsi="Arial" w:cs="Arial"/>
          <w:color w:val="000000" w:themeColor="text1"/>
        </w:rPr>
        <w:t>6</w:t>
      </w:r>
      <w:r w:rsidR="00D13A3C">
        <w:rPr>
          <w:rFonts w:ascii="Arial" w:hAnsi="Arial" w:cs="Arial"/>
          <w:color w:val="000000" w:themeColor="text1"/>
        </w:rPr>
        <w:t xml:space="preserve"> </w:t>
      </w:r>
      <w:r w:rsidR="009B6816">
        <w:rPr>
          <w:rFonts w:ascii="Arial" w:hAnsi="Arial" w:cs="Arial"/>
          <w:color w:val="000000" w:themeColor="text1"/>
        </w:rPr>
        <w:tab/>
      </w:r>
      <w:r w:rsidR="006C35C4" w:rsidRPr="006C255E">
        <w:rPr>
          <w:rFonts w:ascii="Arial" w:hAnsi="Arial" w:cs="Arial"/>
        </w:rPr>
        <w:t xml:space="preserve">HBC </w:t>
      </w:r>
      <w:proofErr w:type="gramStart"/>
      <w:r w:rsidR="00153558" w:rsidRPr="006C255E">
        <w:rPr>
          <w:rFonts w:ascii="Arial" w:hAnsi="Arial" w:cs="Arial"/>
        </w:rPr>
        <w:t>ha</w:t>
      </w:r>
      <w:r w:rsidR="009A3F9A" w:rsidRPr="006C255E">
        <w:rPr>
          <w:rFonts w:ascii="Arial" w:hAnsi="Arial" w:cs="Arial"/>
        </w:rPr>
        <w:t>ve</w:t>
      </w:r>
      <w:proofErr w:type="gramEnd"/>
      <w:r w:rsidR="006C35C4" w:rsidRPr="006C255E">
        <w:rPr>
          <w:rFonts w:ascii="Arial" w:hAnsi="Arial" w:cs="Arial"/>
        </w:rPr>
        <w:t xml:space="preserve"> confirmed that they intend to procure new bespoke parking back office software that is currently used by neighbouring councils.  Outline details of this software has been provided by HBC and procurement is dependent on the decision of TRDC as to whether </w:t>
      </w:r>
      <w:r w:rsidR="00A02409" w:rsidRPr="006C255E">
        <w:rPr>
          <w:rFonts w:ascii="Arial" w:hAnsi="Arial" w:cs="Arial"/>
        </w:rPr>
        <w:t>they wish to progress with the proposals</w:t>
      </w:r>
      <w:r w:rsidR="00A02409" w:rsidRPr="006C255E">
        <w:rPr>
          <w:rFonts w:ascii="Arial" w:hAnsi="Arial" w:cs="Arial"/>
          <w:color w:val="4F81BD" w:themeColor="accent1"/>
        </w:rPr>
        <w:t xml:space="preserve">. </w:t>
      </w:r>
      <w:r w:rsidR="006C35C4" w:rsidRPr="006C255E">
        <w:rPr>
          <w:rFonts w:ascii="Arial" w:hAnsi="Arial" w:cs="Arial"/>
          <w:color w:val="4F81BD" w:themeColor="accent1"/>
        </w:rPr>
        <w:t xml:space="preserve"> </w:t>
      </w:r>
    </w:p>
    <w:p w:rsidR="00025DCF" w:rsidRPr="006C255E" w:rsidRDefault="00D13A3C" w:rsidP="00176400">
      <w:pPr>
        <w:tabs>
          <w:tab w:val="left" w:pos="0"/>
          <w:tab w:val="left" w:pos="1985"/>
        </w:tabs>
        <w:ind w:left="1267" w:hanging="1267"/>
        <w:jc w:val="both"/>
        <w:rPr>
          <w:rFonts w:ascii="Arial" w:hAnsi="Arial" w:cs="Arial"/>
          <w:b/>
        </w:rPr>
      </w:pPr>
      <w:r w:rsidRPr="00D13A3C">
        <w:rPr>
          <w:rFonts w:ascii="Arial" w:hAnsi="Arial" w:cs="Arial"/>
        </w:rPr>
        <w:t xml:space="preserve">3. </w:t>
      </w:r>
      <w:r>
        <w:rPr>
          <w:rFonts w:ascii="Arial" w:hAnsi="Arial" w:cs="Arial"/>
        </w:rPr>
        <w:tab/>
      </w:r>
      <w:r w:rsidR="006B368C" w:rsidRPr="006C255E">
        <w:rPr>
          <w:rFonts w:ascii="Arial" w:hAnsi="Arial" w:cs="Arial"/>
          <w:b/>
        </w:rPr>
        <w:t>Options and Recommendations</w:t>
      </w:r>
    </w:p>
    <w:p w:rsidR="004F183D" w:rsidRPr="006C255E" w:rsidRDefault="00BF7981" w:rsidP="00176400">
      <w:pPr>
        <w:pStyle w:val="ListParagraph"/>
        <w:numPr>
          <w:ilvl w:val="1"/>
          <w:numId w:val="18"/>
        </w:numPr>
        <w:ind w:left="1276" w:hanging="1276"/>
        <w:rPr>
          <w:rFonts w:cs="Arial"/>
        </w:rPr>
      </w:pPr>
      <w:r w:rsidRPr="006C255E">
        <w:rPr>
          <w:rFonts w:cs="Arial"/>
        </w:rPr>
        <w:t xml:space="preserve">Discussions are continuing with HBC but Officers are mindful of the timescales </w:t>
      </w:r>
      <w:r w:rsidR="00351985" w:rsidRPr="006C255E">
        <w:rPr>
          <w:rFonts w:cs="Arial"/>
        </w:rPr>
        <w:t xml:space="preserve">before the end </w:t>
      </w:r>
      <w:r w:rsidRPr="006C255E">
        <w:rPr>
          <w:rFonts w:cs="Arial"/>
        </w:rPr>
        <w:t xml:space="preserve">of the </w:t>
      </w:r>
      <w:r w:rsidR="00351985" w:rsidRPr="006C255E">
        <w:rPr>
          <w:rFonts w:cs="Arial"/>
        </w:rPr>
        <w:t xml:space="preserve">current </w:t>
      </w:r>
      <w:r w:rsidRPr="006C255E">
        <w:rPr>
          <w:rFonts w:cs="Arial"/>
        </w:rPr>
        <w:t xml:space="preserve">contract.  Whilst there have been questions over the initial response HBC have clarified a number of key points and continue to provide </w:t>
      </w:r>
      <w:r w:rsidR="00DD4C42" w:rsidRPr="006C255E">
        <w:rPr>
          <w:rFonts w:cs="Arial"/>
        </w:rPr>
        <w:t xml:space="preserve">further information.  </w:t>
      </w:r>
    </w:p>
    <w:p w:rsidR="004F183D" w:rsidRPr="006C255E" w:rsidRDefault="004F183D" w:rsidP="00176400">
      <w:pPr>
        <w:pStyle w:val="ListParagraph"/>
        <w:ind w:left="1276"/>
        <w:rPr>
          <w:rFonts w:cs="Arial"/>
        </w:rPr>
      </w:pPr>
    </w:p>
    <w:p w:rsidR="00A02409" w:rsidRPr="006C255E" w:rsidRDefault="00DD4C42" w:rsidP="00176400">
      <w:pPr>
        <w:pStyle w:val="ListParagraph"/>
        <w:numPr>
          <w:ilvl w:val="1"/>
          <w:numId w:val="18"/>
        </w:numPr>
        <w:ind w:left="1276" w:hanging="1276"/>
        <w:rPr>
          <w:rFonts w:cs="Arial"/>
        </w:rPr>
      </w:pPr>
      <w:r w:rsidRPr="006C255E">
        <w:rPr>
          <w:rFonts w:cs="Arial"/>
        </w:rPr>
        <w:t>T</w:t>
      </w:r>
      <w:r w:rsidR="00BF7981" w:rsidRPr="006C255E">
        <w:rPr>
          <w:rFonts w:cs="Arial"/>
        </w:rPr>
        <w:t xml:space="preserve">he </w:t>
      </w:r>
      <w:r w:rsidR="00A02409" w:rsidRPr="006C255E">
        <w:rPr>
          <w:rFonts w:cs="Arial"/>
        </w:rPr>
        <w:t xml:space="preserve">service provided by HBC would involve a Lead Authority shared-service approach and in this respect would replicate the service offered already at HBC.  HBC </w:t>
      </w:r>
      <w:r w:rsidR="00F27D6B" w:rsidRPr="006C255E">
        <w:rPr>
          <w:rFonts w:cs="Arial"/>
        </w:rPr>
        <w:t>explain that they “</w:t>
      </w:r>
      <w:r w:rsidR="00A02409" w:rsidRPr="006C255E">
        <w:rPr>
          <w:rFonts w:cs="Arial"/>
          <w:i/>
        </w:rPr>
        <w:t>already manage a successful parking service</w:t>
      </w:r>
      <w:r w:rsidR="00F27D6B" w:rsidRPr="006C255E">
        <w:rPr>
          <w:rFonts w:cs="Arial"/>
          <w:i/>
        </w:rPr>
        <w:t>”</w:t>
      </w:r>
      <w:r w:rsidR="00A02409" w:rsidRPr="006C255E">
        <w:rPr>
          <w:rFonts w:cs="Arial"/>
        </w:rPr>
        <w:t xml:space="preserve"> (see Appendix </w:t>
      </w:r>
      <w:r w:rsidR="009A3F9A" w:rsidRPr="006C255E">
        <w:rPr>
          <w:rFonts w:cs="Arial"/>
        </w:rPr>
        <w:t>A</w:t>
      </w:r>
      <w:r w:rsidR="00FD7C29" w:rsidRPr="006C255E">
        <w:rPr>
          <w:rFonts w:cs="Arial"/>
        </w:rPr>
        <w:t xml:space="preserve">) </w:t>
      </w:r>
      <w:r w:rsidR="00A02409" w:rsidRPr="006C255E">
        <w:rPr>
          <w:rFonts w:cs="Arial"/>
        </w:rPr>
        <w:t xml:space="preserve">and are of the opinion this success could be replicated at TRDC if given the opportunity.  </w:t>
      </w:r>
    </w:p>
    <w:p w:rsidR="004F183D" w:rsidRPr="006C255E" w:rsidRDefault="004F183D" w:rsidP="00176400">
      <w:pPr>
        <w:pStyle w:val="ListParagraph"/>
        <w:rPr>
          <w:rFonts w:cs="Arial"/>
          <w:color w:val="4F81BD" w:themeColor="accent1"/>
        </w:rPr>
      </w:pPr>
    </w:p>
    <w:p w:rsidR="00DD4C42" w:rsidRPr="006C255E" w:rsidRDefault="00615843" w:rsidP="00176400">
      <w:pPr>
        <w:ind w:left="1276" w:hanging="1276"/>
        <w:jc w:val="both"/>
        <w:rPr>
          <w:rFonts w:ascii="Arial" w:hAnsi="Arial" w:cs="Arial"/>
        </w:rPr>
      </w:pPr>
      <w:r w:rsidRPr="006C255E">
        <w:rPr>
          <w:rFonts w:ascii="Arial" w:hAnsi="Arial" w:cs="Arial"/>
        </w:rPr>
        <w:t>3.</w:t>
      </w:r>
      <w:r w:rsidR="00D4686B" w:rsidRPr="006C255E">
        <w:rPr>
          <w:rFonts w:ascii="Arial" w:hAnsi="Arial" w:cs="Arial"/>
        </w:rPr>
        <w:t>3</w:t>
      </w:r>
      <w:r w:rsidR="00DD4C42" w:rsidRPr="006C255E">
        <w:rPr>
          <w:rFonts w:ascii="Arial" w:hAnsi="Arial" w:cs="Arial"/>
        </w:rPr>
        <w:tab/>
        <w:t>Alternatively, Membe</w:t>
      </w:r>
      <w:r w:rsidR="004F183D" w:rsidRPr="006C255E">
        <w:rPr>
          <w:rFonts w:ascii="Arial" w:hAnsi="Arial" w:cs="Arial"/>
        </w:rPr>
        <w:t xml:space="preserve">rs could consider other options, each of which </w:t>
      </w:r>
      <w:r w:rsidR="0055752A" w:rsidRPr="006C255E">
        <w:rPr>
          <w:rFonts w:ascii="Arial" w:hAnsi="Arial" w:cs="Arial"/>
        </w:rPr>
        <w:t>has</w:t>
      </w:r>
      <w:r w:rsidR="00DD4C42" w:rsidRPr="006C255E">
        <w:rPr>
          <w:rFonts w:ascii="Arial" w:hAnsi="Arial" w:cs="Arial"/>
        </w:rPr>
        <w:t xml:space="preserve"> their own risks.</w:t>
      </w:r>
    </w:p>
    <w:p w:rsidR="00DD4C42" w:rsidRPr="006C255E" w:rsidRDefault="00DD4C42" w:rsidP="00176400">
      <w:pPr>
        <w:ind w:left="1701" w:hanging="425"/>
        <w:jc w:val="both"/>
        <w:rPr>
          <w:rFonts w:ascii="Arial" w:hAnsi="Arial" w:cs="Arial"/>
        </w:rPr>
      </w:pPr>
      <w:r w:rsidRPr="006C255E">
        <w:rPr>
          <w:rFonts w:ascii="Arial" w:hAnsi="Arial" w:cs="Arial"/>
        </w:rPr>
        <w:t xml:space="preserve">1) </w:t>
      </w:r>
      <w:r w:rsidR="00B33089" w:rsidRPr="006C255E">
        <w:rPr>
          <w:rFonts w:ascii="Arial" w:hAnsi="Arial" w:cs="Arial"/>
        </w:rPr>
        <w:tab/>
      </w:r>
      <w:r w:rsidRPr="006C255E">
        <w:rPr>
          <w:rFonts w:ascii="Arial" w:hAnsi="Arial" w:cs="Arial"/>
        </w:rPr>
        <w:t>Full procurement exercise to consider alternative service providers.</w:t>
      </w:r>
    </w:p>
    <w:p w:rsidR="006B62D0" w:rsidRPr="006C255E" w:rsidRDefault="00DD4C42" w:rsidP="00176400">
      <w:pPr>
        <w:ind w:left="1701" w:hanging="425"/>
        <w:jc w:val="both"/>
        <w:rPr>
          <w:rFonts w:ascii="Arial" w:hAnsi="Arial" w:cs="Arial"/>
        </w:rPr>
      </w:pPr>
      <w:r w:rsidRPr="006C255E">
        <w:rPr>
          <w:rFonts w:ascii="Arial" w:hAnsi="Arial" w:cs="Arial"/>
        </w:rPr>
        <w:tab/>
        <w:t>Time is limited but the Procurement Manager has advised Officers it could be achieved with the timescales remaining</w:t>
      </w:r>
      <w:r w:rsidR="00D74C29" w:rsidRPr="006C255E">
        <w:rPr>
          <w:rFonts w:ascii="Arial" w:hAnsi="Arial" w:cs="Arial"/>
        </w:rPr>
        <w:t xml:space="preserve">.  Going out to the market </w:t>
      </w:r>
      <w:r w:rsidR="005B2561" w:rsidRPr="006C255E">
        <w:rPr>
          <w:rFonts w:ascii="Arial" w:hAnsi="Arial" w:cs="Arial"/>
        </w:rPr>
        <w:t xml:space="preserve">for a </w:t>
      </w:r>
      <w:r w:rsidR="004F183D" w:rsidRPr="006C255E">
        <w:rPr>
          <w:rFonts w:ascii="Arial" w:hAnsi="Arial" w:cs="Arial"/>
        </w:rPr>
        <w:t>stand-alone</w:t>
      </w:r>
      <w:r w:rsidR="005B2561" w:rsidRPr="006C255E">
        <w:rPr>
          <w:rFonts w:ascii="Arial" w:hAnsi="Arial" w:cs="Arial"/>
        </w:rPr>
        <w:t xml:space="preserve"> service </w:t>
      </w:r>
      <w:r w:rsidR="00D74C29" w:rsidRPr="006C255E">
        <w:rPr>
          <w:rFonts w:ascii="Arial" w:hAnsi="Arial" w:cs="Arial"/>
        </w:rPr>
        <w:t xml:space="preserve">would provide an opportunity to understand the service levels and costs associated with running of a parking enforcement service in the current economic climate.  </w:t>
      </w:r>
    </w:p>
    <w:p w:rsidR="00D74C29" w:rsidRPr="006C255E" w:rsidRDefault="006B62D0" w:rsidP="00176400">
      <w:pPr>
        <w:ind w:left="1701"/>
        <w:jc w:val="both"/>
        <w:rPr>
          <w:rFonts w:ascii="Arial" w:hAnsi="Arial" w:cs="Arial"/>
        </w:rPr>
      </w:pPr>
      <w:r w:rsidRPr="006C255E">
        <w:rPr>
          <w:rFonts w:ascii="Arial" w:hAnsi="Arial" w:cs="Arial"/>
        </w:rPr>
        <w:t>Officers expect that t</w:t>
      </w:r>
      <w:r w:rsidR="00DD4C42" w:rsidRPr="006C255E">
        <w:rPr>
          <w:rFonts w:ascii="Arial" w:hAnsi="Arial" w:cs="Arial"/>
        </w:rPr>
        <w:t xml:space="preserve">he </w:t>
      </w:r>
      <w:r w:rsidRPr="006C255E">
        <w:rPr>
          <w:rFonts w:ascii="Arial" w:hAnsi="Arial" w:cs="Arial"/>
        </w:rPr>
        <w:t>small scale of</w:t>
      </w:r>
      <w:r w:rsidR="00DD4C42" w:rsidRPr="006C255E">
        <w:rPr>
          <w:rFonts w:ascii="Arial" w:hAnsi="Arial" w:cs="Arial"/>
        </w:rPr>
        <w:t xml:space="preserve"> </w:t>
      </w:r>
      <w:r w:rsidR="00D74C29" w:rsidRPr="006C255E">
        <w:rPr>
          <w:rFonts w:ascii="Arial" w:hAnsi="Arial" w:cs="Arial"/>
        </w:rPr>
        <w:t xml:space="preserve">the </w:t>
      </w:r>
      <w:r w:rsidR="00DD4C42" w:rsidRPr="006C255E">
        <w:rPr>
          <w:rFonts w:ascii="Arial" w:hAnsi="Arial" w:cs="Arial"/>
        </w:rPr>
        <w:t>TRDC parking enforcement service</w:t>
      </w:r>
      <w:r w:rsidRPr="006C255E">
        <w:rPr>
          <w:rFonts w:ascii="Arial" w:hAnsi="Arial" w:cs="Arial"/>
        </w:rPr>
        <w:t xml:space="preserve"> indicates a risk (the probability of which is not known at this time) that</w:t>
      </w:r>
      <w:r w:rsidR="00DD4C42" w:rsidRPr="006C255E">
        <w:rPr>
          <w:rFonts w:ascii="Arial" w:hAnsi="Arial" w:cs="Arial"/>
        </w:rPr>
        <w:t xml:space="preserve"> there may be limited </w:t>
      </w:r>
      <w:r w:rsidRPr="006C255E">
        <w:rPr>
          <w:rFonts w:ascii="Arial" w:hAnsi="Arial" w:cs="Arial"/>
        </w:rPr>
        <w:t xml:space="preserve">competitive </w:t>
      </w:r>
      <w:r w:rsidR="00DD4C42" w:rsidRPr="006C255E">
        <w:rPr>
          <w:rFonts w:ascii="Arial" w:hAnsi="Arial" w:cs="Arial"/>
        </w:rPr>
        <w:t>interest</w:t>
      </w:r>
      <w:r w:rsidRPr="006C255E">
        <w:rPr>
          <w:rFonts w:ascii="Arial" w:hAnsi="Arial" w:cs="Arial"/>
        </w:rPr>
        <w:t xml:space="preserve"> </w:t>
      </w:r>
      <w:r w:rsidR="00DD4C42" w:rsidRPr="006C255E">
        <w:rPr>
          <w:rFonts w:ascii="Arial" w:hAnsi="Arial" w:cs="Arial"/>
        </w:rPr>
        <w:t>in the service</w:t>
      </w:r>
      <w:r w:rsidR="00D74C29" w:rsidRPr="006C255E">
        <w:rPr>
          <w:rFonts w:ascii="Arial" w:hAnsi="Arial" w:cs="Arial"/>
        </w:rPr>
        <w:t>.</w:t>
      </w:r>
      <w:r w:rsidR="005B2561" w:rsidRPr="006C255E">
        <w:rPr>
          <w:rFonts w:ascii="Arial" w:hAnsi="Arial" w:cs="Arial"/>
        </w:rPr>
        <w:t xml:space="preserve">  </w:t>
      </w:r>
      <w:r w:rsidRPr="006C255E">
        <w:rPr>
          <w:rFonts w:ascii="Arial" w:hAnsi="Arial" w:cs="Arial"/>
        </w:rPr>
        <w:t>It i</w:t>
      </w:r>
      <w:r w:rsidR="007710C4" w:rsidRPr="006C255E">
        <w:rPr>
          <w:rFonts w:ascii="Arial" w:hAnsi="Arial" w:cs="Arial"/>
        </w:rPr>
        <w:t xml:space="preserve">s </w:t>
      </w:r>
      <w:r w:rsidRPr="006C255E">
        <w:rPr>
          <w:rFonts w:ascii="Arial" w:hAnsi="Arial" w:cs="Arial"/>
          <w:color w:val="000000"/>
        </w:rPr>
        <w:t xml:space="preserve">possible </w:t>
      </w:r>
      <w:r w:rsidR="005B2561" w:rsidRPr="006C255E">
        <w:rPr>
          <w:rFonts w:ascii="Arial" w:hAnsi="Arial" w:cs="Arial"/>
          <w:color w:val="000000"/>
        </w:rPr>
        <w:t>however</w:t>
      </w:r>
      <w:r w:rsidRPr="006C255E">
        <w:rPr>
          <w:rFonts w:ascii="Arial" w:hAnsi="Arial" w:cs="Arial"/>
          <w:color w:val="000000"/>
        </w:rPr>
        <w:t xml:space="preserve"> that</w:t>
      </w:r>
      <w:r w:rsidR="005B2561" w:rsidRPr="006C255E">
        <w:rPr>
          <w:rFonts w:ascii="Arial" w:hAnsi="Arial" w:cs="Arial"/>
          <w:color w:val="000000"/>
        </w:rPr>
        <w:t xml:space="preserve"> a small contract </w:t>
      </w:r>
      <w:r w:rsidRPr="006C255E">
        <w:rPr>
          <w:rFonts w:ascii="Arial" w:hAnsi="Arial" w:cs="Arial"/>
          <w:color w:val="000000"/>
        </w:rPr>
        <w:t xml:space="preserve">of this nature </w:t>
      </w:r>
      <w:r w:rsidR="005B2561" w:rsidRPr="006C255E">
        <w:rPr>
          <w:rFonts w:ascii="Arial" w:hAnsi="Arial" w:cs="Arial"/>
          <w:color w:val="000000"/>
        </w:rPr>
        <w:t>may be of interest to companies successful</w:t>
      </w:r>
      <w:r w:rsidRPr="006C255E">
        <w:rPr>
          <w:rFonts w:ascii="Arial" w:hAnsi="Arial" w:cs="Arial"/>
          <w:color w:val="000000"/>
        </w:rPr>
        <w:t xml:space="preserve"> in bids for neighbouring areas; or to smaller o</w:t>
      </w:r>
      <w:r w:rsidR="007710C4" w:rsidRPr="006C255E">
        <w:rPr>
          <w:rFonts w:ascii="Arial" w:hAnsi="Arial" w:cs="Arial"/>
          <w:color w:val="000000"/>
        </w:rPr>
        <w:t>perators or new market entrants, though this is unlikely.</w:t>
      </w:r>
    </w:p>
    <w:p w:rsidR="00D74C29" w:rsidRPr="006C255E" w:rsidRDefault="00D74C29" w:rsidP="00176400">
      <w:pPr>
        <w:ind w:left="1701" w:hanging="425"/>
        <w:jc w:val="both"/>
        <w:rPr>
          <w:rFonts w:ascii="Arial" w:hAnsi="Arial" w:cs="Arial"/>
        </w:rPr>
      </w:pPr>
      <w:r w:rsidRPr="006C255E">
        <w:rPr>
          <w:rFonts w:ascii="Arial" w:hAnsi="Arial" w:cs="Arial"/>
        </w:rPr>
        <w:lastRenderedPageBreak/>
        <w:t xml:space="preserve">2) </w:t>
      </w:r>
      <w:r w:rsidR="00B33089" w:rsidRPr="006C255E">
        <w:rPr>
          <w:rFonts w:ascii="Arial" w:hAnsi="Arial" w:cs="Arial"/>
        </w:rPr>
        <w:tab/>
      </w:r>
      <w:r w:rsidR="00021850" w:rsidRPr="006C255E">
        <w:rPr>
          <w:rFonts w:ascii="Arial" w:hAnsi="Arial" w:cs="Arial"/>
        </w:rPr>
        <w:t>Watford Borough Council</w:t>
      </w:r>
      <w:r w:rsidRPr="006C255E">
        <w:rPr>
          <w:rFonts w:ascii="Arial" w:hAnsi="Arial" w:cs="Arial"/>
        </w:rPr>
        <w:t xml:space="preserve"> has commenced </w:t>
      </w:r>
      <w:r w:rsidR="006B62D0" w:rsidRPr="006C255E">
        <w:rPr>
          <w:rFonts w:ascii="Arial" w:hAnsi="Arial" w:cs="Arial"/>
        </w:rPr>
        <w:t>its</w:t>
      </w:r>
      <w:r w:rsidRPr="006C255E">
        <w:rPr>
          <w:rFonts w:ascii="Arial" w:hAnsi="Arial" w:cs="Arial"/>
        </w:rPr>
        <w:t xml:space="preserve"> procurement exercise for an external parking enforcement service.  Their OJEU notice is published for the parking enforcement service (</w:t>
      </w:r>
      <w:r w:rsidR="006B62D0" w:rsidRPr="006C255E">
        <w:rPr>
          <w:rFonts w:ascii="Arial" w:hAnsi="Arial" w:cs="Arial"/>
        </w:rPr>
        <w:t>using</w:t>
      </w:r>
      <w:r w:rsidRPr="006C255E">
        <w:rPr>
          <w:rFonts w:ascii="Arial" w:hAnsi="Arial" w:cs="Arial"/>
        </w:rPr>
        <w:t xml:space="preserve"> </w:t>
      </w:r>
      <w:r w:rsidR="006B62D0" w:rsidRPr="006C255E">
        <w:rPr>
          <w:rFonts w:ascii="Arial" w:hAnsi="Arial" w:cs="Arial"/>
        </w:rPr>
        <w:t>a</w:t>
      </w:r>
      <w:r w:rsidRPr="006C255E">
        <w:rPr>
          <w:rFonts w:ascii="Arial" w:hAnsi="Arial" w:cs="Arial"/>
        </w:rPr>
        <w:t xml:space="preserve"> split service </w:t>
      </w:r>
      <w:r w:rsidR="006B62D0" w:rsidRPr="006C255E">
        <w:rPr>
          <w:rFonts w:ascii="Arial" w:hAnsi="Arial" w:cs="Arial"/>
        </w:rPr>
        <w:t>whereby</w:t>
      </w:r>
      <w:r w:rsidRPr="006C255E">
        <w:rPr>
          <w:rFonts w:ascii="Arial" w:hAnsi="Arial" w:cs="Arial"/>
        </w:rPr>
        <w:t xml:space="preserve"> IT is procured and provided separat</w:t>
      </w:r>
      <w:r w:rsidR="005B2561" w:rsidRPr="006C255E">
        <w:rPr>
          <w:rFonts w:ascii="Arial" w:hAnsi="Arial" w:cs="Arial"/>
        </w:rPr>
        <w:t>ely) and a response is due by 21</w:t>
      </w:r>
      <w:r w:rsidRPr="006C255E">
        <w:rPr>
          <w:rFonts w:ascii="Arial" w:hAnsi="Arial" w:cs="Arial"/>
        </w:rPr>
        <w:t xml:space="preserve"> August</w:t>
      </w:r>
      <w:r w:rsidR="006B62D0" w:rsidRPr="006C255E">
        <w:rPr>
          <w:rFonts w:ascii="Arial" w:hAnsi="Arial" w:cs="Arial"/>
        </w:rPr>
        <w:t xml:space="preserve"> 2017</w:t>
      </w:r>
      <w:r w:rsidRPr="006C255E">
        <w:rPr>
          <w:rFonts w:ascii="Arial" w:hAnsi="Arial" w:cs="Arial"/>
        </w:rPr>
        <w:t xml:space="preserve">.  The IT software would be </w:t>
      </w:r>
      <w:r w:rsidR="00B33089" w:rsidRPr="006C255E">
        <w:rPr>
          <w:rFonts w:ascii="Arial" w:hAnsi="Arial" w:cs="Arial"/>
        </w:rPr>
        <w:t xml:space="preserve">separately </w:t>
      </w:r>
      <w:r w:rsidRPr="006C255E">
        <w:rPr>
          <w:rFonts w:ascii="Arial" w:hAnsi="Arial" w:cs="Arial"/>
        </w:rPr>
        <w:t xml:space="preserve">procured in due course.  </w:t>
      </w:r>
      <w:r w:rsidR="00B33089" w:rsidRPr="006C255E">
        <w:rPr>
          <w:rFonts w:ascii="Arial" w:hAnsi="Arial" w:cs="Arial"/>
        </w:rPr>
        <w:t>Advice from Watford Borough Council indicates that i</w:t>
      </w:r>
      <w:r w:rsidRPr="006C255E">
        <w:rPr>
          <w:rFonts w:ascii="Arial" w:hAnsi="Arial" w:cs="Arial"/>
        </w:rPr>
        <w:t xml:space="preserve">t is highly unlikely WBC would have any interest in </w:t>
      </w:r>
      <w:r w:rsidR="00B33089" w:rsidRPr="006C255E">
        <w:rPr>
          <w:rFonts w:ascii="Arial" w:hAnsi="Arial" w:cs="Arial"/>
        </w:rPr>
        <w:t xml:space="preserve">a </w:t>
      </w:r>
      <w:r w:rsidRPr="006C255E">
        <w:rPr>
          <w:rFonts w:ascii="Arial" w:hAnsi="Arial" w:cs="Arial"/>
        </w:rPr>
        <w:t>TRDC joint service at this stage in their process.</w:t>
      </w:r>
    </w:p>
    <w:p w:rsidR="00862957" w:rsidRPr="006C255E" w:rsidRDefault="00D74C29" w:rsidP="00176400">
      <w:pPr>
        <w:ind w:left="1701" w:hanging="425"/>
        <w:jc w:val="both"/>
        <w:rPr>
          <w:rFonts w:ascii="Arial" w:hAnsi="Arial" w:cs="Arial"/>
        </w:rPr>
      </w:pPr>
      <w:r w:rsidRPr="006C255E">
        <w:rPr>
          <w:rFonts w:ascii="Arial" w:hAnsi="Arial" w:cs="Arial"/>
        </w:rPr>
        <w:tab/>
        <w:t>Notwithstanding this, the Procurement Manager h</w:t>
      </w:r>
      <w:r w:rsidR="00C31081" w:rsidRPr="006C255E">
        <w:rPr>
          <w:rFonts w:ascii="Arial" w:hAnsi="Arial" w:cs="Arial"/>
        </w:rPr>
        <w:t xml:space="preserve">as advised </w:t>
      </w:r>
      <w:r w:rsidR="00615843" w:rsidRPr="006C255E">
        <w:rPr>
          <w:rFonts w:ascii="Arial" w:hAnsi="Arial" w:cs="Arial"/>
        </w:rPr>
        <w:t xml:space="preserve">that in accordance with the Contract Procedure Rules agreed contracts can be extended by 50% without a new procurement procedure subject to certain criteria.  However, this would be subject to the agreement of both </w:t>
      </w:r>
      <w:r w:rsidR="00021850" w:rsidRPr="006C255E">
        <w:rPr>
          <w:rFonts w:ascii="Arial" w:hAnsi="Arial" w:cs="Arial"/>
        </w:rPr>
        <w:t>Watford Borough Council</w:t>
      </w:r>
      <w:r w:rsidR="00615843" w:rsidRPr="006C255E">
        <w:rPr>
          <w:rFonts w:ascii="Arial" w:hAnsi="Arial" w:cs="Arial"/>
        </w:rPr>
        <w:t xml:space="preserve"> and their supplier.  </w:t>
      </w:r>
    </w:p>
    <w:p w:rsidR="002F407B" w:rsidRPr="006C255E" w:rsidRDefault="00615843" w:rsidP="00176400">
      <w:pPr>
        <w:ind w:left="1701" w:hanging="425"/>
        <w:jc w:val="both"/>
        <w:rPr>
          <w:rFonts w:ascii="Arial" w:hAnsi="Arial" w:cs="Arial"/>
        </w:rPr>
      </w:pPr>
      <w:r w:rsidRPr="006C255E">
        <w:rPr>
          <w:rFonts w:ascii="Arial" w:hAnsi="Arial" w:cs="Arial"/>
        </w:rPr>
        <w:t xml:space="preserve">3) </w:t>
      </w:r>
      <w:r w:rsidR="00B33089" w:rsidRPr="006C255E">
        <w:rPr>
          <w:rFonts w:ascii="Arial" w:hAnsi="Arial" w:cs="Arial"/>
        </w:rPr>
        <w:tab/>
      </w:r>
      <w:r w:rsidR="00862957" w:rsidRPr="006C255E">
        <w:rPr>
          <w:rFonts w:ascii="Arial" w:hAnsi="Arial" w:cs="Arial"/>
        </w:rPr>
        <w:t xml:space="preserve">Officers could seek an alternative Local Authority to jointly procure/provide a parking enforcement service with but no Authority has approached TRDC and timescales are short to initiate discussions afresh.  Officers have contacted East Herts DC (previously discussed with Members) regarding potential of joining their consortium but they have retained their views that they are not interested in pursuing this route.  </w:t>
      </w:r>
    </w:p>
    <w:p w:rsidR="002F407B" w:rsidRPr="006C255E" w:rsidRDefault="00615843" w:rsidP="00176400">
      <w:pPr>
        <w:ind w:left="1701" w:hanging="425"/>
        <w:jc w:val="both"/>
        <w:rPr>
          <w:rFonts w:ascii="Arial" w:hAnsi="Arial" w:cs="Arial"/>
          <w:color w:val="000000"/>
        </w:rPr>
      </w:pPr>
      <w:r w:rsidRPr="006C255E">
        <w:rPr>
          <w:rFonts w:ascii="Arial" w:hAnsi="Arial" w:cs="Arial"/>
        </w:rPr>
        <w:t xml:space="preserve">4) </w:t>
      </w:r>
      <w:r w:rsidR="00B33089" w:rsidRPr="006C255E">
        <w:rPr>
          <w:rFonts w:ascii="Arial" w:hAnsi="Arial" w:cs="Arial"/>
        </w:rPr>
        <w:tab/>
        <w:t xml:space="preserve">A hybrid option is available, to proceed both with </w:t>
      </w:r>
      <w:r w:rsidR="002F407B" w:rsidRPr="006C255E">
        <w:rPr>
          <w:rFonts w:ascii="Arial" w:hAnsi="Arial" w:cs="Arial"/>
          <w:color w:val="000000"/>
        </w:rPr>
        <w:t xml:space="preserve">continued discussions with HBC </w:t>
      </w:r>
      <w:r w:rsidR="00B33089" w:rsidRPr="006C255E">
        <w:rPr>
          <w:rFonts w:ascii="Arial" w:hAnsi="Arial" w:cs="Arial"/>
          <w:color w:val="000000"/>
        </w:rPr>
        <w:t xml:space="preserve">and with the procurement of an external </w:t>
      </w:r>
      <w:r w:rsidR="002F407B" w:rsidRPr="006C255E">
        <w:rPr>
          <w:rFonts w:ascii="Arial" w:hAnsi="Arial" w:cs="Arial"/>
          <w:color w:val="000000"/>
        </w:rPr>
        <w:t xml:space="preserve">service.  </w:t>
      </w:r>
      <w:r w:rsidR="00B33089" w:rsidRPr="006C255E">
        <w:rPr>
          <w:rFonts w:ascii="Arial" w:hAnsi="Arial" w:cs="Arial"/>
          <w:color w:val="000000"/>
        </w:rPr>
        <w:t xml:space="preserve">This would </w:t>
      </w:r>
      <w:r w:rsidR="004F183D" w:rsidRPr="006C255E">
        <w:rPr>
          <w:rFonts w:ascii="Arial" w:hAnsi="Arial" w:cs="Arial"/>
          <w:color w:val="000000"/>
        </w:rPr>
        <w:t xml:space="preserve">provide protection in the event that clear agreement is not reached. It may </w:t>
      </w:r>
      <w:r w:rsidR="00B33089" w:rsidRPr="006C255E">
        <w:rPr>
          <w:rFonts w:ascii="Arial" w:hAnsi="Arial" w:cs="Arial"/>
          <w:color w:val="000000"/>
        </w:rPr>
        <w:t>incur</w:t>
      </w:r>
      <w:r w:rsidR="002F407B" w:rsidRPr="006C255E">
        <w:rPr>
          <w:rFonts w:ascii="Arial" w:hAnsi="Arial" w:cs="Arial"/>
          <w:color w:val="000000"/>
        </w:rPr>
        <w:t xml:space="preserve"> </w:t>
      </w:r>
      <w:r w:rsidR="00B33089" w:rsidRPr="006C255E">
        <w:rPr>
          <w:rFonts w:ascii="Arial" w:hAnsi="Arial" w:cs="Arial"/>
          <w:color w:val="000000"/>
        </w:rPr>
        <w:t>the</w:t>
      </w:r>
      <w:r w:rsidR="004F183D" w:rsidRPr="006C255E">
        <w:rPr>
          <w:rFonts w:ascii="Arial" w:hAnsi="Arial" w:cs="Arial"/>
          <w:color w:val="000000"/>
        </w:rPr>
        <w:t xml:space="preserve"> additional</w:t>
      </w:r>
      <w:r w:rsidR="002F407B" w:rsidRPr="006C255E">
        <w:rPr>
          <w:rFonts w:ascii="Arial" w:hAnsi="Arial" w:cs="Arial"/>
          <w:color w:val="000000"/>
        </w:rPr>
        <w:t xml:space="preserve"> risk that </w:t>
      </w:r>
      <w:r w:rsidR="00B33089" w:rsidRPr="006C255E">
        <w:rPr>
          <w:rFonts w:ascii="Arial" w:hAnsi="Arial" w:cs="Arial"/>
          <w:color w:val="000000"/>
        </w:rPr>
        <w:t>this would deter either</w:t>
      </w:r>
      <w:r w:rsidR="002F407B" w:rsidRPr="006C255E">
        <w:rPr>
          <w:rFonts w:ascii="Arial" w:hAnsi="Arial" w:cs="Arial"/>
          <w:color w:val="000000"/>
        </w:rPr>
        <w:t xml:space="preserve"> </w:t>
      </w:r>
      <w:r w:rsidR="0055752A" w:rsidRPr="006C255E">
        <w:rPr>
          <w:rFonts w:ascii="Arial" w:hAnsi="Arial" w:cs="Arial"/>
          <w:color w:val="000000"/>
        </w:rPr>
        <w:t>party</w:t>
      </w:r>
      <w:r w:rsidR="002F407B" w:rsidRPr="006C255E">
        <w:rPr>
          <w:rFonts w:ascii="Arial" w:hAnsi="Arial" w:cs="Arial"/>
          <w:color w:val="000000"/>
        </w:rPr>
        <w:t xml:space="preserve"> </w:t>
      </w:r>
      <w:r w:rsidR="00B33089" w:rsidRPr="006C255E">
        <w:rPr>
          <w:rFonts w:ascii="Arial" w:hAnsi="Arial" w:cs="Arial"/>
          <w:color w:val="000000"/>
        </w:rPr>
        <w:t xml:space="preserve">due to the lack of clear commitment.  </w:t>
      </w:r>
    </w:p>
    <w:p w:rsidR="007710C4" w:rsidRPr="006C255E" w:rsidRDefault="003A7029" w:rsidP="00176400">
      <w:pPr>
        <w:ind w:left="1276" w:hanging="1276"/>
        <w:jc w:val="both"/>
        <w:rPr>
          <w:rFonts w:ascii="Arial" w:hAnsi="Arial" w:cs="Arial"/>
          <w:color w:val="000000"/>
        </w:rPr>
      </w:pPr>
      <w:r w:rsidRPr="006C255E">
        <w:rPr>
          <w:rFonts w:ascii="Arial" w:hAnsi="Arial" w:cs="Arial"/>
          <w:color w:val="000000"/>
        </w:rPr>
        <w:t>3.4</w:t>
      </w:r>
      <w:r w:rsidRPr="006C255E">
        <w:rPr>
          <w:rFonts w:ascii="Arial" w:hAnsi="Arial" w:cs="Arial"/>
          <w:color w:val="000000"/>
        </w:rPr>
        <w:tab/>
      </w:r>
      <w:r w:rsidR="007710C4" w:rsidRPr="006C255E">
        <w:rPr>
          <w:rFonts w:ascii="Arial" w:hAnsi="Arial" w:cs="Arial"/>
          <w:color w:val="000000"/>
        </w:rPr>
        <w:t>None of the above options are recommended due to both the time and costs involved and the uncertainty of the outcome.</w:t>
      </w:r>
    </w:p>
    <w:p w:rsidR="00025DCF" w:rsidRPr="006C255E" w:rsidRDefault="00862957" w:rsidP="00176400">
      <w:pPr>
        <w:ind w:left="1276" w:hanging="1276"/>
        <w:jc w:val="both"/>
        <w:rPr>
          <w:rFonts w:ascii="Arial" w:hAnsi="Arial" w:cs="Arial"/>
          <w:b/>
        </w:rPr>
      </w:pPr>
      <w:r w:rsidRPr="006C255E">
        <w:rPr>
          <w:rFonts w:ascii="Arial" w:hAnsi="Arial" w:cs="Arial"/>
        </w:rPr>
        <w:t>4</w:t>
      </w:r>
      <w:r w:rsidR="00615843" w:rsidRPr="006C255E">
        <w:rPr>
          <w:rFonts w:ascii="Arial" w:hAnsi="Arial" w:cs="Arial"/>
        </w:rPr>
        <w:t>.</w:t>
      </w:r>
      <w:r w:rsidR="00615843" w:rsidRPr="006C255E">
        <w:rPr>
          <w:rFonts w:ascii="Arial" w:hAnsi="Arial" w:cs="Arial"/>
        </w:rPr>
        <w:tab/>
      </w:r>
      <w:r w:rsidR="00025DCF" w:rsidRPr="006C255E">
        <w:rPr>
          <w:rFonts w:ascii="Arial" w:hAnsi="Arial" w:cs="Arial"/>
          <w:b/>
        </w:rPr>
        <w:t>Policy/Bu</w:t>
      </w:r>
      <w:r w:rsidR="00991EF6" w:rsidRPr="006C255E">
        <w:rPr>
          <w:rFonts w:ascii="Arial" w:hAnsi="Arial" w:cs="Arial"/>
          <w:b/>
        </w:rPr>
        <w:t>dget Reference and Implications</w:t>
      </w:r>
    </w:p>
    <w:p w:rsidR="00025DCF" w:rsidRPr="006C255E" w:rsidRDefault="00025DCF" w:rsidP="00176400">
      <w:pPr>
        <w:ind w:left="1276" w:hanging="1276"/>
        <w:jc w:val="both"/>
        <w:rPr>
          <w:rFonts w:ascii="Arial" w:hAnsi="Arial" w:cs="Arial"/>
        </w:rPr>
      </w:pPr>
      <w:r w:rsidRPr="006C255E">
        <w:rPr>
          <w:rFonts w:ascii="Arial" w:hAnsi="Arial" w:cs="Arial"/>
        </w:rPr>
        <w:t>4.1</w:t>
      </w:r>
      <w:r w:rsidRPr="006C255E">
        <w:rPr>
          <w:rFonts w:ascii="Arial" w:hAnsi="Arial" w:cs="Arial"/>
        </w:rPr>
        <w:tab/>
        <w:t xml:space="preserve">The recommendations in this report do not have implications for the Council’s agreed policy.  </w:t>
      </w:r>
    </w:p>
    <w:p w:rsidR="00025DCF" w:rsidRPr="006C255E" w:rsidRDefault="00025DCF" w:rsidP="00176400">
      <w:pPr>
        <w:keepNext/>
        <w:ind w:left="1276" w:hanging="1276"/>
        <w:jc w:val="both"/>
        <w:rPr>
          <w:rFonts w:ascii="Arial" w:hAnsi="Arial" w:cs="Arial"/>
        </w:rPr>
      </w:pPr>
      <w:r w:rsidRPr="006C255E">
        <w:rPr>
          <w:rFonts w:ascii="Arial" w:hAnsi="Arial" w:cs="Arial"/>
        </w:rPr>
        <w:t>5.</w:t>
      </w:r>
      <w:r w:rsidRPr="006C255E">
        <w:rPr>
          <w:rFonts w:ascii="Arial" w:hAnsi="Arial" w:cs="Arial"/>
        </w:rPr>
        <w:tab/>
      </w:r>
      <w:r w:rsidRPr="006C255E">
        <w:rPr>
          <w:rFonts w:ascii="Arial" w:hAnsi="Arial" w:cs="Arial"/>
          <w:b/>
        </w:rPr>
        <w:t>Financial and Legal Implications</w:t>
      </w:r>
    </w:p>
    <w:p w:rsidR="001D5378" w:rsidRPr="006C255E" w:rsidRDefault="00025DCF" w:rsidP="00176400">
      <w:pPr>
        <w:tabs>
          <w:tab w:val="left" w:pos="1276"/>
        </w:tabs>
        <w:ind w:left="1276" w:hanging="1276"/>
        <w:jc w:val="both"/>
        <w:rPr>
          <w:rFonts w:ascii="Arial" w:hAnsi="Arial" w:cs="Arial"/>
        </w:rPr>
      </w:pPr>
      <w:r w:rsidRPr="006C255E">
        <w:rPr>
          <w:rFonts w:ascii="Arial" w:hAnsi="Arial" w:cs="Arial"/>
        </w:rPr>
        <w:t>5.1</w:t>
      </w:r>
      <w:r w:rsidRPr="006C255E">
        <w:rPr>
          <w:rFonts w:ascii="Arial" w:hAnsi="Arial" w:cs="Arial"/>
        </w:rPr>
        <w:tab/>
      </w:r>
      <w:r w:rsidR="005B7ACF" w:rsidRPr="006C255E">
        <w:rPr>
          <w:rFonts w:ascii="Arial" w:hAnsi="Arial" w:cs="Arial"/>
          <w:color w:val="000000" w:themeColor="text1"/>
        </w:rPr>
        <w:t>Any</w:t>
      </w:r>
      <w:r w:rsidR="00921160" w:rsidRPr="006C255E">
        <w:rPr>
          <w:rFonts w:ascii="Arial" w:hAnsi="Arial" w:cs="Arial"/>
          <w:color w:val="000000" w:themeColor="text1"/>
        </w:rPr>
        <w:t xml:space="preserve"> decision </w:t>
      </w:r>
      <w:r w:rsidR="005B7ACF" w:rsidRPr="006C255E">
        <w:rPr>
          <w:rFonts w:ascii="Arial" w:hAnsi="Arial" w:cs="Arial"/>
          <w:color w:val="000000" w:themeColor="text1"/>
        </w:rPr>
        <w:t>to enter into a contract with an external partner such as HBC or another service provider would be the subject of a separate report for a future decision. This report relates only to a decision to continue to explore the offer of service by HBC, following the recent submission of details of that service.</w:t>
      </w:r>
      <w:r w:rsidRPr="006C255E">
        <w:rPr>
          <w:rFonts w:ascii="Arial" w:hAnsi="Arial" w:cs="Arial"/>
        </w:rPr>
        <w:t xml:space="preserve"> </w:t>
      </w:r>
    </w:p>
    <w:p w:rsidR="00025DCF" w:rsidRPr="006C255E" w:rsidRDefault="00D13A3C" w:rsidP="00176400">
      <w:pPr>
        <w:tabs>
          <w:tab w:val="left" w:pos="1276"/>
        </w:tabs>
        <w:ind w:left="1276" w:hanging="1276"/>
        <w:jc w:val="both"/>
        <w:rPr>
          <w:rFonts w:ascii="Arial" w:hAnsi="Arial" w:cs="Arial"/>
          <w:b/>
        </w:rPr>
      </w:pPr>
      <w:r>
        <w:rPr>
          <w:rFonts w:ascii="Arial" w:hAnsi="Arial" w:cs="Arial"/>
        </w:rPr>
        <w:t xml:space="preserve">6. </w:t>
      </w:r>
      <w:r>
        <w:rPr>
          <w:rFonts w:ascii="Arial" w:hAnsi="Arial" w:cs="Arial"/>
        </w:rPr>
        <w:tab/>
      </w:r>
      <w:r w:rsidR="00025DCF" w:rsidRPr="006C255E">
        <w:rPr>
          <w:rFonts w:ascii="Arial" w:hAnsi="Arial" w:cs="Arial"/>
          <w:b/>
        </w:rPr>
        <w:t>Staffing and Customer Services Centre</w:t>
      </w:r>
    </w:p>
    <w:p w:rsidR="00025DCF" w:rsidRPr="006C255E" w:rsidRDefault="005B7ACF" w:rsidP="00176400">
      <w:pPr>
        <w:pStyle w:val="BodyTextIndent"/>
        <w:ind w:left="1260" w:hanging="1260"/>
        <w:rPr>
          <w:rFonts w:cs="Arial"/>
          <w:b/>
          <w:szCs w:val="22"/>
        </w:rPr>
      </w:pPr>
      <w:r w:rsidRPr="006C255E">
        <w:rPr>
          <w:rFonts w:cs="Arial"/>
          <w:color w:val="000000" w:themeColor="text1"/>
        </w:rPr>
        <w:t>6.1</w:t>
      </w:r>
      <w:r w:rsidRPr="006C255E">
        <w:rPr>
          <w:rFonts w:cs="Arial"/>
          <w:color w:val="000000" w:themeColor="text1"/>
        </w:rPr>
        <w:tab/>
      </w:r>
      <w:r w:rsidR="00025DCF" w:rsidRPr="006C255E">
        <w:rPr>
          <w:rFonts w:cs="Arial"/>
          <w:szCs w:val="22"/>
        </w:rPr>
        <w:t xml:space="preserve">TRDC service requirements and the continuing discussions with HBC will determine the staffing implications.  Depending on the options pursued, consideration </w:t>
      </w:r>
      <w:r w:rsidR="005F3146" w:rsidRPr="006C255E">
        <w:rPr>
          <w:rFonts w:cs="Arial"/>
          <w:szCs w:val="22"/>
        </w:rPr>
        <w:t>will</w:t>
      </w:r>
      <w:r w:rsidR="00025DCF" w:rsidRPr="006C255E">
        <w:rPr>
          <w:rFonts w:cs="Arial"/>
          <w:szCs w:val="22"/>
        </w:rPr>
        <w:t xml:space="preserve"> be paid to the role of the existing Written Representations Officer, the Traffic Engineer role and </w:t>
      </w:r>
      <w:r w:rsidR="005F3146" w:rsidRPr="006C255E">
        <w:rPr>
          <w:rFonts w:cs="Arial"/>
          <w:szCs w:val="22"/>
        </w:rPr>
        <w:t xml:space="preserve">the </w:t>
      </w:r>
      <w:r w:rsidR="00025DCF" w:rsidRPr="006C255E">
        <w:rPr>
          <w:rFonts w:cs="Arial"/>
          <w:szCs w:val="22"/>
        </w:rPr>
        <w:t xml:space="preserve">potential transfer of existing staff.  This </w:t>
      </w:r>
      <w:r w:rsidR="005F3146" w:rsidRPr="006C255E">
        <w:rPr>
          <w:rFonts w:cs="Arial"/>
          <w:szCs w:val="22"/>
        </w:rPr>
        <w:t>may or may not</w:t>
      </w:r>
      <w:r w:rsidR="00025DCF" w:rsidRPr="006C255E">
        <w:rPr>
          <w:rFonts w:cs="Arial"/>
          <w:szCs w:val="22"/>
        </w:rPr>
        <w:t xml:space="preserve"> include the existing CEOs.  The legal implications for staffing would need to be explored further with the Council’s </w:t>
      </w:r>
      <w:r w:rsidR="00DB65F7" w:rsidRPr="006C255E">
        <w:rPr>
          <w:rFonts w:cs="Arial"/>
          <w:szCs w:val="22"/>
        </w:rPr>
        <w:t>Solicitors and</w:t>
      </w:r>
      <w:r w:rsidR="00890948" w:rsidRPr="006C255E">
        <w:rPr>
          <w:rFonts w:cs="Arial"/>
          <w:szCs w:val="22"/>
        </w:rPr>
        <w:t xml:space="preserve"> HR</w:t>
      </w:r>
      <w:r w:rsidR="005F3146" w:rsidRPr="006C255E">
        <w:rPr>
          <w:rFonts w:cs="Arial"/>
          <w:szCs w:val="22"/>
        </w:rPr>
        <w:t>.</w:t>
      </w:r>
    </w:p>
    <w:p w:rsidR="00025DCF" w:rsidRPr="006C255E" w:rsidRDefault="00025DCF" w:rsidP="00025DCF">
      <w:pPr>
        <w:pStyle w:val="BodyTextIndent"/>
        <w:ind w:left="720" w:firstLine="0"/>
        <w:rPr>
          <w:rFonts w:cs="Arial"/>
          <w:b/>
          <w:szCs w:val="22"/>
        </w:rPr>
      </w:pPr>
    </w:p>
    <w:p w:rsidR="00025DCF" w:rsidRPr="006C255E" w:rsidRDefault="00025DCF" w:rsidP="00025DCF">
      <w:pPr>
        <w:pStyle w:val="BodyTextIndent"/>
        <w:ind w:left="1260" w:hanging="1260"/>
        <w:rPr>
          <w:rFonts w:cs="Arial"/>
          <w:b/>
          <w:szCs w:val="22"/>
        </w:rPr>
      </w:pPr>
      <w:r w:rsidRPr="006C255E">
        <w:rPr>
          <w:rFonts w:cs="Arial"/>
          <w:szCs w:val="22"/>
        </w:rPr>
        <w:lastRenderedPageBreak/>
        <w:t>7.</w:t>
      </w:r>
      <w:r w:rsidRPr="006C255E">
        <w:rPr>
          <w:rFonts w:cs="Arial"/>
          <w:b/>
          <w:szCs w:val="22"/>
        </w:rPr>
        <w:tab/>
        <w:t>Environmental, Community Safety, Public Health, Communications &amp; Website.</w:t>
      </w:r>
    </w:p>
    <w:p w:rsidR="00BD1E26" w:rsidRPr="006C255E" w:rsidRDefault="00BD1E26" w:rsidP="00BD1E26">
      <w:pPr>
        <w:pStyle w:val="BodyTextIndent"/>
        <w:rPr>
          <w:rFonts w:cs="Arial"/>
          <w:b/>
          <w:szCs w:val="22"/>
        </w:rPr>
      </w:pPr>
    </w:p>
    <w:p w:rsidR="001D5378" w:rsidRPr="006C255E" w:rsidRDefault="00BD1E26" w:rsidP="00176400">
      <w:pPr>
        <w:pStyle w:val="BodyTextIndent"/>
        <w:rPr>
          <w:rFonts w:cs="Arial"/>
          <w:szCs w:val="22"/>
        </w:rPr>
      </w:pPr>
      <w:r w:rsidRPr="00D13A3C">
        <w:rPr>
          <w:rFonts w:cs="Arial"/>
          <w:szCs w:val="22"/>
        </w:rPr>
        <w:t>7.1</w:t>
      </w:r>
      <w:r w:rsidRPr="006C255E">
        <w:rPr>
          <w:rFonts w:cs="Arial"/>
          <w:b/>
          <w:szCs w:val="22"/>
        </w:rPr>
        <w:tab/>
      </w:r>
      <w:r w:rsidR="00025DCF" w:rsidRPr="006C255E">
        <w:rPr>
          <w:rFonts w:cs="Arial"/>
          <w:szCs w:val="22"/>
        </w:rPr>
        <w:t>None specific.</w:t>
      </w:r>
    </w:p>
    <w:p w:rsidR="00025DCF" w:rsidRPr="006C255E" w:rsidRDefault="00025DCF" w:rsidP="00176400">
      <w:pPr>
        <w:pStyle w:val="BodyTextIndent"/>
        <w:ind w:left="0" w:firstLine="0"/>
        <w:rPr>
          <w:rFonts w:cs="Arial"/>
          <w:szCs w:val="22"/>
        </w:rPr>
      </w:pPr>
    </w:p>
    <w:p w:rsidR="00025DCF" w:rsidRPr="006C255E" w:rsidRDefault="00025DCF" w:rsidP="00176400">
      <w:pPr>
        <w:keepNext/>
        <w:ind w:left="1267" w:hanging="1267"/>
        <w:jc w:val="both"/>
        <w:rPr>
          <w:rFonts w:ascii="Arial" w:hAnsi="Arial" w:cs="Arial"/>
          <w:b/>
        </w:rPr>
      </w:pPr>
      <w:r w:rsidRPr="006C255E">
        <w:rPr>
          <w:rFonts w:ascii="Arial" w:hAnsi="Arial" w:cs="Arial"/>
        </w:rPr>
        <w:t>8.</w:t>
      </w:r>
      <w:r w:rsidRPr="006C255E">
        <w:rPr>
          <w:rFonts w:ascii="Arial" w:hAnsi="Arial" w:cs="Arial"/>
        </w:rPr>
        <w:tab/>
      </w:r>
      <w:r w:rsidRPr="006C255E">
        <w:rPr>
          <w:rFonts w:ascii="Arial" w:hAnsi="Arial" w:cs="Arial"/>
          <w:b/>
        </w:rPr>
        <w:t>E</w:t>
      </w:r>
      <w:r w:rsidR="001D5378" w:rsidRPr="006C255E">
        <w:rPr>
          <w:rFonts w:ascii="Arial" w:hAnsi="Arial" w:cs="Arial"/>
          <w:b/>
        </w:rPr>
        <w:t>qual Opportunities Implications</w:t>
      </w:r>
    </w:p>
    <w:p w:rsidR="00025DCF" w:rsidRPr="006C255E" w:rsidRDefault="00025DCF" w:rsidP="00176400">
      <w:pPr>
        <w:keepNext/>
        <w:keepLines/>
        <w:ind w:left="1259" w:hanging="1259"/>
        <w:jc w:val="both"/>
        <w:rPr>
          <w:rFonts w:ascii="Arial" w:hAnsi="Arial" w:cs="Arial"/>
          <w:b/>
        </w:rPr>
      </w:pPr>
      <w:r w:rsidRPr="006C255E">
        <w:rPr>
          <w:rFonts w:ascii="Arial" w:hAnsi="Arial" w:cs="Arial"/>
        </w:rPr>
        <w:t>8.1</w:t>
      </w:r>
      <w:r w:rsidRPr="006C255E">
        <w:rPr>
          <w:rFonts w:ascii="Arial" w:hAnsi="Arial" w:cs="Arial"/>
        </w:rPr>
        <w:tab/>
      </w:r>
      <w:r w:rsidRPr="009B6816">
        <w:rPr>
          <w:rFonts w:ascii="Arial" w:hAnsi="Arial" w:cs="Arial"/>
          <w:b/>
          <w:i/>
        </w:rPr>
        <w:t>Relevance Test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025DCF" w:rsidRPr="006C255E" w:rsidTr="0055752A">
        <w:tc>
          <w:tcPr>
            <w:tcW w:w="6096" w:type="dxa"/>
          </w:tcPr>
          <w:p w:rsidR="00025DCF" w:rsidRPr="006C255E" w:rsidRDefault="00025DCF" w:rsidP="00176400">
            <w:pPr>
              <w:keepNext/>
              <w:keepLines/>
              <w:jc w:val="both"/>
              <w:rPr>
                <w:rFonts w:ascii="Arial" w:hAnsi="Arial" w:cs="Arial"/>
              </w:rPr>
            </w:pPr>
            <w:r w:rsidRPr="006C255E">
              <w:rPr>
                <w:rFonts w:ascii="Arial" w:hAnsi="Arial" w:cs="Arial"/>
              </w:rPr>
              <w:t>Has a relevance test been completed for Equality Impact?</w:t>
            </w:r>
          </w:p>
          <w:p w:rsidR="00025DCF" w:rsidRPr="006C255E" w:rsidRDefault="00025DCF" w:rsidP="00176400">
            <w:pPr>
              <w:jc w:val="both"/>
              <w:rPr>
                <w:rFonts w:ascii="Arial" w:hAnsi="Arial" w:cs="Arial"/>
              </w:rPr>
            </w:pPr>
          </w:p>
        </w:tc>
        <w:tc>
          <w:tcPr>
            <w:tcW w:w="1984" w:type="dxa"/>
          </w:tcPr>
          <w:p w:rsidR="00025DCF" w:rsidRPr="006C255E" w:rsidRDefault="00025DCF" w:rsidP="00176400">
            <w:pPr>
              <w:jc w:val="both"/>
              <w:rPr>
                <w:rFonts w:ascii="Arial" w:hAnsi="Arial" w:cs="Arial"/>
                <w:i/>
                <w:color w:val="FF0000"/>
              </w:rPr>
            </w:pPr>
            <w:r w:rsidRPr="006C255E">
              <w:rPr>
                <w:rFonts w:ascii="Arial" w:hAnsi="Arial" w:cs="Arial"/>
              </w:rPr>
              <w:t xml:space="preserve">No </w:t>
            </w:r>
          </w:p>
        </w:tc>
      </w:tr>
      <w:tr w:rsidR="00025DCF" w:rsidRPr="006C255E" w:rsidTr="0055752A">
        <w:tc>
          <w:tcPr>
            <w:tcW w:w="6096" w:type="dxa"/>
          </w:tcPr>
          <w:p w:rsidR="00025DCF" w:rsidRPr="006C255E" w:rsidRDefault="00025DCF" w:rsidP="00176400">
            <w:pPr>
              <w:keepNext/>
              <w:keepLines/>
              <w:jc w:val="both"/>
              <w:rPr>
                <w:rFonts w:ascii="Arial" w:hAnsi="Arial" w:cs="Arial"/>
              </w:rPr>
            </w:pPr>
            <w:r w:rsidRPr="006C255E">
              <w:rPr>
                <w:rFonts w:ascii="Arial" w:hAnsi="Arial" w:cs="Arial"/>
              </w:rPr>
              <w:t>Did the relevance test conclude a full impact assessment was required?</w:t>
            </w:r>
          </w:p>
          <w:p w:rsidR="00025DCF" w:rsidRPr="006C255E" w:rsidRDefault="00025DCF" w:rsidP="00176400">
            <w:pPr>
              <w:jc w:val="both"/>
              <w:rPr>
                <w:rFonts w:ascii="Arial" w:hAnsi="Arial" w:cs="Arial"/>
                <w:i/>
                <w:color w:val="FF0000"/>
              </w:rPr>
            </w:pPr>
          </w:p>
        </w:tc>
        <w:tc>
          <w:tcPr>
            <w:tcW w:w="1984" w:type="dxa"/>
          </w:tcPr>
          <w:p w:rsidR="00025DCF" w:rsidRPr="006C255E" w:rsidRDefault="00025DCF" w:rsidP="00176400">
            <w:pPr>
              <w:jc w:val="both"/>
              <w:rPr>
                <w:rFonts w:ascii="Arial" w:hAnsi="Arial" w:cs="Arial"/>
              </w:rPr>
            </w:pPr>
            <w:r w:rsidRPr="006C255E">
              <w:rPr>
                <w:rFonts w:ascii="Arial" w:hAnsi="Arial" w:cs="Arial"/>
              </w:rPr>
              <w:t xml:space="preserve">No </w:t>
            </w: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025DCF" w:rsidRPr="006C255E" w:rsidRDefault="00025DCF" w:rsidP="00176400">
      <w:pPr>
        <w:keepNext/>
        <w:ind w:left="1267" w:hanging="1267"/>
        <w:jc w:val="both"/>
        <w:rPr>
          <w:rFonts w:ascii="Arial" w:hAnsi="Arial" w:cs="Arial"/>
          <w:b/>
        </w:rPr>
      </w:pPr>
      <w:r w:rsidRPr="006C255E">
        <w:rPr>
          <w:rFonts w:ascii="Arial" w:hAnsi="Arial" w:cs="Arial"/>
        </w:rPr>
        <w:t>9.</w:t>
      </w:r>
      <w:r w:rsidRPr="006C255E">
        <w:rPr>
          <w:rFonts w:ascii="Arial" w:hAnsi="Arial" w:cs="Arial"/>
        </w:rPr>
        <w:tab/>
      </w:r>
      <w:r w:rsidRPr="006C255E">
        <w:rPr>
          <w:rFonts w:ascii="Arial" w:hAnsi="Arial" w:cs="Arial"/>
          <w:b/>
        </w:rPr>
        <w:t>Risk Management and Health &amp; Safety Implications</w:t>
      </w:r>
    </w:p>
    <w:p w:rsidR="00025DCF" w:rsidRPr="006C255E" w:rsidRDefault="00025DCF" w:rsidP="00176400">
      <w:pPr>
        <w:ind w:left="1260" w:hanging="1260"/>
        <w:jc w:val="both"/>
        <w:rPr>
          <w:rFonts w:ascii="Arial" w:hAnsi="Arial" w:cs="Arial"/>
        </w:rPr>
      </w:pPr>
      <w:r w:rsidRPr="006C255E">
        <w:rPr>
          <w:rFonts w:ascii="Arial" w:hAnsi="Arial" w:cs="Arial"/>
        </w:rPr>
        <w:t>9.1</w:t>
      </w:r>
      <w:r w:rsidRPr="006C255E">
        <w:rPr>
          <w:rFonts w:ascii="Arial" w:hAnsi="Arial" w:cs="Arial"/>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025DCF" w:rsidRPr="006C255E" w:rsidRDefault="00025DCF" w:rsidP="00176400">
      <w:pPr>
        <w:ind w:left="1260" w:hanging="1260"/>
        <w:jc w:val="both"/>
        <w:rPr>
          <w:rFonts w:ascii="Arial" w:hAnsi="Arial" w:cs="Arial"/>
        </w:rPr>
      </w:pPr>
      <w:r w:rsidRPr="006C255E">
        <w:rPr>
          <w:rFonts w:ascii="Arial" w:hAnsi="Arial" w:cs="Arial"/>
        </w:rPr>
        <w:t>9.2</w:t>
      </w:r>
      <w:r w:rsidRPr="006C255E">
        <w:rPr>
          <w:rFonts w:ascii="Arial" w:hAnsi="Arial" w:cs="Arial"/>
        </w:rPr>
        <w:tab/>
        <w:t xml:space="preserve">The </w:t>
      </w:r>
      <w:r w:rsidRPr="006C255E">
        <w:rPr>
          <w:rFonts w:ascii="Arial" w:hAnsi="Arial" w:cs="Arial"/>
          <w:color w:val="000000"/>
        </w:rPr>
        <w:t xml:space="preserve">subject of this report is covered by the </w:t>
      </w:r>
      <w:r w:rsidRPr="006C255E">
        <w:rPr>
          <w:rFonts w:ascii="Arial" w:hAnsi="Arial" w:cs="Arial"/>
          <w:color w:val="000000"/>
        </w:rPr>
        <w:fldChar w:fldCharType="begin"/>
      </w:r>
      <w:r w:rsidRPr="006C255E">
        <w:rPr>
          <w:rFonts w:ascii="Arial" w:hAnsi="Arial" w:cs="Arial"/>
          <w:color w:val="000000"/>
        </w:rPr>
        <w:instrText xml:space="preserve"> ASK   \* MERGEFORMAT </w:instrText>
      </w:r>
      <w:r w:rsidRPr="006C255E">
        <w:rPr>
          <w:rFonts w:ascii="Arial" w:hAnsi="Arial" w:cs="Arial"/>
          <w:color w:val="000000"/>
        </w:rPr>
        <w:fldChar w:fldCharType="end"/>
      </w:r>
      <w:r w:rsidRPr="006C255E">
        <w:rPr>
          <w:rFonts w:ascii="Arial" w:hAnsi="Arial" w:cs="Arial"/>
          <w:color w:val="000000"/>
        </w:rPr>
        <w:t xml:space="preserve">Regulatory Service Plan.  Any risks resulting from this report will be included in the risk register and, if necessary, managed within this plan. </w:t>
      </w:r>
    </w:p>
    <w:p w:rsidR="00025DCF" w:rsidRPr="006C255E" w:rsidRDefault="00025DCF" w:rsidP="00176400">
      <w:pPr>
        <w:ind w:left="1260" w:hanging="1260"/>
        <w:jc w:val="both"/>
        <w:rPr>
          <w:rFonts w:cs="Arial"/>
        </w:rPr>
      </w:pPr>
      <w:r w:rsidRPr="006C255E">
        <w:rPr>
          <w:rFonts w:ascii="Arial" w:hAnsi="Arial" w:cs="Arial"/>
        </w:rPr>
        <w:t>9.3</w:t>
      </w:r>
      <w:r w:rsidRPr="006C255E">
        <w:rPr>
          <w:rFonts w:ascii="Arial" w:hAnsi="Arial" w:cs="Arial"/>
        </w:rPr>
        <w:tab/>
        <w:t>The following table gives the risks if the recommendations are agreed, together with a scored assessment of their impact and likelihood.</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37"/>
        <w:gridCol w:w="1383"/>
      </w:tblGrid>
      <w:tr w:rsidR="00025DCF" w:rsidRPr="006C255E" w:rsidTr="00025DCF">
        <w:tc>
          <w:tcPr>
            <w:tcW w:w="5384" w:type="dxa"/>
            <w:gridSpan w:val="2"/>
          </w:tcPr>
          <w:p w:rsidR="00025DCF" w:rsidRPr="006C255E" w:rsidRDefault="00025DCF" w:rsidP="00176400">
            <w:pPr>
              <w:jc w:val="both"/>
              <w:rPr>
                <w:rFonts w:ascii="Arial" w:hAnsi="Arial" w:cs="Arial"/>
              </w:rPr>
            </w:pPr>
            <w:r w:rsidRPr="006C255E">
              <w:rPr>
                <w:rFonts w:ascii="Arial" w:hAnsi="Arial" w:cs="Arial"/>
              </w:rPr>
              <w:t>Description of Risk</w:t>
            </w:r>
          </w:p>
        </w:tc>
        <w:tc>
          <w:tcPr>
            <w:tcW w:w="1137" w:type="dxa"/>
          </w:tcPr>
          <w:p w:rsidR="00025DCF" w:rsidRPr="006C255E" w:rsidRDefault="00025DCF" w:rsidP="00176400">
            <w:pPr>
              <w:jc w:val="both"/>
              <w:rPr>
                <w:rFonts w:ascii="Arial" w:hAnsi="Arial" w:cs="Arial"/>
              </w:rPr>
            </w:pPr>
            <w:r w:rsidRPr="006C255E">
              <w:rPr>
                <w:rFonts w:ascii="Arial" w:hAnsi="Arial" w:cs="Arial"/>
              </w:rPr>
              <w:t>Impact</w:t>
            </w:r>
          </w:p>
        </w:tc>
        <w:tc>
          <w:tcPr>
            <w:tcW w:w="1383" w:type="dxa"/>
          </w:tcPr>
          <w:p w:rsidR="00025DCF" w:rsidRPr="006C255E" w:rsidRDefault="00025DCF" w:rsidP="00176400">
            <w:pPr>
              <w:ind w:left="34"/>
              <w:jc w:val="both"/>
              <w:rPr>
                <w:rFonts w:ascii="Arial" w:hAnsi="Arial" w:cs="Arial"/>
              </w:rPr>
            </w:pPr>
            <w:r w:rsidRPr="006C255E">
              <w:rPr>
                <w:rFonts w:ascii="Arial" w:hAnsi="Arial" w:cs="Arial"/>
              </w:rPr>
              <w:t>Likelihood</w:t>
            </w:r>
          </w:p>
        </w:tc>
      </w:tr>
      <w:tr w:rsidR="00025DCF" w:rsidRPr="006C255E" w:rsidTr="00025DCF">
        <w:trPr>
          <w:trHeight w:val="764"/>
        </w:trPr>
        <w:tc>
          <w:tcPr>
            <w:tcW w:w="284" w:type="dxa"/>
          </w:tcPr>
          <w:p w:rsidR="00025DCF" w:rsidRPr="006C255E" w:rsidRDefault="0055752A" w:rsidP="00176400">
            <w:pPr>
              <w:jc w:val="both"/>
              <w:rPr>
                <w:rFonts w:ascii="Arial" w:hAnsi="Arial" w:cs="Arial"/>
              </w:rPr>
            </w:pPr>
            <w:r w:rsidRPr="006C255E">
              <w:rPr>
                <w:rFonts w:ascii="Arial" w:hAnsi="Arial" w:cs="Arial"/>
              </w:rPr>
              <w:t>2</w:t>
            </w:r>
          </w:p>
        </w:tc>
        <w:tc>
          <w:tcPr>
            <w:tcW w:w="5100" w:type="dxa"/>
          </w:tcPr>
          <w:p w:rsidR="00025DCF" w:rsidRPr="006C255E" w:rsidRDefault="0055752A" w:rsidP="00176400">
            <w:pPr>
              <w:jc w:val="both"/>
              <w:rPr>
                <w:rFonts w:ascii="Arial" w:hAnsi="Arial" w:cs="Arial"/>
              </w:rPr>
            </w:pPr>
            <w:r w:rsidRPr="006C255E">
              <w:rPr>
                <w:rFonts w:ascii="Arial" w:hAnsi="Arial" w:cs="Arial"/>
              </w:rPr>
              <w:t>Agreement that the new service will be delivered at a lower standard than expected.</w:t>
            </w:r>
          </w:p>
        </w:tc>
        <w:tc>
          <w:tcPr>
            <w:tcW w:w="1137" w:type="dxa"/>
          </w:tcPr>
          <w:p w:rsidR="00025DCF" w:rsidRPr="006C255E" w:rsidRDefault="00BD1E26" w:rsidP="00176400">
            <w:pPr>
              <w:jc w:val="both"/>
              <w:rPr>
                <w:rFonts w:ascii="Arial" w:hAnsi="Arial" w:cs="Arial"/>
              </w:rPr>
            </w:pPr>
            <w:r w:rsidRPr="006C255E">
              <w:rPr>
                <w:rFonts w:ascii="Arial" w:hAnsi="Arial" w:cs="Arial"/>
              </w:rPr>
              <w:t>IIID</w:t>
            </w:r>
          </w:p>
        </w:tc>
        <w:tc>
          <w:tcPr>
            <w:tcW w:w="1383" w:type="dxa"/>
          </w:tcPr>
          <w:p w:rsidR="00025DCF" w:rsidRPr="006C255E" w:rsidRDefault="00025DCF" w:rsidP="00176400">
            <w:pPr>
              <w:jc w:val="both"/>
              <w:rPr>
                <w:rFonts w:ascii="Arial" w:hAnsi="Arial" w:cs="Arial"/>
              </w:rPr>
            </w:pPr>
          </w:p>
        </w:tc>
      </w:tr>
    </w:tbl>
    <w:p w:rsidR="009B6816" w:rsidRDefault="009B6816" w:rsidP="00176400">
      <w:pPr>
        <w:spacing w:after="0"/>
        <w:ind w:left="1259" w:hanging="1259"/>
        <w:jc w:val="both"/>
        <w:rPr>
          <w:rFonts w:ascii="Arial" w:hAnsi="Arial" w:cs="Arial"/>
        </w:rPr>
      </w:pPr>
    </w:p>
    <w:p w:rsidR="00025DCF" w:rsidRDefault="00025DCF" w:rsidP="00176400">
      <w:pPr>
        <w:spacing w:after="0"/>
        <w:ind w:left="1259" w:hanging="1259"/>
        <w:jc w:val="both"/>
        <w:rPr>
          <w:rFonts w:ascii="Arial" w:hAnsi="Arial" w:cs="Arial"/>
        </w:rPr>
      </w:pPr>
      <w:r w:rsidRPr="006C255E">
        <w:rPr>
          <w:rFonts w:ascii="Arial" w:hAnsi="Arial" w:cs="Arial"/>
        </w:rPr>
        <w:t>9.4</w:t>
      </w:r>
      <w:r w:rsidRPr="006C255E">
        <w:rPr>
          <w:rFonts w:ascii="Arial" w:hAnsi="Arial" w:cs="Arial"/>
        </w:rPr>
        <w:tab/>
        <w:t>The following table gives the risks that would exist if the recommendation is rejected, together with a scored assessment of their impact and likelihood:</w:t>
      </w:r>
    </w:p>
    <w:p w:rsidR="009B6816" w:rsidRPr="006C255E" w:rsidRDefault="009B6816" w:rsidP="00176400">
      <w:pPr>
        <w:spacing w:after="0"/>
        <w:ind w:left="1259" w:hanging="1259"/>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025DCF" w:rsidRPr="006C255E" w:rsidTr="00BD1E26">
        <w:trPr>
          <w:trHeight w:val="625"/>
        </w:trPr>
        <w:tc>
          <w:tcPr>
            <w:tcW w:w="5384" w:type="dxa"/>
            <w:gridSpan w:val="2"/>
          </w:tcPr>
          <w:p w:rsidR="00025DCF" w:rsidRPr="006C255E" w:rsidRDefault="00025DCF" w:rsidP="00176400">
            <w:pPr>
              <w:jc w:val="both"/>
              <w:rPr>
                <w:rFonts w:ascii="Arial" w:hAnsi="Arial" w:cs="Arial"/>
              </w:rPr>
            </w:pPr>
            <w:r w:rsidRPr="006C255E">
              <w:rPr>
                <w:rFonts w:ascii="Arial" w:hAnsi="Arial" w:cs="Arial"/>
              </w:rPr>
              <w:t>Description of Risk</w:t>
            </w:r>
          </w:p>
        </w:tc>
        <w:tc>
          <w:tcPr>
            <w:tcW w:w="1170" w:type="dxa"/>
          </w:tcPr>
          <w:p w:rsidR="00025DCF" w:rsidRPr="006C255E" w:rsidRDefault="00025DCF" w:rsidP="00176400">
            <w:pPr>
              <w:jc w:val="both"/>
              <w:rPr>
                <w:rFonts w:ascii="Arial" w:hAnsi="Arial" w:cs="Arial"/>
              </w:rPr>
            </w:pPr>
            <w:r w:rsidRPr="006C255E">
              <w:rPr>
                <w:rFonts w:ascii="Arial" w:hAnsi="Arial" w:cs="Arial"/>
              </w:rPr>
              <w:t>Impact</w:t>
            </w:r>
          </w:p>
        </w:tc>
        <w:tc>
          <w:tcPr>
            <w:tcW w:w="1350" w:type="dxa"/>
          </w:tcPr>
          <w:p w:rsidR="00025DCF" w:rsidRPr="006C255E" w:rsidRDefault="00025DCF" w:rsidP="00176400">
            <w:pPr>
              <w:ind w:left="34"/>
              <w:jc w:val="both"/>
              <w:rPr>
                <w:rFonts w:ascii="Arial" w:hAnsi="Arial" w:cs="Arial"/>
              </w:rPr>
            </w:pPr>
            <w:r w:rsidRPr="006C255E">
              <w:rPr>
                <w:rFonts w:ascii="Arial" w:hAnsi="Arial" w:cs="Arial"/>
              </w:rPr>
              <w:t>Likelihood</w:t>
            </w:r>
          </w:p>
        </w:tc>
      </w:tr>
      <w:tr w:rsidR="00025DCF" w:rsidRPr="006C255E" w:rsidTr="00025DCF">
        <w:tc>
          <w:tcPr>
            <w:tcW w:w="328" w:type="dxa"/>
          </w:tcPr>
          <w:p w:rsidR="00025DCF" w:rsidRPr="006C255E" w:rsidRDefault="00025DCF" w:rsidP="00176400">
            <w:pPr>
              <w:jc w:val="both"/>
              <w:rPr>
                <w:rFonts w:ascii="Arial" w:hAnsi="Arial" w:cs="Arial"/>
              </w:rPr>
            </w:pPr>
            <w:r w:rsidRPr="006C255E">
              <w:rPr>
                <w:rFonts w:ascii="Arial" w:hAnsi="Arial" w:cs="Arial"/>
              </w:rPr>
              <w:t>1</w:t>
            </w:r>
          </w:p>
        </w:tc>
        <w:tc>
          <w:tcPr>
            <w:tcW w:w="5056" w:type="dxa"/>
          </w:tcPr>
          <w:p w:rsidR="00025DCF" w:rsidRPr="006C255E" w:rsidRDefault="001D5378" w:rsidP="00176400">
            <w:pPr>
              <w:jc w:val="both"/>
              <w:rPr>
                <w:rFonts w:ascii="Arial" w:hAnsi="Arial" w:cs="Arial"/>
              </w:rPr>
            </w:pPr>
            <w:r w:rsidRPr="006C255E">
              <w:rPr>
                <w:rFonts w:ascii="Arial" w:hAnsi="Arial" w:cs="Arial"/>
              </w:rPr>
              <w:t>Failure to agree a parking enforcement service within the relevant timescales</w:t>
            </w:r>
          </w:p>
        </w:tc>
        <w:tc>
          <w:tcPr>
            <w:tcW w:w="1170" w:type="dxa"/>
          </w:tcPr>
          <w:p w:rsidR="00025DCF" w:rsidRPr="006C255E" w:rsidRDefault="00BD1E26" w:rsidP="00176400">
            <w:pPr>
              <w:jc w:val="both"/>
              <w:rPr>
                <w:rFonts w:ascii="Arial" w:hAnsi="Arial" w:cs="Arial"/>
              </w:rPr>
            </w:pPr>
            <w:r w:rsidRPr="006C255E">
              <w:rPr>
                <w:rFonts w:ascii="Arial" w:hAnsi="Arial" w:cs="Arial"/>
              </w:rPr>
              <w:t>IIID</w:t>
            </w:r>
          </w:p>
        </w:tc>
        <w:tc>
          <w:tcPr>
            <w:tcW w:w="1350" w:type="dxa"/>
          </w:tcPr>
          <w:p w:rsidR="00025DCF" w:rsidRPr="006C255E" w:rsidRDefault="00025DCF" w:rsidP="00176400">
            <w:pPr>
              <w:jc w:val="both"/>
              <w:rPr>
                <w:rFonts w:ascii="Arial" w:hAnsi="Arial" w:cs="Arial"/>
              </w:rPr>
            </w:pP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025DCF" w:rsidRPr="006C255E" w:rsidRDefault="00025DCF" w:rsidP="00176400">
      <w:pPr>
        <w:pStyle w:val="BodyTextIndent"/>
        <w:rPr>
          <w:rFonts w:cs="Arial"/>
          <w:szCs w:val="22"/>
        </w:rPr>
      </w:pPr>
      <w:r w:rsidRPr="006C255E">
        <w:rPr>
          <w:rFonts w:cs="Arial"/>
          <w:szCs w:val="22"/>
        </w:rPr>
        <w:t>9.5</w:t>
      </w:r>
      <w:r w:rsidRPr="006C255E">
        <w:rPr>
          <w:rFonts w:cs="Arial"/>
          <w:szCs w:val="22"/>
        </w:rPr>
        <w:tab/>
        <w:t>Of the risks detailed above none is already managed within a service plan.</w:t>
      </w:r>
    </w:p>
    <w:p w:rsidR="0055752A" w:rsidRPr="006C255E" w:rsidRDefault="0055752A" w:rsidP="00176400">
      <w:pPr>
        <w:pStyle w:val="BodyTextIndent"/>
        <w:rPr>
          <w:rFonts w:cs="Arial"/>
        </w:rPr>
      </w:pPr>
    </w:p>
    <w:p w:rsidR="00025DCF" w:rsidRPr="006C255E" w:rsidRDefault="00025DCF" w:rsidP="00176400">
      <w:pPr>
        <w:ind w:left="1276" w:hanging="1276"/>
        <w:jc w:val="both"/>
        <w:rPr>
          <w:rFonts w:ascii="Arial" w:hAnsi="Arial" w:cs="Arial"/>
        </w:rPr>
      </w:pPr>
      <w:r w:rsidRPr="006C255E">
        <w:rPr>
          <w:rFonts w:ascii="Arial" w:hAnsi="Arial" w:cs="Arial"/>
        </w:rPr>
        <w:lastRenderedPageBreak/>
        <w:t>9.6</w:t>
      </w:r>
      <w:r w:rsidRPr="006C255E">
        <w:rPr>
          <w:rFonts w:ascii="Arial" w:hAnsi="Arial" w:cs="Arial"/>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025DCF" w:rsidRPr="006C255E" w:rsidTr="00025DCF">
        <w:trPr>
          <w:cantSplit/>
        </w:trPr>
        <w:tc>
          <w:tcPr>
            <w:tcW w:w="645" w:type="dxa"/>
            <w:vMerge w:val="restart"/>
            <w:textDirection w:val="btLr"/>
          </w:tcPr>
          <w:p w:rsidR="00025DCF" w:rsidRPr="009B6816" w:rsidRDefault="004F183D" w:rsidP="00176400">
            <w:pPr>
              <w:keepNext/>
              <w:keepLines/>
              <w:ind w:left="113" w:right="113"/>
              <w:jc w:val="both"/>
              <w:rPr>
                <w:rFonts w:ascii="Arial" w:hAnsi="Arial" w:cs="Arial"/>
                <w:b/>
              </w:rPr>
            </w:pPr>
            <w:r w:rsidRPr="009B6816">
              <w:rPr>
                <w:rFonts w:ascii="Arial" w:hAnsi="Arial" w:cs="Arial"/>
                <w:noProof/>
                <w:lang w:eastAsia="en-GB"/>
              </w:rPr>
              <mc:AlternateContent>
                <mc:Choice Requires="wps">
                  <w:drawing>
                    <wp:anchor distT="0" distB="0" distL="114298" distR="114298" simplePos="0" relativeHeight="251659264" behindDoc="0" locked="0" layoutInCell="0" allowOverlap="1" wp14:anchorId="25559684" wp14:editId="5F7C0A5C">
                      <wp:simplePos x="0" y="0"/>
                      <wp:positionH relativeFrom="column">
                        <wp:posOffset>1115060</wp:posOffset>
                      </wp:positionH>
                      <wp:positionV relativeFrom="paragraph">
                        <wp:posOffset>814070</wp:posOffset>
                      </wp:positionV>
                      <wp:extent cx="0" cy="1296670"/>
                      <wp:effectExtent l="76200" t="38100" r="571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pt,64.1pt" to="87.8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" o:allowincell="f">
                      <v:stroke endarrow="block"/>
                    </v:line>
                  </w:pict>
                </mc:Fallback>
              </mc:AlternateContent>
            </w:r>
            <w:r w:rsidRPr="009B6816">
              <w:rPr>
                <w:rFonts w:ascii="Arial" w:hAnsi="Arial" w:cs="Arial"/>
                <w:noProof/>
                <w:lang w:eastAsia="en-GB"/>
              </w:rPr>
              <mc:AlternateContent>
                <mc:Choice Requires="wps">
                  <w:drawing>
                    <wp:anchor distT="4294967294" distB="4294967294" distL="114300" distR="114300" simplePos="0" relativeHeight="251660288" behindDoc="0" locked="0" layoutInCell="0" allowOverlap="1" wp14:anchorId="34A66568" wp14:editId="6E8D1587">
                      <wp:simplePos x="0" y="0"/>
                      <wp:positionH relativeFrom="column">
                        <wp:posOffset>1470025</wp:posOffset>
                      </wp:positionH>
                      <wp:positionV relativeFrom="paragraph">
                        <wp:posOffset>2808605</wp:posOffset>
                      </wp:positionV>
                      <wp:extent cx="2286000" cy="0"/>
                      <wp:effectExtent l="0" t="76200" r="1905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75pt,221.15pt" to="295.75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" o:allowincell="f">
                      <v:stroke endarrow="block"/>
                    </v:line>
                  </w:pict>
                </mc:Fallback>
              </mc:AlternateContent>
            </w:r>
            <w:r w:rsidR="00025DCF" w:rsidRPr="009B6816">
              <w:rPr>
                <w:rFonts w:ascii="Arial" w:hAnsi="Arial" w:cs="Arial"/>
                <w:b/>
              </w:rPr>
              <w:t>Likelihood</w:t>
            </w: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A</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Impact</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Likelihood</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B</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V = Catastrophic</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A = &gt;98%</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C</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IV = Critical</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B = 75% - 97%</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D</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tcPr>
          <w:p w:rsidR="00025DCF" w:rsidRPr="009B6816" w:rsidRDefault="00BD1E26" w:rsidP="00176400">
            <w:pPr>
              <w:keepNext/>
              <w:keepLines/>
              <w:jc w:val="both"/>
              <w:rPr>
                <w:rFonts w:ascii="Arial" w:hAnsi="Arial" w:cs="Arial"/>
              </w:rPr>
            </w:pPr>
            <w:r w:rsidRPr="009B6816">
              <w:rPr>
                <w:rFonts w:ascii="Arial" w:hAnsi="Arial" w:cs="Arial"/>
              </w:rPr>
              <w:t>1 2</w:t>
            </w: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III = Significant</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C = 50% - 74%</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E</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II = Marginal</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D = 25% - 49%</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F</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 = Negligible</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E = 3% - 24%</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w:t>
            </w: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II</w:t>
            </w:r>
          </w:p>
        </w:tc>
        <w:tc>
          <w:tcPr>
            <w:tcW w:w="724" w:type="dxa"/>
          </w:tcPr>
          <w:p w:rsidR="00025DCF" w:rsidRPr="009B6816" w:rsidRDefault="00025DCF" w:rsidP="00176400">
            <w:pPr>
              <w:keepNext/>
              <w:keepLines/>
              <w:jc w:val="both"/>
              <w:rPr>
                <w:rFonts w:ascii="Arial" w:hAnsi="Arial" w:cs="Arial"/>
              </w:rPr>
            </w:pPr>
            <w:r w:rsidRPr="009B6816">
              <w:rPr>
                <w:rFonts w:ascii="Arial" w:hAnsi="Arial" w:cs="Arial"/>
              </w:rPr>
              <w:t>III</w:t>
            </w: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IV</w:t>
            </w:r>
          </w:p>
        </w:tc>
        <w:tc>
          <w:tcPr>
            <w:tcW w:w="724" w:type="dxa"/>
          </w:tcPr>
          <w:p w:rsidR="00025DCF" w:rsidRPr="009B6816" w:rsidRDefault="00025DCF" w:rsidP="00176400">
            <w:pPr>
              <w:keepNext/>
              <w:keepLines/>
              <w:jc w:val="both"/>
              <w:rPr>
                <w:rFonts w:ascii="Arial" w:hAnsi="Arial" w:cs="Arial"/>
              </w:rPr>
            </w:pPr>
            <w:r w:rsidRPr="009B6816">
              <w:rPr>
                <w:rFonts w:ascii="Arial" w:hAnsi="Arial" w:cs="Arial"/>
              </w:rPr>
              <w:t>V</w:t>
            </w: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 xml:space="preserve">F = </w:t>
            </w:r>
            <w:r w:rsidRPr="009B6816">
              <w:rPr>
                <w:rFonts w:ascii="Arial" w:hAnsi="Arial" w:cs="Arial"/>
                <w:spacing w:val="-8"/>
                <w:sz w:val="16"/>
                <w:szCs w:val="20"/>
              </w:rPr>
              <w:t xml:space="preserve"> &lt;2%</w:t>
            </w:r>
          </w:p>
        </w:tc>
      </w:tr>
      <w:tr w:rsidR="00025DCF" w:rsidRPr="006C255E" w:rsidTr="00025DCF">
        <w:trPr>
          <w:cantSplit/>
          <w:trHeight w:val="387"/>
        </w:trPr>
        <w:tc>
          <w:tcPr>
            <w:tcW w:w="645" w:type="dxa"/>
            <w:vMerge/>
          </w:tcPr>
          <w:p w:rsidR="00025DCF" w:rsidRPr="009B6816" w:rsidRDefault="00025DCF" w:rsidP="00176400">
            <w:pPr>
              <w:keepNext/>
              <w:keepLines/>
              <w:jc w:val="both"/>
              <w:rPr>
                <w:rFonts w:ascii="Arial" w:hAnsi="Arial" w:cs="Arial"/>
              </w:rPr>
            </w:pPr>
          </w:p>
        </w:tc>
        <w:tc>
          <w:tcPr>
            <w:tcW w:w="4069" w:type="dxa"/>
            <w:gridSpan w:val="6"/>
          </w:tcPr>
          <w:p w:rsidR="00025DCF" w:rsidRPr="009B6816" w:rsidRDefault="00025DCF" w:rsidP="00176400">
            <w:pPr>
              <w:keepNext/>
              <w:keepLines/>
              <w:spacing w:before="40"/>
              <w:jc w:val="both"/>
              <w:rPr>
                <w:rFonts w:ascii="Arial" w:hAnsi="Arial" w:cs="Arial"/>
                <w:b/>
              </w:rPr>
            </w:pPr>
            <w:r w:rsidRPr="009B6816">
              <w:rPr>
                <w:rFonts w:ascii="Arial" w:hAnsi="Arial" w:cs="Arial"/>
                <w:b/>
              </w:rPr>
              <w:t>Impact</w:t>
            </w:r>
          </w:p>
          <w:p w:rsidR="00025DCF" w:rsidRPr="009B6816" w:rsidRDefault="00025DCF" w:rsidP="00176400">
            <w:pPr>
              <w:keepNext/>
              <w:keepLines/>
              <w:jc w:val="both"/>
              <w:rPr>
                <w:rFonts w:ascii="Arial" w:hAnsi="Arial" w:cs="Arial"/>
                <w:b/>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AD3C0D" w:rsidRDefault="00025DCF" w:rsidP="00176400">
      <w:pPr>
        <w:ind w:left="1276" w:hanging="1276"/>
        <w:jc w:val="both"/>
        <w:rPr>
          <w:rFonts w:ascii="Arial" w:hAnsi="Arial" w:cs="Arial"/>
        </w:rPr>
      </w:pPr>
      <w:r w:rsidRPr="006C255E">
        <w:rPr>
          <w:rFonts w:ascii="Arial" w:hAnsi="Arial" w:cs="Arial"/>
        </w:rPr>
        <w:t>9.7</w:t>
      </w:r>
      <w:r w:rsidRPr="006C255E">
        <w:rPr>
          <w:rFonts w:ascii="Arial" w:hAnsi="Arial" w:cs="Arial"/>
        </w:rPr>
        <w:tab/>
        <w:t>In the officers’ opinion the new risks above, were they to come about, would not seriously prejudice the achievement of the Strategic Plan and are therefore operational risks.  The effectiveness of treatment plans are reviewed by the Audit Committee annually.</w:t>
      </w:r>
    </w:p>
    <w:p w:rsidR="00AD3C0D" w:rsidRDefault="00025DCF" w:rsidP="00176400">
      <w:pPr>
        <w:ind w:left="1276" w:hanging="1276"/>
        <w:jc w:val="both"/>
        <w:rPr>
          <w:rFonts w:ascii="Arial" w:hAnsi="Arial" w:cs="Arial"/>
          <w:b/>
        </w:rPr>
      </w:pPr>
      <w:r w:rsidRPr="006C255E">
        <w:rPr>
          <w:rFonts w:ascii="Arial" w:hAnsi="Arial" w:cs="Arial"/>
        </w:rPr>
        <w:t>10.</w:t>
      </w:r>
      <w:r w:rsidRPr="006C255E">
        <w:rPr>
          <w:rFonts w:ascii="Arial" w:hAnsi="Arial" w:cs="Arial"/>
        </w:rPr>
        <w:fldChar w:fldCharType="begin"/>
      </w:r>
      <w:r w:rsidRPr="006C255E">
        <w:rPr>
          <w:rFonts w:ascii="Arial" w:hAnsi="Arial" w:cs="Arial"/>
        </w:rPr>
        <w:instrText xml:space="preserve">  </w:instrText>
      </w:r>
      <w:r w:rsidRPr="006C255E">
        <w:rPr>
          <w:rFonts w:ascii="Arial" w:hAnsi="Arial" w:cs="Arial"/>
        </w:rPr>
        <w:fldChar w:fldCharType="end"/>
      </w:r>
      <w:r w:rsidRPr="006C255E">
        <w:rPr>
          <w:rFonts w:ascii="Arial" w:hAnsi="Arial" w:cs="Arial"/>
        </w:rPr>
        <w:tab/>
      </w:r>
      <w:r w:rsidRPr="006C255E">
        <w:rPr>
          <w:rFonts w:ascii="Arial" w:hAnsi="Arial" w:cs="Arial"/>
          <w:b/>
        </w:rPr>
        <w:t>Recommendations</w:t>
      </w:r>
    </w:p>
    <w:p w:rsidR="00AD3C0D" w:rsidRDefault="005F3146" w:rsidP="00176400">
      <w:pPr>
        <w:ind w:left="1276" w:hanging="1276"/>
        <w:jc w:val="both"/>
        <w:rPr>
          <w:rFonts w:ascii="Arial" w:hAnsi="Arial" w:cs="Arial"/>
        </w:rPr>
      </w:pPr>
      <w:r w:rsidRPr="006C255E">
        <w:rPr>
          <w:rFonts w:ascii="Arial" w:hAnsi="Arial" w:cs="Arial"/>
        </w:rPr>
        <w:t>10.1</w:t>
      </w:r>
      <w:r w:rsidRPr="006C255E">
        <w:rPr>
          <w:rFonts w:ascii="Arial" w:hAnsi="Arial" w:cs="Arial"/>
        </w:rPr>
        <w:tab/>
        <w:t>That the C</w:t>
      </w:r>
      <w:r w:rsidR="0055752A" w:rsidRPr="006C255E">
        <w:rPr>
          <w:rFonts w:ascii="Arial" w:hAnsi="Arial" w:cs="Arial"/>
        </w:rPr>
        <w:t>ommittee agrees to progress the current option of working solely with Hertsmere BC which would deliver a Lead Authority Shared Service, for</w:t>
      </w:r>
      <w:r w:rsidR="00AC0468" w:rsidRPr="006C255E">
        <w:rPr>
          <w:rFonts w:ascii="Arial" w:hAnsi="Arial" w:cs="Arial"/>
        </w:rPr>
        <w:t xml:space="preserve"> a contract period of 5</w:t>
      </w:r>
      <w:r w:rsidR="0055752A" w:rsidRPr="006C255E">
        <w:rPr>
          <w:rFonts w:ascii="Arial" w:hAnsi="Arial" w:cs="Arial"/>
        </w:rPr>
        <w:t xml:space="preserve"> years</w:t>
      </w:r>
      <w:r w:rsidR="00AC0468" w:rsidRPr="006C255E">
        <w:rPr>
          <w:rFonts w:ascii="Arial" w:hAnsi="Arial" w:cs="Arial"/>
        </w:rPr>
        <w:t>.</w:t>
      </w:r>
    </w:p>
    <w:p w:rsidR="00BD1E26" w:rsidRDefault="006C255E" w:rsidP="00176400">
      <w:pPr>
        <w:ind w:left="1276"/>
        <w:jc w:val="both"/>
        <w:rPr>
          <w:rFonts w:ascii="Arial" w:hAnsi="Arial" w:cs="Arial"/>
          <w:b/>
        </w:rPr>
      </w:pPr>
      <w:r w:rsidRPr="00AD3C0D">
        <w:rPr>
          <w:rFonts w:ascii="Arial" w:hAnsi="Arial" w:cs="Arial"/>
          <w:b/>
        </w:rPr>
        <w:t>Appendices</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A TRDC Revised Parking </w:t>
      </w:r>
      <w:proofErr w:type="gramStart"/>
      <w:r w:rsidRPr="00AD3C0D">
        <w:rPr>
          <w:rFonts w:ascii="Arial" w:hAnsi="Arial" w:cs="Arial"/>
          <w:b/>
        </w:rPr>
        <w:t>Proposal  -</w:t>
      </w:r>
      <w:proofErr w:type="gramEnd"/>
      <w:r w:rsidRPr="00AD3C0D">
        <w:rPr>
          <w:rFonts w:ascii="Arial" w:hAnsi="Arial" w:cs="Arial"/>
          <w:b/>
        </w:rPr>
        <w:t xml:space="preserve"> 3 August 2017 - Rec'd from HBC 100817  </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B HBC Parking Overview - Rec'd from HBC 100817 </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C HBC response key issues revised - Rec'd from HBC 100817 </w:t>
      </w:r>
    </w:p>
    <w:p w:rsidR="00AD3C0D" w:rsidRDefault="006B1490" w:rsidP="00176400">
      <w:pPr>
        <w:spacing w:after="80"/>
        <w:ind w:left="1276"/>
        <w:jc w:val="both"/>
        <w:rPr>
          <w:rFonts w:ascii="Arial" w:hAnsi="Arial" w:cs="Arial"/>
          <w:b/>
        </w:rPr>
      </w:pPr>
      <w:r>
        <w:rPr>
          <w:rFonts w:ascii="Arial" w:hAnsi="Arial" w:cs="Arial"/>
          <w:b/>
        </w:rPr>
        <w:t xml:space="preserve">Non-Public: </w:t>
      </w:r>
      <w:r w:rsidR="00AD3C0D" w:rsidRPr="00AD3C0D">
        <w:rPr>
          <w:rFonts w:ascii="Arial" w:hAnsi="Arial" w:cs="Arial"/>
          <w:b/>
        </w:rPr>
        <w:t xml:space="preserve">App D TRDC SDPT 160817 - TRDC Revised Parking Proposal </w:t>
      </w:r>
      <w:proofErr w:type="gramStart"/>
      <w:r w:rsidR="00AD3C0D" w:rsidRPr="00AD3C0D">
        <w:rPr>
          <w:rFonts w:ascii="Arial" w:hAnsi="Arial" w:cs="Arial"/>
          <w:b/>
        </w:rPr>
        <w:t>Fees  -</w:t>
      </w:r>
      <w:proofErr w:type="gramEnd"/>
      <w:r w:rsidR="00AD3C0D" w:rsidRPr="00AD3C0D">
        <w:rPr>
          <w:rFonts w:ascii="Arial" w:hAnsi="Arial" w:cs="Arial"/>
          <w:b/>
        </w:rPr>
        <w:t xml:space="preserve"> 3 August 2017</w:t>
      </w:r>
    </w:p>
    <w:p w:rsidR="00AD3C0D" w:rsidRDefault="00AD3C0D" w:rsidP="00AC0468">
      <w:pPr>
        <w:keepNext/>
        <w:rPr>
          <w:rFonts w:ascii="Arial" w:hAnsi="Arial" w:cs="Arial"/>
        </w:rPr>
      </w:pPr>
    </w:p>
    <w:p w:rsidR="00AC0468" w:rsidRPr="006C255E" w:rsidRDefault="00025DCF" w:rsidP="00176400">
      <w:pPr>
        <w:keepNext/>
        <w:jc w:val="right"/>
        <w:rPr>
          <w:rFonts w:ascii="Arial" w:hAnsi="Arial" w:cs="Arial"/>
          <w:color w:val="000000"/>
        </w:rPr>
      </w:pPr>
      <w:r w:rsidRPr="006C255E">
        <w:rPr>
          <w:rFonts w:ascii="Arial" w:hAnsi="Arial" w:cs="Arial"/>
        </w:rPr>
        <w:tab/>
      </w:r>
      <w:r w:rsidR="00AD3C0D">
        <w:rPr>
          <w:rFonts w:ascii="Arial" w:hAnsi="Arial" w:cs="Arial"/>
        </w:rPr>
        <w:tab/>
      </w:r>
      <w:r w:rsidRPr="006C255E">
        <w:rPr>
          <w:rFonts w:ascii="Arial" w:hAnsi="Arial" w:cs="Arial"/>
        </w:rPr>
        <w:t>Report prepared by:</w:t>
      </w:r>
      <w:r w:rsidRPr="006C255E">
        <w:rPr>
          <w:rFonts w:ascii="Arial" w:hAnsi="Arial" w:cs="Arial"/>
          <w:color w:val="000000"/>
        </w:rPr>
        <w:tab/>
        <w:t xml:space="preserve"> </w:t>
      </w:r>
      <w:r w:rsidRPr="006C255E">
        <w:rPr>
          <w:rFonts w:ascii="Arial" w:hAnsi="Arial" w:cs="Arial"/>
          <w:color w:val="000000"/>
        </w:rPr>
        <w:fldChar w:fldCharType="begin"/>
      </w:r>
      <w:r w:rsidRPr="006C255E">
        <w:rPr>
          <w:rFonts w:ascii="Arial" w:hAnsi="Arial" w:cs="Arial"/>
          <w:color w:val="000000"/>
        </w:rPr>
        <w:instrText xml:space="preserve">  </w:instrText>
      </w:r>
      <w:r w:rsidRPr="006C255E">
        <w:rPr>
          <w:rFonts w:ascii="Arial" w:hAnsi="Arial" w:cs="Arial"/>
          <w:color w:val="000000"/>
        </w:rPr>
        <w:fldChar w:fldCharType="end"/>
      </w:r>
      <w:r w:rsidRPr="006C255E">
        <w:rPr>
          <w:rFonts w:ascii="Arial" w:hAnsi="Arial" w:cs="Arial"/>
          <w:color w:val="000000"/>
        </w:rPr>
        <w:t>Kimberley Rowl</w:t>
      </w:r>
      <w:r w:rsidR="00176400">
        <w:rPr>
          <w:rFonts w:ascii="Arial" w:hAnsi="Arial" w:cs="Arial"/>
          <w:color w:val="000000"/>
        </w:rPr>
        <w:t>ey, Head of Regulatory Services</w:t>
      </w:r>
    </w:p>
    <w:p w:rsidR="00025DCF" w:rsidRPr="006C255E" w:rsidRDefault="00BD1E26" w:rsidP="00176400">
      <w:pPr>
        <w:keepNext/>
        <w:ind w:left="2880"/>
        <w:jc w:val="right"/>
        <w:rPr>
          <w:rFonts w:ascii="Arial" w:hAnsi="Arial" w:cs="Arial"/>
          <w:color w:val="000000"/>
        </w:rPr>
      </w:pPr>
      <w:r w:rsidRPr="006C255E">
        <w:rPr>
          <w:rFonts w:ascii="Arial" w:hAnsi="Arial" w:cs="Arial"/>
          <w:color w:val="000000"/>
        </w:rPr>
        <w:t xml:space="preserve">             </w:t>
      </w:r>
      <w:r w:rsidR="00025DCF" w:rsidRPr="006C255E">
        <w:rPr>
          <w:rFonts w:ascii="Arial" w:hAnsi="Arial" w:cs="Arial"/>
          <w:color w:val="000000"/>
        </w:rPr>
        <w:t>Peter Simons, Traffi</w:t>
      </w:r>
      <w:r w:rsidR="00176400">
        <w:rPr>
          <w:rFonts w:ascii="Arial" w:hAnsi="Arial" w:cs="Arial"/>
          <w:color w:val="000000"/>
        </w:rPr>
        <w:t>c Engineer (part time, interim)</w:t>
      </w:r>
    </w:p>
    <w:p w:rsidR="0008040A" w:rsidRPr="006C255E" w:rsidRDefault="0008040A" w:rsidP="00176400">
      <w:pPr>
        <w:keepNext/>
        <w:ind w:left="2880"/>
        <w:jc w:val="right"/>
        <w:rPr>
          <w:rFonts w:ascii="Arial" w:hAnsi="Arial" w:cs="Arial"/>
          <w:color w:val="000000"/>
        </w:rPr>
      </w:pPr>
      <w:r w:rsidRPr="006C255E">
        <w:rPr>
          <w:rFonts w:ascii="Arial" w:hAnsi="Arial" w:cs="Arial"/>
          <w:color w:val="000000"/>
        </w:rPr>
        <w:t>Geof Muggeridge, Director of Community and Environment</w:t>
      </w:r>
    </w:p>
    <w:p w:rsidR="00025DCF" w:rsidRPr="006C255E" w:rsidRDefault="00025DCF" w:rsidP="0055752A">
      <w:pPr>
        <w:keepNext/>
        <w:keepLines/>
        <w:ind w:left="1267" w:hanging="1267"/>
        <w:outlineLvl w:val="0"/>
        <w:rPr>
          <w:rFonts w:ascii="Arial" w:hAnsi="Arial" w:cs="Arial"/>
        </w:rPr>
      </w:pPr>
      <w:r w:rsidRPr="006C255E">
        <w:rPr>
          <w:rFonts w:ascii="Arial" w:hAnsi="Arial" w:cs="Arial"/>
        </w:rPr>
        <w:tab/>
      </w:r>
      <w:r w:rsidRPr="006C255E">
        <w:rPr>
          <w:rFonts w:ascii="Arial" w:hAnsi="Arial" w:cs="Arial"/>
          <w:b/>
        </w:rPr>
        <w:t>Data Quality</w:t>
      </w:r>
      <w:r w:rsidRPr="006C255E">
        <w:rPr>
          <w:rFonts w:ascii="Arial" w:hAnsi="Arial" w:cs="Arial"/>
        </w:rPr>
        <w:tab/>
      </w:r>
      <w:r w:rsidRPr="006C255E">
        <w:rPr>
          <w:rFonts w:ascii="Arial" w:hAnsi="Arial" w:cs="Arial"/>
        </w:rPr>
        <w:fldChar w:fldCharType="begin"/>
      </w:r>
      <w:r w:rsidRPr="006C255E">
        <w:rPr>
          <w:rFonts w:ascii="Arial" w:hAnsi="Arial" w:cs="Arial"/>
        </w:rPr>
        <w:instrText xml:space="preserve"> ASK   \* MERGEFORMAT </w:instrText>
      </w:r>
      <w:r w:rsidRPr="006C255E">
        <w:rPr>
          <w:rFonts w:ascii="Arial" w:hAnsi="Arial" w:cs="Arial"/>
        </w:rP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1</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Poor</w:t>
            </w:r>
          </w:p>
        </w:tc>
        <w:tc>
          <w:tcPr>
            <w:tcW w:w="492" w:type="dxa"/>
            <w:vAlign w:val="center"/>
          </w:tcPr>
          <w:p w:rsidR="00025DCF" w:rsidRPr="006C255E" w:rsidRDefault="00025DCF" w:rsidP="00025DCF">
            <w:pPr>
              <w:keepNext/>
              <w:keepLines/>
              <w:jc w:val="center"/>
              <w:rPr>
                <w:rFonts w:ascii="Arial" w:hAnsi="Arial" w:cs="Arial"/>
              </w:rPr>
            </w:pPr>
          </w:p>
        </w:tc>
      </w:tr>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2</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Sufficient</w:t>
            </w:r>
          </w:p>
        </w:tc>
        <w:tc>
          <w:tcPr>
            <w:tcW w:w="492" w:type="dxa"/>
            <w:vAlign w:val="center"/>
          </w:tcPr>
          <w:p w:rsidR="00025DCF" w:rsidRPr="006C255E" w:rsidRDefault="00BD1E26" w:rsidP="00025DCF">
            <w:pPr>
              <w:keepNext/>
              <w:keepLines/>
              <w:jc w:val="center"/>
              <w:rPr>
                <w:rFonts w:ascii="Arial" w:hAnsi="Arial" w:cs="Arial"/>
              </w:rPr>
            </w:pPr>
            <w:r w:rsidRPr="006C255E">
              <w:rPr>
                <w:rFonts w:ascii="Arial" w:hAnsi="Arial" w:cs="Arial"/>
              </w:rPr>
              <w:t>x</w:t>
            </w:r>
          </w:p>
        </w:tc>
      </w:tr>
      <w:tr w:rsidR="00025DCF" w:rsidRPr="00991EF6"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3</w:t>
            </w:r>
          </w:p>
        </w:tc>
        <w:tc>
          <w:tcPr>
            <w:tcW w:w="1276" w:type="dxa"/>
            <w:vAlign w:val="center"/>
          </w:tcPr>
          <w:p w:rsidR="00025DCF" w:rsidRPr="00991EF6" w:rsidRDefault="00025DCF" w:rsidP="00025DCF">
            <w:pPr>
              <w:keepNext/>
              <w:keepLines/>
              <w:rPr>
                <w:rFonts w:ascii="Arial" w:hAnsi="Arial" w:cs="Arial"/>
              </w:rPr>
            </w:pPr>
            <w:r w:rsidRPr="006C255E">
              <w:rPr>
                <w:rFonts w:ascii="Arial" w:hAnsi="Arial" w:cs="Arial"/>
              </w:rPr>
              <w:t>High</w:t>
            </w:r>
          </w:p>
        </w:tc>
        <w:tc>
          <w:tcPr>
            <w:tcW w:w="492" w:type="dxa"/>
            <w:vAlign w:val="center"/>
          </w:tcPr>
          <w:p w:rsidR="00025DCF" w:rsidRPr="00991EF6" w:rsidRDefault="00025DCF" w:rsidP="00025DCF">
            <w:pPr>
              <w:keepNext/>
              <w:keepLines/>
              <w:jc w:val="center"/>
              <w:rPr>
                <w:rFonts w:ascii="Arial" w:hAnsi="Arial" w:cs="Arial"/>
              </w:rPr>
            </w:pPr>
          </w:p>
        </w:tc>
      </w:tr>
    </w:tbl>
    <w:p w:rsidR="00025DCF" w:rsidRDefault="00025DCF" w:rsidP="00025DCF">
      <w:pPr>
        <w:ind w:left="1253" w:hanging="1253"/>
      </w:pPr>
    </w:p>
    <w:p w:rsidR="00025DCF" w:rsidRPr="002F407B" w:rsidRDefault="00025DCF" w:rsidP="002F407B">
      <w:pPr>
        <w:keepNext/>
        <w:rPr>
          <w:b/>
        </w:rPr>
      </w:pPr>
      <w:r>
        <w:tab/>
      </w:r>
    </w:p>
    <w:sectPr w:rsidR="00025DCF" w:rsidRPr="002F4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29" w:rsidRDefault="003A7029" w:rsidP="00A50B37">
      <w:pPr>
        <w:spacing w:after="0" w:line="240" w:lineRule="auto"/>
      </w:pPr>
      <w:r>
        <w:separator/>
      </w:r>
    </w:p>
  </w:endnote>
  <w:endnote w:type="continuationSeparator" w:id="0">
    <w:p w:rsidR="003A7029" w:rsidRDefault="003A7029" w:rsidP="00A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29" w:rsidRDefault="003A7029" w:rsidP="00A50B37">
      <w:pPr>
        <w:spacing w:after="0" w:line="240" w:lineRule="auto"/>
      </w:pPr>
      <w:r>
        <w:separator/>
      </w:r>
    </w:p>
  </w:footnote>
  <w:footnote w:type="continuationSeparator" w:id="0">
    <w:p w:rsidR="003A7029" w:rsidRDefault="003A7029" w:rsidP="00A5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6A0"/>
    <w:multiLevelType w:val="hybridMultilevel"/>
    <w:tmpl w:val="3A6839F6"/>
    <w:lvl w:ilvl="0" w:tplc="75EEBE3C">
      <w:start w:val="1"/>
      <w:numFmt w:val="bullet"/>
      <w:pStyle w:val="Bullet2"/>
      <w:lvlText w:val=""/>
      <w:lvlJc w:val="left"/>
      <w:pPr>
        <w:tabs>
          <w:tab w:val="num" w:pos="3744"/>
        </w:tabs>
        <w:ind w:left="3744"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8E5C99"/>
    <w:multiLevelType w:val="hybridMultilevel"/>
    <w:tmpl w:val="51FA3A3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
    <w:nsid w:val="24B32533"/>
    <w:multiLevelType w:val="hybridMultilevel"/>
    <w:tmpl w:val="9AD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41A3D"/>
    <w:multiLevelType w:val="hybridMultilevel"/>
    <w:tmpl w:val="907423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309E635A"/>
    <w:multiLevelType w:val="hybridMultilevel"/>
    <w:tmpl w:val="705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40C97"/>
    <w:multiLevelType w:val="multilevel"/>
    <w:tmpl w:val="7E063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756DE3"/>
    <w:multiLevelType w:val="multilevel"/>
    <w:tmpl w:val="C6B82B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4A81161"/>
    <w:multiLevelType w:val="hybridMultilevel"/>
    <w:tmpl w:val="C46A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7A077C7"/>
    <w:multiLevelType w:val="multilevel"/>
    <w:tmpl w:val="BF0A7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1C7751"/>
    <w:multiLevelType w:val="hybridMultilevel"/>
    <w:tmpl w:val="42EE0146"/>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11">
    <w:nsid w:val="4F2A412F"/>
    <w:multiLevelType w:val="hybridMultilevel"/>
    <w:tmpl w:val="93943160"/>
    <w:lvl w:ilvl="0" w:tplc="75780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1E92647"/>
    <w:multiLevelType w:val="hybridMultilevel"/>
    <w:tmpl w:val="7518AB80"/>
    <w:lvl w:ilvl="0" w:tplc="3348C154">
      <w:start w:val="2"/>
      <w:numFmt w:val="lowerLetter"/>
      <w:lvlText w:val="%1)"/>
      <w:lvlJc w:val="left"/>
      <w:pPr>
        <w:ind w:left="2472" w:hanging="360"/>
      </w:pPr>
      <w:rPr>
        <w:rFonts w:hint="default"/>
      </w:rPr>
    </w:lvl>
    <w:lvl w:ilvl="1" w:tplc="08090019">
      <w:start w:val="1"/>
      <w:numFmt w:val="lowerLetter"/>
      <w:lvlText w:val="%2."/>
      <w:lvlJc w:val="left"/>
      <w:pPr>
        <w:ind w:left="3192" w:hanging="360"/>
      </w:pPr>
    </w:lvl>
    <w:lvl w:ilvl="2" w:tplc="0809001B" w:tentative="1">
      <w:start w:val="1"/>
      <w:numFmt w:val="lowerRoman"/>
      <w:lvlText w:val="%3."/>
      <w:lvlJc w:val="right"/>
      <w:pPr>
        <w:ind w:left="3912" w:hanging="180"/>
      </w:pPr>
    </w:lvl>
    <w:lvl w:ilvl="3" w:tplc="0809000F" w:tentative="1">
      <w:start w:val="1"/>
      <w:numFmt w:val="decimal"/>
      <w:lvlText w:val="%4."/>
      <w:lvlJc w:val="left"/>
      <w:pPr>
        <w:ind w:left="4632" w:hanging="360"/>
      </w:pPr>
    </w:lvl>
    <w:lvl w:ilvl="4" w:tplc="08090019" w:tentative="1">
      <w:start w:val="1"/>
      <w:numFmt w:val="lowerLetter"/>
      <w:lvlText w:val="%5."/>
      <w:lvlJc w:val="left"/>
      <w:pPr>
        <w:ind w:left="5352" w:hanging="360"/>
      </w:pPr>
    </w:lvl>
    <w:lvl w:ilvl="5" w:tplc="0809001B" w:tentative="1">
      <w:start w:val="1"/>
      <w:numFmt w:val="lowerRoman"/>
      <w:lvlText w:val="%6."/>
      <w:lvlJc w:val="right"/>
      <w:pPr>
        <w:ind w:left="6072" w:hanging="180"/>
      </w:pPr>
    </w:lvl>
    <w:lvl w:ilvl="6" w:tplc="0809000F" w:tentative="1">
      <w:start w:val="1"/>
      <w:numFmt w:val="decimal"/>
      <w:lvlText w:val="%7."/>
      <w:lvlJc w:val="left"/>
      <w:pPr>
        <w:ind w:left="6792" w:hanging="360"/>
      </w:pPr>
    </w:lvl>
    <w:lvl w:ilvl="7" w:tplc="08090019" w:tentative="1">
      <w:start w:val="1"/>
      <w:numFmt w:val="lowerLetter"/>
      <w:lvlText w:val="%8."/>
      <w:lvlJc w:val="left"/>
      <w:pPr>
        <w:ind w:left="7512" w:hanging="360"/>
      </w:pPr>
    </w:lvl>
    <w:lvl w:ilvl="8" w:tplc="0809001B" w:tentative="1">
      <w:start w:val="1"/>
      <w:numFmt w:val="lowerRoman"/>
      <w:lvlText w:val="%9."/>
      <w:lvlJc w:val="right"/>
      <w:pPr>
        <w:ind w:left="8232" w:hanging="180"/>
      </w:pPr>
    </w:lvl>
  </w:abstractNum>
  <w:abstractNum w:abstractNumId="13">
    <w:nsid w:val="56356BD9"/>
    <w:multiLevelType w:val="hybridMultilevel"/>
    <w:tmpl w:val="3EB86E0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nsid w:val="5DAC6292"/>
    <w:multiLevelType w:val="multilevel"/>
    <w:tmpl w:val="239C7BD4"/>
    <w:lvl w:ilvl="0">
      <w:start w:val="1"/>
      <w:numFmt w:val="decimal"/>
      <w:pStyle w:val="TitleHeading"/>
      <w:lvlText w:val="%1"/>
      <w:lvlJc w:val="left"/>
      <w:pPr>
        <w:tabs>
          <w:tab w:val="num" w:pos="1143"/>
        </w:tabs>
        <w:ind w:left="1143" w:hanging="576"/>
      </w:pPr>
      <w:rPr>
        <w:rFonts w:cs="Times New Roman"/>
      </w:rPr>
    </w:lvl>
    <w:lvl w:ilvl="1">
      <w:start w:val="1"/>
      <w:numFmt w:val="decimal"/>
      <w:pStyle w:val="TitlePara"/>
      <w:lvlText w:val="%1.%2"/>
      <w:lvlJc w:val="left"/>
      <w:pPr>
        <w:tabs>
          <w:tab w:val="num" w:pos="1287"/>
        </w:tabs>
        <w:ind w:left="1287" w:hanging="720"/>
      </w:pPr>
      <w:rPr>
        <w:rFonts w:cs="Times New Roman"/>
      </w:rPr>
    </w:lvl>
    <w:lvl w:ilvl="2">
      <w:start w:val="1"/>
      <w:numFmt w:val="decimal"/>
      <w:pStyle w:val="SubheadPara"/>
      <w:lvlText w:val="%1.%2.%3"/>
      <w:lvlJc w:val="left"/>
      <w:pPr>
        <w:tabs>
          <w:tab w:val="num" w:pos="4127"/>
        </w:tabs>
        <w:ind w:left="4127"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ubhead1Para"/>
      <w:lvlText w:val="%1.%2.%3.%4"/>
      <w:lvlJc w:val="left"/>
      <w:pPr>
        <w:tabs>
          <w:tab w:val="num" w:pos="4413"/>
        </w:tabs>
        <w:ind w:left="4413" w:hanging="1152"/>
      </w:pPr>
      <w:rPr>
        <w:rFonts w:cs="Times New Roman"/>
      </w:rPr>
    </w:lvl>
    <w:lvl w:ilvl="4">
      <w:start w:val="1"/>
      <w:numFmt w:val="lowerRoman"/>
      <w:pStyle w:val="Roman1"/>
      <w:lvlText w:val="%5)"/>
      <w:lvlJc w:val="left"/>
      <w:pPr>
        <w:tabs>
          <w:tab w:val="num" w:pos="4032"/>
        </w:tabs>
        <w:ind w:left="4032" w:hanging="72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FA75E07"/>
    <w:multiLevelType w:val="hybridMultilevel"/>
    <w:tmpl w:val="30904BFA"/>
    <w:lvl w:ilvl="0" w:tplc="498A9C04">
      <w:start w:val="1"/>
      <w:numFmt w:val="bullet"/>
      <w:pStyle w:val="Bullet1"/>
      <w:lvlText w:val=""/>
      <w:lvlJc w:val="left"/>
      <w:pPr>
        <w:tabs>
          <w:tab w:val="num" w:pos="2628"/>
        </w:tabs>
        <w:ind w:left="2628" w:hanging="360"/>
      </w:pPr>
      <w:rPr>
        <w:rFonts w:ascii="Wingdings" w:hAnsi="Wingdings" w:hint="default"/>
      </w:rPr>
    </w:lvl>
    <w:lvl w:ilvl="1" w:tplc="0409000F">
      <w:start w:val="1"/>
      <w:numFmt w:val="decimal"/>
      <w:lvlText w:val="%2."/>
      <w:lvlJc w:val="left"/>
      <w:pPr>
        <w:tabs>
          <w:tab w:val="num" w:pos="3024"/>
        </w:tabs>
        <w:ind w:left="3024" w:hanging="360"/>
      </w:pPr>
      <w:rPr>
        <w:rFonts w:cs="Times New Roman"/>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rPr>
    </w:lvl>
    <w:lvl w:ilvl="4" w:tplc="04090003">
      <w:start w:val="1"/>
      <w:numFmt w:val="bullet"/>
      <w:lvlText w:val="o"/>
      <w:lvlJc w:val="left"/>
      <w:pPr>
        <w:tabs>
          <w:tab w:val="num" w:pos="5184"/>
        </w:tabs>
        <w:ind w:left="5184" w:hanging="360"/>
      </w:pPr>
      <w:rPr>
        <w:rFonts w:ascii="Courier New" w:hAnsi="Courier New" w:cs="Times New Roman" w:hint="default"/>
      </w:rPr>
    </w:lvl>
    <w:lvl w:ilvl="5" w:tplc="04090005">
      <w:start w:val="1"/>
      <w:numFmt w:val="bullet"/>
      <w:lvlText w:val=""/>
      <w:lvlJc w:val="left"/>
      <w:pPr>
        <w:tabs>
          <w:tab w:val="num" w:pos="5904"/>
        </w:tabs>
        <w:ind w:left="5904" w:hanging="360"/>
      </w:pPr>
      <w:rPr>
        <w:rFonts w:ascii="Wingdings" w:hAnsi="Wingdings" w:hint="default"/>
      </w:rPr>
    </w:lvl>
    <w:lvl w:ilvl="6" w:tplc="04090001">
      <w:start w:val="1"/>
      <w:numFmt w:val="bullet"/>
      <w:lvlText w:val=""/>
      <w:lvlJc w:val="left"/>
      <w:pPr>
        <w:tabs>
          <w:tab w:val="num" w:pos="6624"/>
        </w:tabs>
        <w:ind w:left="6624" w:hanging="360"/>
      </w:pPr>
      <w:rPr>
        <w:rFonts w:ascii="Symbol" w:hAnsi="Symbol" w:hint="default"/>
      </w:rPr>
    </w:lvl>
    <w:lvl w:ilvl="7" w:tplc="04090003">
      <w:start w:val="1"/>
      <w:numFmt w:val="bullet"/>
      <w:lvlText w:val="o"/>
      <w:lvlJc w:val="left"/>
      <w:pPr>
        <w:tabs>
          <w:tab w:val="num" w:pos="7344"/>
        </w:tabs>
        <w:ind w:left="7344" w:hanging="360"/>
      </w:pPr>
      <w:rPr>
        <w:rFonts w:ascii="Courier New" w:hAnsi="Courier New" w:cs="Times New Roman" w:hint="default"/>
      </w:rPr>
    </w:lvl>
    <w:lvl w:ilvl="8" w:tplc="04090005">
      <w:start w:val="1"/>
      <w:numFmt w:val="bullet"/>
      <w:lvlText w:val=""/>
      <w:lvlJc w:val="left"/>
      <w:pPr>
        <w:tabs>
          <w:tab w:val="num" w:pos="8064"/>
        </w:tabs>
        <w:ind w:left="8064" w:hanging="360"/>
      </w:pPr>
      <w:rPr>
        <w:rFonts w:ascii="Wingdings" w:hAnsi="Wingdings" w:hint="default"/>
      </w:rPr>
    </w:lvl>
  </w:abstractNum>
  <w:abstractNum w:abstractNumId="16">
    <w:nsid w:val="669816C3"/>
    <w:multiLevelType w:val="multilevel"/>
    <w:tmpl w:val="BDBA2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467598"/>
    <w:multiLevelType w:val="hybridMultilevel"/>
    <w:tmpl w:val="4F26EB40"/>
    <w:lvl w:ilvl="0" w:tplc="7C1A8BE2">
      <w:start w:val="6"/>
      <w:numFmt w:val="decimal"/>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74786A4C"/>
    <w:multiLevelType w:val="hybridMultilevel"/>
    <w:tmpl w:val="3A0A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CFD55D1"/>
    <w:multiLevelType w:val="hybridMultilevel"/>
    <w:tmpl w:val="DF86B33A"/>
    <w:lvl w:ilvl="0" w:tplc="08090015">
      <w:start w:val="1"/>
      <w:numFmt w:val="upp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5">
      <w:start w:val="1"/>
      <w:numFmt w:val="upperLetter"/>
      <w:lvlText w:val="%3."/>
      <w:lvlJc w:val="lef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20">
    <w:nsid w:val="7F0526D3"/>
    <w:multiLevelType w:val="hybridMultilevel"/>
    <w:tmpl w:val="5F0839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9"/>
  </w:num>
  <w:num w:numId="6">
    <w:abstractNumId w:val="4"/>
  </w:num>
  <w:num w:numId="7">
    <w:abstractNumId w:val="0"/>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3"/>
  </w:num>
  <w:num w:numId="11">
    <w:abstractNumId w:val="1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9"/>
  </w:num>
  <w:num w:numId="17">
    <w:abstractNumId w:val="8"/>
  </w:num>
  <w:num w:numId="18">
    <w:abstractNumId w:val="6"/>
  </w:num>
  <w:num w:numId="19">
    <w:abstractNumId w:val="2"/>
  </w:num>
  <w:num w:numId="20">
    <w:abstractNumId w:val="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69"/>
    <w:rsid w:val="000021AD"/>
    <w:rsid w:val="00014F53"/>
    <w:rsid w:val="00021850"/>
    <w:rsid w:val="00025536"/>
    <w:rsid w:val="00025DCF"/>
    <w:rsid w:val="00047315"/>
    <w:rsid w:val="00050512"/>
    <w:rsid w:val="000617C5"/>
    <w:rsid w:val="0006523A"/>
    <w:rsid w:val="000741EF"/>
    <w:rsid w:val="0008040A"/>
    <w:rsid w:val="00085037"/>
    <w:rsid w:val="000C7A7A"/>
    <w:rsid w:val="000D3952"/>
    <w:rsid w:val="000D4FCF"/>
    <w:rsid w:val="000F2A55"/>
    <w:rsid w:val="00103386"/>
    <w:rsid w:val="001124F7"/>
    <w:rsid w:val="00113A9F"/>
    <w:rsid w:val="001301A1"/>
    <w:rsid w:val="001333D5"/>
    <w:rsid w:val="00153558"/>
    <w:rsid w:val="00157EEF"/>
    <w:rsid w:val="00176400"/>
    <w:rsid w:val="00191C80"/>
    <w:rsid w:val="001C3BCC"/>
    <w:rsid w:val="001D5378"/>
    <w:rsid w:val="001D6CE0"/>
    <w:rsid w:val="00202B8F"/>
    <w:rsid w:val="00207F6F"/>
    <w:rsid w:val="00211F2E"/>
    <w:rsid w:val="00270EA7"/>
    <w:rsid w:val="002758D9"/>
    <w:rsid w:val="00277A78"/>
    <w:rsid w:val="00291426"/>
    <w:rsid w:val="002C00AC"/>
    <w:rsid w:val="002F407B"/>
    <w:rsid w:val="003249BD"/>
    <w:rsid w:val="00326C85"/>
    <w:rsid w:val="00351985"/>
    <w:rsid w:val="003A7029"/>
    <w:rsid w:val="003B4EB3"/>
    <w:rsid w:val="003C42DA"/>
    <w:rsid w:val="003D3EA4"/>
    <w:rsid w:val="003E498C"/>
    <w:rsid w:val="003F10E4"/>
    <w:rsid w:val="0044382A"/>
    <w:rsid w:val="00443922"/>
    <w:rsid w:val="00444448"/>
    <w:rsid w:val="004854B3"/>
    <w:rsid w:val="00496555"/>
    <w:rsid w:val="004A28C3"/>
    <w:rsid w:val="004F183D"/>
    <w:rsid w:val="0055752A"/>
    <w:rsid w:val="00557949"/>
    <w:rsid w:val="00597D23"/>
    <w:rsid w:val="005A760A"/>
    <w:rsid w:val="005A7C30"/>
    <w:rsid w:val="005B2561"/>
    <w:rsid w:val="005B7ACF"/>
    <w:rsid w:val="005E514E"/>
    <w:rsid w:val="005E52EA"/>
    <w:rsid w:val="005F03F8"/>
    <w:rsid w:val="005F3146"/>
    <w:rsid w:val="005F68D9"/>
    <w:rsid w:val="00615843"/>
    <w:rsid w:val="00683D67"/>
    <w:rsid w:val="00696DF5"/>
    <w:rsid w:val="006B1490"/>
    <w:rsid w:val="006B1A69"/>
    <w:rsid w:val="006B368C"/>
    <w:rsid w:val="006B62D0"/>
    <w:rsid w:val="006C255E"/>
    <w:rsid w:val="006C35C4"/>
    <w:rsid w:val="006F3516"/>
    <w:rsid w:val="007069F2"/>
    <w:rsid w:val="007343E4"/>
    <w:rsid w:val="00737199"/>
    <w:rsid w:val="007710C4"/>
    <w:rsid w:val="007C06E0"/>
    <w:rsid w:val="007C272A"/>
    <w:rsid w:val="007C7409"/>
    <w:rsid w:val="007C7D17"/>
    <w:rsid w:val="007D73E9"/>
    <w:rsid w:val="007F360C"/>
    <w:rsid w:val="00800852"/>
    <w:rsid w:val="00836693"/>
    <w:rsid w:val="008423C0"/>
    <w:rsid w:val="00847E5A"/>
    <w:rsid w:val="00850FB3"/>
    <w:rsid w:val="008603E2"/>
    <w:rsid w:val="00862957"/>
    <w:rsid w:val="0088626D"/>
    <w:rsid w:val="00890948"/>
    <w:rsid w:val="0089406D"/>
    <w:rsid w:val="008A1DBD"/>
    <w:rsid w:val="008B41D9"/>
    <w:rsid w:val="008D238A"/>
    <w:rsid w:val="008D4D9D"/>
    <w:rsid w:val="008E4FF6"/>
    <w:rsid w:val="00900BFA"/>
    <w:rsid w:val="00921160"/>
    <w:rsid w:val="009350EA"/>
    <w:rsid w:val="00971325"/>
    <w:rsid w:val="00991EF6"/>
    <w:rsid w:val="009923EF"/>
    <w:rsid w:val="009A3F9A"/>
    <w:rsid w:val="009B6816"/>
    <w:rsid w:val="009C0EBB"/>
    <w:rsid w:val="009F019E"/>
    <w:rsid w:val="009F475E"/>
    <w:rsid w:val="00A02409"/>
    <w:rsid w:val="00A45ADF"/>
    <w:rsid w:val="00A50B37"/>
    <w:rsid w:val="00A73DB8"/>
    <w:rsid w:val="00A83ECD"/>
    <w:rsid w:val="00AC0468"/>
    <w:rsid w:val="00AD3C0D"/>
    <w:rsid w:val="00B2663C"/>
    <w:rsid w:val="00B33089"/>
    <w:rsid w:val="00B8448B"/>
    <w:rsid w:val="00BB27B9"/>
    <w:rsid w:val="00BD1E26"/>
    <w:rsid w:val="00BD542B"/>
    <w:rsid w:val="00BF7981"/>
    <w:rsid w:val="00C0396F"/>
    <w:rsid w:val="00C21729"/>
    <w:rsid w:val="00C24109"/>
    <w:rsid w:val="00C31081"/>
    <w:rsid w:val="00C36A93"/>
    <w:rsid w:val="00C36E12"/>
    <w:rsid w:val="00C7673F"/>
    <w:rsid w:val="00C84D29"/>
    <w:rsid w:val="00D04B12"/>
    <w:rsid w:val="00D13A3C"/>
    <w:rsid w:val="00D26EEA"/>
    <w:rsid w:val="00D4686B"/>
    <w:rsid w:val="00D61E31"/>
    <w:rsid w:val="00D74C29"/>
    <w:rsid w:val="00D7647A"/>
    <w:rsid w:val="00D91534"/>
    <w:rsid w:val="00D96852"/>
    <w:rsid w:val="00DB65F7"/>
    <w:rsid w:val="00DC1F8E"/>
    <w:rsid w:val="00DD4C42"/>
    <w:rsid w:val="00DE1085"/>
    <w:rsid w:val="00DE46A0"/>
    <w:rsid w:val="00E076BB"/>
    <w:rsid w:val="00E13C50"/>
    <w:rsid w:val="00E4329A"/>
    <w:rsid w:val="00E72FD8"/>
    <w:rsid w:val="00EA419F"/>
    <w:rsid w:val="00ED3792"/>
    <w:rsid w:val="00EE614B"/>
    <w:rsid w:val="00F05ABF"/>
    <w:rsid w:val="00F1068C"/>
    <w:rsid w:val="00F27D6B"/>
    <w:rsid w:val="00F4289F"/>
    <w:rsid w:val="00F76E2E"/>
    <w:rsid w:val="00F82E79"/>
    <w:rsid w:val="00FD0FB8"/>
    <w:rsid w:val="00FD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6800">
      <w:bodyDiv w:val="1"/>
      <w:marLeft w:val="0"/>
      <w:marRight w:val="0"/>
      <w:marTop w:val="0"/>
      <w:marBottom w:val="0"/>
      <w:divBdr>
        <w:top w:val="none" w:sz="0" w:space="0" w:color="auto"/>
        <w:left w:val="none" w:sz="0" w:space="0" w:color="auto"/>
        <w:bottom w:val="none" w:sz="0" w:space="0" w:color="auto"/>
        <w:right w:val="none" w:sz="0" w:space="0" w:color="auto"/>
      </w:divBdr>
    </w:div>
    <w:div w:id="1847088075">
      <w:bodyDiv w:val="1"/>
      <w:marLeft w:val="0"/>
      <w:marRight w:val="0"/>
      <w:marTop w:val="0"/>
      <w:marBottom w:val="0"/>
      <w:divBdr>
        <w:top w:val="none" w:sz="0" w:space="0" w:color="auto"/>
        <w:left w:val="none" w:sz="0" w:space="0" w:color="auto"/>
        <w:bottom w:val="none" w:sz="0" w:space="0" w:color="auto"/>
        <w:right w:val="none" w:sz="0" w:space="0" w:color="auto"/>
      </w:divBdr>
    </w:div>
    <w:div w:id="1865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2B69-D797-4D67-8A51-6DCDA00A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Rowley</dc:creator>
  <cp:lastModifiedBy>Charlotte Taffel</cp:lastModifiedBy>
  <cp:revision>11</cp:revision>
  <cp:lastPrinted>2017-08-11T08:42:00Z</cp:lastPrinted>
  <dcterms:created xsi:type="dcterms:W3CDTF">2017-08-11T10:46:00Z</dcterms:created>
  <dcterms:modified xsi:type="dcterms:W3CDTF">2017-08-11T11:36:00Z</dcterms:modified>
</cp:coreProperties>
</file>