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Default="00DE754C" w:rsidP="00DE754C">
      <w:pPr>
        <w:jc w:val="center"/>
        <w:rPr>
          <w:b/>
        </w:rPr>
      </w:pPr>
      <w:r>
        <w:rPr>
          <w:b/>
        </w:rPr>
        <w:t>POLICY AND RESOURCES COMMITTEE</w:t>
      </w:r>
    </w:p>
    <w:p w:rsidR="00DE754C" w:rsidRDefault="00DE754C">
      <w:pPr>
        <w:jc w:val="left"/>
        <w:rPr>
          <w:b/>
        </w:rPr>
      </w:pPr>
    </w:p>
    <w:p w:rsidR="00BF34FA" w:rsidRDefault="0066510F">
      <w:pPr>
        <w:jc w:val="center"/>
        <w:rPr>
          <w:b/>
          <w:i/>
        </w:rPr>
      </w:pPr>
      <w:r>
        <w:rPr>
          <w:b/>
        </w:rPr>
        <w:t xml:space="preserve">7 NOVEMBER </w:t>
      </w:r>
      <w:r w:rsidR="00C43771">
        <w:rPr>
          <w:b/>
        </w:rPr>
        <w:t>2017</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p>
    <w:p w:rsidR="00BF34FA" w:rsidRDefault="00BF34FA">
      <w:pPr>
        <w:jc w:val="cente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sidR="00C43771">
        <w:rPr>
          <w:b/>
        </w:rPr>
        <w:t>I</w:t>
      </w:r>
      <w:r>
        <w:rPr>
          <w:b/>
        </w:rPr>
        <w:t xml:space="preserve"> </w:t>
      </w:r>
      <w:r w:rsidR="00AF1783">
        <w:rPr>
          <w:b/>
        </w:rPr>
        <w:t>–</w:t>
      </w:r>
      <w:r>
        <w:rPr>
          <w:b/>
        </w:rPr>
        <w:t xml:space="preserve"> </w:t>
      </w:r>
      <w:r w:rsidR="00AF1783">
        <w:rPr>
          <w:b/>
        </w:rPr>
        <w:t xml:space="preserve">NOT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Default="00BF34FA">
      <w:pPr>
        <w:jc w:val="center"/>
      </w:pPr>
    </w:p>
    <w:p w:rsidR="00BF34FA" w:rsidRDefault="00BF34FA">
      <w:pPr>
        <w:keepNext/>
        <w:ind w:left="1267" w:hanging="1267"/>
        <w:rPr>
          <w:b/>
          <w:i/>
          <w:color w:val="008000"/>
        </w:rPr>
      </w:pPr>
      <w:r>
        <w:rPr>
          <w:b/>
        </w:rPr>
        <w:fldChar w:fldCharType="begin"/>
      </w:r>
      <w:r>
        <w:rPr>
          <w:b/>
        </w:rPr>
        <w:instrText xml:space="preserve">  </w:instrText>
      </w:r>
      <w:r>
        <w:rPr>
          <w:b/>
        </w:rPr>
        <w:fldChar w:fldCharType="end"/>
      </w:r>
      <w:r w:rsidR="003502EB">
        <w:rPr>
          <w:b/>
        </w:rPr>
        <w:t>5</w:t>
      </w:r>
      <w:r w:rsidR="001130D7">
        <w:rPr>
          <w:b/>
        </w:rPr>
        <w:t>.</w:t>
      </w:r>
      <w:r>
        <w:rPr>
          <w:b/>
        </w:rPr>
        <w:tab/>
      </w:r>
      <w:r w:rsidR="00C43771">
        <w:rPr>
          <w:b/>
        </w:rPr>
        <w:t>JAPANESE KNOTWEED POLICY</w:t>
      </w:r>
      <w:r w:rsidR="006E33EA">
        <w:rPr>
          <w:b/>
        </w:rPr>
        <w:t xml:space="preserve"> </w:t>
      </w:r>
      <w:r>
        <w:rPr>
          <w:b/>
        </w:rPr>
        <w:fldChar w:fldCharType="begin"/>
      </w:r>
      <w:r>
        <w:rPr>
          <w:b/>
        </w:rPr>
        <w:instrText xml:space="preserve">  </w:instrText>
      </w:r>
      <w:r>
        <w:rPr>
          <w:b/>
        </w:rPr>
        <w:fldChar w:fldCharType="end"/>
      </w:r>
      <w:r>
        <w:t>(CED)</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pPr>
      <w:r>
        <w:t>1.</w:t>
      </w:r>
      <w:r>
        <w:tab/>
      </w:r>
      <w:r>
        <w:rPr>
          <w:b/>
        </w:rPr>
        <w:t>Summary</w:t>
      </w:r>
    </w:p>
    <w:p w:rsidR="00BF34FA" w:rsidRDefault="00BF34FA">
      <w:pPr>
        <w:keepNext/>
        <w:ind w:left="1267" w:hanging="1267"/>
      </w:pPr>
    </w:p>
    <w:p w:rsidR="00BF34FA" w:rsidRDefault="00BF34FA">
      <w:pPr>
        <w:ind w:left="1267" w:hanging="1267"/>
      </w:pPr>
      <w:r>
        <w:t>1.1</w:t>
      </w:r>
      <w:r>
        <w:tab/>
      </w:r>
      <w:r w:rsidR="00C43771">
        <w:t xml:space="preserve">This report seeks agreement of a Japanese Knotweed </w:t>
      </w:r>
      <w:r w:rsidR="00C2408B">
        <w:t>P</w:t>
      </w:r>
      <w:r w:rsidR="00C43771">
        <w:t xml:space="preserve">olicy. </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rPr>
          <w:b/>
        </w:rPr>
      </w:pPr>
      <w:r>
        <w:t>2.</w:t>
      </w:r>
      <w:r>
        <w:tab/>
      </w:r>
      <w:r>
        <w:rPr>
          <w:b/>
        </w:rPr>
        <w:t>Details</w:t>
      </w:r>
    </w:p>
    <w:p w:rsidR="00BF34FA" w:rsidRDefault="00BF34FA">
      <w:pPr>
        <w:keepNext/>
        <w:ind w:left="1267" w:hanging="1267"/>
        <w:rPr>
          <w:b/>
          <w:u w:val="single"/>
        </w:rPr>
      </w:pPr>
    </w:p>
    <w:p w:rsidR="00C2408B" w:rsidRDefault="00BF34FA">
      <w:pPr>
        <w:ind w:left="1267" w:hanging="1267"/>
      </w:pPr>
      <w:r>
        <w:t>2.1</w:t>
      </w:r>
      <w:r>
        <w:tab/>
      </w:r>
      <w:r w:rsidR="00C2408B">
        <w:t xml:space="preserve">The Council receives a number of reports each year regarding the growth of Japanese Knotweed (JK) within the District. Most of these reports relate to concerns that the JK is, or will soon be, encroaching on to adjacent land. In some of these reports there is an assumption that the Council will take action to remove the JK, even when on land not owned by the Council. </w:t>
      </w:r>
    </w:p>
    <w:p w:rsidR="00C2408B" w:rsidRDefault="00C2408B">
      <w:pPr>
        <w:ind w:left="1267" w:hanging="1267"/>
      </w:pPr>
    </w:p>
    <w:p w:rsidR="00C2408B" w:rsidRDefault="00C2408B">
      <w:pPr>
        <w:ind w:left="1267" w:hanging="1267"/>
      </w:pPr>
      <w:r>
        <w:t>2.2</w:t>
      </w:r>
      <w:r>
        <w:tab/>
        <w:t xml:space="preserve">Officers currently follow the process outlined in Appendix 1 when receiving reports of JK. This seeks to identify the land from where the JK is emanating, and check if this is land owned by the Council.  </w:t>
      </w:r>
    </w:p>
    <w:p w:rsidR="00C2408B" w:rsidRDefault="00C2408B">
      <w:pPr>
        <w:ind w:left="1267" w:hanging="1267"/>
      </w:pPr>
    </w:p>
    <w:p w:rsidR="00C2408B" w:rsidRDefault="00C2408B">
      <w:pPr>
        <w:ind w:left="1267" w:hanging="1267"/>
      </w:pPr>
      <w:r>
        <w:t>2.3</w:t>
      </w:r>
      <w:r>
        <w:tab/>
        <w:t xml:space="preserve">Where the JK is emanating </w:t>
      </w:r>
      <w:r w:rsidR="0093202A">
        <w:t xml:space="preserve">from land </w:t>
      </w:r>
      <w:r>
        <w:t xml:space="preserve">owned by the Council this is referred to Grounds Maintenance to schedule treatment. Treatment is undertaken in the </w:t>
      </w:r>
      <w:proofErr w:type="gramStart"/>
      <w:r w:rsidR="00F22582">
        <w:t>A</w:t>
      </w:r>
      <w:r>
        <w:t>utumn</w:t>
      </w:r>
      <w:proofErr w:type="gramEnd"/>
      <w:r>
        <w:t xml:space="preserve"> after the growing season, so there is a check in the process to see if there have already been reports of the JK in the same area. </w:t>
      </w:r>
    </w:p>
    <w:p w:rsidR="00C2408B" w:rsidRDefault="00C2408B">
      <w:pPr>
        <w:ind w:left="1267" w:hanging="1267"/>
      </w:pPr>
    </w:p>
    <w:p w:rsidR="00B81BBE" w:rsidRDefault="00C2408B">
      <w:pPr>
        <w:ind w:left="1267" w:hanging="1267"/>
      </w:pPr>
      <w:r>
        <w:t>2.4</w:t>
      </w:r>
      <w:r>
        <w:tab/>
        <w:t xml:space="preserve">Where the JK is emanating </w:t>
      </w:r>
      <w:r w:rsidR="0093202A">
        <w:t xml:space="preserve">from land that </w:t>
      </w:r>
      <w:r>
        <w:t>is not owned by the Council, officers seek to identify the landowner and send them a standard letter advising them of their responsibilities</w:t>
      </w:r>
      <w:r w:rsidR="008A37EB">
        <w:t xml:space="preserve"> to not allow the JK</w:t>
      </w:r>
      <w:r w:rsidR="00837962">
        <w:t xml:space="preserve"> to encroach on neighbouring land</w:t>
      </w:r>
      <w:r w:rsidR="008A37EB">
        <w:t xml:space="preserve">. A copy of this letter can be found in </w:t>
      </w:r>
      <w:r w:rsidR="0093202A">
        <w:t>A</w:t>
      </w:r>
      <w:r w:rsidR="008A37EB">
        <w:t xml:space="preserve">ppendix 2. They are also sent an information sheet on how to identify JK. </w:t>
      </w:r>
    </w:p>
    <w:p w:rsidR="00B81BBE" w:rsidRDefault="00B81BBE">
      <w:pPr>
        <w:ind w:left="1267" w:hanging="1267"/>
      </w:pPr>
    </w:p>
    <w:p w:rsidR="00B81BBE" w:rsidRDefault="00B81BBE">
      <w:pPr>
        <w:ind w:left="1267" w:hanging="1267"/>
      </w:pPr>
      <w:r>
        <w:t>2.5</w:t>
      </w:r>
      <w:r>
        <w:tab/>
        <w:t xml:space="preserve">The current process also advises the reporting customer of the steps taken. </w:t>
      </w:r>
    </w:p>
    <w:p w:rsidR="00B81BBE" w:rsidRDefault="00B81BBE">
      <w:pPr>
        <w:ind w:left="1267" w:hanging="1267"/>
      </w:pPr>
    </w:p>
    <w:p w:rsidR="00B81BBE" w:rsidRPr="00B160ED" w:rsidRDefault="00B81BBE">
      <w:pPr>
        <w:ind w:left="1267" w:hanging="1267"/>
        <w:rPr>
          <w:b/>
          <w:i/>
        </w:rPr>
      </w:pPr>
      <w:r w:rsidRPr="00B160ED">
        <w:rPr>
          <w:i/>
        </w:rPr>
        <w:tab/>
      </w:r>
      <w:r w:rsidRPr="00B160ED">
        <w:rPr>
          <w:b/>
          <w:i/>
        </w:rPr>
        <w:t>Background</w:t>
      </w:r>
    </w:p>
    <w:p w:rsidR="00B81BBE" w:rsidRDefault="00B81BBE">
      <w:pPr>
        <w:ind w:left="1267" w:hanging="1267"/>
        <w:rPr>
          <w:b/>
        </w:rPr>
      </w:pPr>
    </w:p>
    <w:p w:rsidR="00E96FA3" w:rsidRDefault="00B81BBE">
      <w:pPr>
        <w:ind w:left="1267" w:hanging="1267"/>
      </w:pPr>
      <w:r>
        <w:t>2.7</w:t>
      </w:r>
      <w:r>
        <w:tab/>
        <w:t>JK is amongst a list of non-native in</w:t>
      </w:r>
      <w:r w:rsidR="00E96FA3">
        <w:t xml:space="preserve">vasive plants that must not be planted in the wild (Wildlife and Countryside Act 1981). This </w:t>
      </w:r>
      <w:r w:rsidR="00F22582">
        <w:t xml:space="preserve">Act </w:t>
      </w:r>
      <w:r w:rsidR="00E96FA3">
        <w:t xml:space="preserve">includes moving contaminated soil or plant cuttings. </w:t>
      </w:r>
    </w:p>
    <w:p w:rsidR="00E96FA3" w:rsidRDefault="00E96FA3">
      <w:pPr>
        <w:ind w:left="1267" w:hanging="1267"/>
      </w:pPr>
    </w:p>
    <w:p w:rsidR="00B81BBE" w:rsidRDefault="00E96FA3">
      <w:pPr>
        <w:ind w:left="1267" w:hanging="1267"/>
      </w:pPr>
      <w:r>
        <w:t>2.8</w:t>
      </w:r>
      <w:r>
        <w:tab/>
        <w:t>Landowners are not legally obliged to remove these plants or to control them</w:t>
      </w:r>
      <w:r w:rsidR="00B65F15">
        <w:t xml:space="preserve"> on their own land</w:t>
      </w:r>
      <w:r>
        <w:t>.</w:t>
      </w:r>
      <w:r w:rsidR="00B0752F">
        <w:t xml:space="preserve"> </w:t>
      </w:r>
      <w:r w:rsidR="00B65F15">
        <w:t>I</w:t>
      </w:r>
      <w:r>
        <w:t xml:space="preserve">f </w:t>
      </w:r>
      <w:r w:rsidR="00B65F15">
        <w:t>landowners</w:t>
      </w:r>
      <w:r>
        <w:t xml:space="preserve"> </w:t>
      </w:r>
      <w:r w:rsidR="00B0752F">
        <w:t xml:space="preserve">or occupiers </w:t>
      </w:r>
      <w:r>
        <w:t>allow the</w:t>
      </w:r>
      <w:r w:rsidR="00B65F15">
        <w:t xml:space="preserve"> plant</w:t>
      </w:r>
      <w:r>
        <w:t xml:space="preserve"> to grow onto other people’s property the</w:t>
      </w:r>
      <w:r w:rsidR="00B65F15">
        <w:t>n the owners of the neighbouring property</w:t>
      </w:r>
      <w:r>
        <w:t xml:space="preserve"> can </w:t>
      </w:r>
      <w:r w:rsidR="00FC483C">
        <w:t>take common law private nuisance proceedings against the owner</w:t>
      </w:r>
      <w:r w:rsidR="00B0752F">
        <w:t>/occupier</w:t>
      </w:r>
      <w:r w:rsidR="00FC483C">
        <w:t xml:space="preserve"> of the land in question</w:t>
      </w:r>
      <w:r>
        <w:t xml:space="preserve"> (under civil law). </w:t>
      </w:r>
      <w:r w:rsidR="00B81BBE">
        <w:t xml:space="preserve"> </w:t>
      </w:r>
    </w:p>
    <w:p w:rsidR="00E96FA3" w:rsidRDefault="00E96FA3">
      <w:pPr>
        <w:ind w:left="1267" w:hanging="1267"/>
      </w:pPr>
    </w:p>
    <w:p w:rsidR="00E96FA3" w:rsidRDefault="00E96FA3">
      <w:pPr>
        <w:ind w:left="1267" w:hanging="1267"/>
      </w:pPr>
      <w:r>
        <w:t>2.9</w:t>
      </w:r>
      <w:r>
        <w:tab/>
        <w:t xml:space="preserve">The Environmental Protection Act 1990 and associated guidance outlines when the Environment Agency must be informed if people are using certain herbicides to treat JK, when an environmental permit is required; requirements for registered waste exemption, and trade effluent consent. The Environment Agency must be informed a week before people intend to bury the plant waste on their own land. Farmers are required to contact the Environment Agency a week before burning the plant as well as their local Environmental Health Officer. Business can </w:t>
      </w:r>
      <w:r w:rsidR="00550578">
        <w:t xml:space="preserve">require </w:t>
      </w:r>
      <w:r>
        <w:t>an environmental permit or registered waste exemption to do this. Soil or plant material contaminated with JK or non-native invasive plants has to be dealt with by a licensed waste carrier and an authorised landfill site.</w:t>
      </w:r>
    </w:p>
    <w:p w:rsidR="00E96FA3" w:rsidRDefault="00E96FA3">
      <w:pPr>
        <w:ind w:left="1267" w:hanging="1267"/>
      </w:pPr>
    </w:p>
    <w:p w:rsidR="008C3EAC" w:rsidRDefault="008C3EAC">
      <w:pPr>
        <w:ind w:left="1267" w:hanging="1267"/>
      </w:pPr>
      <w:r>
        <w:t>2.10</w:t>
      </w:r>
      <w:r>
        <w:tab/>
        <w:t>In addition to the above the Home Office has issued guidance regarding the potential use of Community Protection Notices under the Anti-social Behaviour, Crime and Policing Act 2014 to deal with JK ‘against individual</w:t>
      </w:r>
      <w:r w:rsidR="00FC483C">
        <w:t xml:space="preserve"> or bodies</w:t>
      </w:r>
      <w:r>
        <w:t xml:space="preserve"> who are acting unreasonably and who persistently or continually act in a way that has a detrimental effect on the quality of life of those in the locality’. Th</w:t>
      </w:r>
      <w:r w:rsidR="002872D3">
        <w:t xml:space="preserve">e Act and </w:t>
      </w:r>
      <w:r>
        <w:t>guidance do not place a duty on the Council to issue Community Protection Notices</w:t>
      </w:r>
      <w:r w:rsidR="0093202A">
        <w:t>.</w:t>
      </w:r>
      <w:r>
        <w:t xml:space="preserve"> </w:t>
      </w:r>
    </w:p>
    <w:p w:rsidR="008C3EAC" w:rsidRDefault="008C3EAC">
      <w:pPr>
        <w:ind w:left="1267" w:hanging="1267"/>
      </w:pPr>
    </w:p>
    <w:p w:rsidR="00E96FA3" w:rsidRDefault="00E96FA3">
      <w:pPr>
        <w:ind w:left="1267" w:hanging="1267"/>
      </w:pPr>
      <w:r>
        <w:t>2.1</w:t>
      </w:r>
      <w:r w:rsidR="00B160ED">
        <w:t>1</w:t>
      </w:r>
      <w:r>
        <w:tab/>
        <w:t xml:space="preserve">The Council’s main duties in relation to JK are to manage it when it is on its own land in order to stop it encroaching onto neighbouring land, and to do so within the requirements of the Environmental Protection Act. </w:t>
      </w:r>
      <w:r w:rsidR="00AF1783">
        <w:t xml:space="preserve">All works on the Council’s own land are commissioned out to </w:t>
      </w:r>
      <w:proofErr w:type="gramStart"/>
      <w:r w:rsidR="00AF1783">
        <w:t>approved</w:t>
      </w:r>
      <w:proofErr w:type="gramEnd"/>
      <w:r w:rsidR="00AF1783">
        <w:t xml:space="preserve"> providers to treat and dispose of JK. </w:t>
      </w:r>
      <w:r>
        <w:t xml:space="preserve"> </w:t>
      </w:r>
    </w:p>
    <w:p w:rsidR="00E96FA3" w:rsidRDefault="00E96FA3">
      <w:pPr>
        <w:ind w:left="1267" w:hanging="1267"/>
      </w:pPr>
    </w:p>
    <w:p w:rsidR="00E96FA3" w:rsidRPr="00B81BBE" w:rsidRDefault="00E96FA3">
      <w:pPr>
        <w:ind w:left="1267" w:hanging="1267"/>
      </w:pPr>
      <w:r>
        <w:t>2.1</w:t>
      </w:r>
      <w:r w:rsidR="00B160ED">
        <w:t>2</w:t>
      </w:r>
      <w:r>
        <w:tab/>
        <w:t xml:space="preserve">The Council may also come into contact with JK when undertaking Environmental Protection enforcement, through its work on fly tipping, or waste carriers licence checks. </w:t>
      </w:r>
      <w:r w:rsidR="008C3EAC">
        <w:t xml:space="preserve">It may also receive reports </w:t>
      </w:r>
      <w:r w:rsidR="00837962">
        <w:t xml:space="preserve">to its Environmental Health Officers </w:t>
      </w:r>
      <w:r w:rsidR="008C3EAC">
        <w:t>of farmers burning the plant</w:t>
      </w:r>
      <w:r w:rsidR="00AB5C51">
        <w:t>.</w:t>
      </w:r>
      <w:r w:rsidR="00B65F15">
        <w:t xml:space="preserve"> </w:t>
      </w:r>
      <w:r w:rsidR="00FC483C">
        <w:t>This is</w:t>
      </w:r>
      <w:r w:rsidR="00FC483C" w:rsidRPr="00FC483C">
        <w:t xml:space="preserve"> </w:t>
      </w:r>
      <w:r w:rsidR="00FC483C">
        <w:t>b</w:t>
      </w:r>
      <w:r w:rsidR="00FC483C" w:rsidRPr="00FC483C">
        <w:t>ecause the plants would be categorised as controlled waste and therefore disposal must be in accordance with the E</w:t>
      </w:r>
      <w:r w:rsidR="00B65F15">
        <w:t xml:space="preserve">nvironmental </w:t>
      </w:r>
      <w:r w:rsidR="00FC483C" w:rsidRPr="00FC483C">
        <w:t>P</w:t>
      </w:r>
      <w:r w:rsidR="00B65F15">
        <w:t xml:space="preserve">rotection </w:t>
      </w:r>
      <w:r w:rsidR="00FC483C" w:rsidRPr="00FC483C">
        <w:t>A</w:t>
      </w:r>
      <w:r w:rsidR="00B65F15">
        <w:t>ct</w:t>
      </w:r>
      <w:r w:rsidR="00FC483C" w:rsidRPr="00FC483C">
        <w:t xml:space="preserve"> 1990</w:t>
      </w:r>
      <w:r w:rsidR="008C3EAC">
        <w:t xml:space="preserve">. </w:t>
      </w:r>
      <w:r>
        <w:t xml:space="preserve"> </w:t>
      </w:r>
    </w:p>
    <w:p w:rsidR="00B81BBE" w:rsidRDefault="00B81BBE">
      <w:pPr>
        <w:ind w:left="1267" w:hanging="1267"/>
      </w:pPr>
    </w:p>
    <w:p w:rsidR="008C3EAC" w:rsidRDefault="008C3EAC">
      <w:pPr>
        <w:ind w:left="1267" w:hanging="1267"/>
      </w:pPr>
      <w:r>
        <w:t>2.1</w:t>
      </w:r>
      <w:r w:rsidR="00B160ED">
        <w:t>3</w:t>
      </w:r>
      <w:r>
        <w:tab/>
        <w:t xml:space="preserve">The Council can also come into contact with JK through its work on anti-social behaviour, when landowners fail to take action to treat JK. Due to the Home Office guidance there is an expectation amongst some residents that the Council will immediately issue a Community Protection Notice (CPN) to any landowner who has JK that is encroaching </w:t>
      </w:r>
      <w:r w:rsidR="00FC483C">
        <w:t xml:space="preserve">or there is a perceived threat that it will encroach </w:t>
      </w:r>
      <w:r>
        <w:t>on neighbouring land. However in order to consider using a CPN the following test must be met:</w:t>
      </w:r>
    </w:p>
    <w:p w:rsidR="006E33EA" w:rsidRDefault="006E33EA">
      <w:pPr>
        <w:ind w:left="1267" w:hanging="1267"/>
      </w:pPr>
    </w:p>
    <w:p w:rsidR="008C3EAC" w:rsidRDefault="008C3EAC" w:rsidP="008C3EAC">
      <w:pPr>
        <w:pStyle w:val="ListParagraph"/>
        <w:numPr>
          <w:ilvl w:val="0"/>
          <w:numId w:val="2"/>
        </w:numPr>
        <w:rPr>
          <w:rFonts w:ascii="Arial" w:hAnsi="Arial" w:cs="Arial"/>
        </w:rPr>
      </w:pPr>
      <w:r w:rsidRPr="008C3EAC">
        <w:rPr>
          <w:rFonts w:ascii="Arial" w:hAnsi="Arial" w:cs="Arial"/>
        </w:rPr>
        <w:t xml:space="preserve">the conduct of the individual or body is having a detrimental effect, of a persistent or continuing nature, on the quality of life of those in the locality; and </w:t>
      </w:r>
    </w:p>
    <w:p w:rsidR="006E33EA" w:rsidRPr="008C3EAC" w:rsidRDefault="006E33EA" w:rsidP="006E33EA">
      <w:pPr>
        <w:pStyle w:val="ListParagraph"/>
        <w:ind w:left="1627"/>
        <w:rPr>
          <w:rFonts w:ascii="Arial" w:hAnsi="Arial" w:cs="Arial"/>
        </w:rPr>
      </w:pPr>
    </w:p>
    <w:p w:rsidR="008C3EAC" w:rsidRPr="008C3EAC" w:rsidRDefault="008C3EAC" w:rsidP="008C3EAC">
      <w:pPr>
        <w:pStyle w:val="ListParagraph"/>
        <w:numPr>
          <w:ilvl w:val="0"/>
          <w:numId w:val="2"/>
        </w:numPr>
        <w:rPr>
          <w:rFonts w:ascii="Arial" w:hAnsi="Arial" w:cs="Arial"/>
        </w:rPr>
      </w:pPr>
      <w:proofErr w:type="gramStart"/>
      <w:r w:rsidRPr="008C3EAC">
        <w:rPr>
          <w:rFonts w:ascii="Arial" w:hAnsi="Arial" w:cs="Arial"/>
        </w:rPr>
        <w:t>the</w:t>
      </w:r>
      <w:proofErr w:type="gramEnd"/>
      <w:r w:rsidRPr="008C3EAC">
        <w:rPr>
          <w:rFonts w:ascii="Arial" w:hAnsi="Arial" w:cs="Arial"/>
        </w:rPr>
        <w:t xml:space="preserve"> conduct is unreasonable.</w:t>
      </w:r>
    </w:p>
    <w:p w:rsidR="008C3EAC" w:rsidRDefault="00B160ED" w:rsidP="008C3EAC">
      <w:pPr>
        <w:tabs>
          <w:tab w:val="clear" w:pos="1260"/>
          <w:tab w:val="clear" w:pos="1980"/>
          <w:tab w:val="clear" w:pos="2700"/>
          <w:tab w:val="clear" w:pos="3420"/>
          <w:tab w:val="left" w:pos="1620"/>
        </w:tabs>
        <w:ind w:left="1267" w:hanging="1267"/>
      </w:pPr>
      <w:r>
        <w:t>2.14</w:t>
      </w:r>
      <w:r w:rsidR="008C3EAC">
        <w:tab/>
        <w:t>Before serving a CPN</w:t>
      </w:r>
      <w:r w:rsidR="00837962">
        <w:t>,</w:t>
      </w:r>
      <w:r w:rsidR="008C3EAC">
        <w:t xml:space="preserve"> a warning must be issued indicating that a CPN will be served if the behaviour does not change. In most circumstances the Council has not received evidence alongside reports of JK that landowners have been informed of the JK. Writing to advise the landowners that the JK has been reported is </w:t>
      </w:r>
      <w:r w:rsidR="0093202A">
        <w:t>the</w:t>
      </w:r>
      <w:r w:rsidR="008C3EAC">
        <w:t xml:space="preserve"> first step in allowing them to take action – in line with the Council’s approach to all anti-social behaviour complaints. </w:t>
      </w:r>
    </w:p>
    <w:p w:rsidR="001D012B" w:rsidRDefault="001D012B" w:rsidP="008C3EAC">
      <w:pPr>
        <w:tabs>
          <w:tab w:val="clear" w:pos="1260"/>
          <w:tab w:val="clear" w:pos="1980"/>
          <w:tab w:val="clear" w:pos="2700"/>
          <w:tab w:val="clear" w:pos="3420"/>
          <w:tab w:val="left" w:pos="1620"/>
        </w:tabs>
        <w:ind w:left="1267" w:hanging="1267"/>
      </w:pPr>
    </w:p>
    <w:p w:rsidR="001D012B" w:rsidRDefault="00B160ED" w:rsidP="008C3EAC">
      <w:pPr>
        <w:tabs>
          <w:tab w:val="clear" w:pos="1260"/>
          <w:tab w:val="clear" w:pos="1980"/>
          <w:tab w:val="clear" w:pos="2700"/>
          <w:tab w:val="clear" w:pos="3420"/>
          <w:tab w:val="left" w:pos="1620"/>
        </w:tabs>
        <w:ind w:left="1267" w:hanging="1267"/>
      </w:pPr>
      <w:r>
        <w:t>2.15</w:t>
      </w:r>
      <w:r w:rsidR="001D012B">
        <w:tab/>
        <w:t xml:space="preserve">Reasonable conduct would be </w:t>
      </w:r>
      <w:r w:rsidR="00FC483C">
        <w:t xml:space="preserve">likely to be the same approach as </w:t>
      </w:r>
      <w:r w:rsidR="001D012B">
        <w:t xml:space="preserve">that of the Council itself, in timetabling treatment of the JK in the following </w:t>
      </w:r>
      <w:proofErr w:type="gramStart"/>
      <w:r w:rsidR="00837962">
        <w:t>Autumn</w:t>
      </w:r>
      <w:proofErr w:type="gramEnd"/>
      <w:r w:rsidR="001D012B">
        <w:t>. Effective treatment can take up to 3 years</w:t>
      </w:r>
      <w:r w:rsidR="0093202A">
        <w:t>, s</w:t>
      </w:r>
      <w:r w:rsidR="001D012B">
        <w:t xml:space="preserve">o to consider whether to issue a CPN the Council needs to check what treatment action </w:t>
      </w:r>
      <w:proofErr w:type="gramStart"/>
      <w:r w:rsidR="001D012B">
        <w:t>a landowner (or their agents) have</w:t>
      </w:r>
      <w:proofErr w:type="gramEnd"/>
      <w:r w:rsidR="001D012B">
        <w:t xml:space="preserve"> taken.</w:t>
      </w:r>
      <w:r>
        <w:t xml:space="preserve"> </w:t>
      </w:r>
      <w:r w:rsidR="001D012B">
        <w:t xml:space="preserve"> Evidence that the JK is still on their land alone would not be sufficient evidence to demonstrate unreasonable behaviour. </w:t>
      </w:r>
    </w:p>
    <w:p w:rsidR="008C3EAC" w:rsidRDefault="008C3EAC">
      <w:pPr>
        <w:ind w:left="1267" w:hanging="1267"/>
      </w:pPr>
    </w:p>
    <w:p w:rsidR="00B81BBE" w:rsidRPr="00B160ED" w:rsidRDefault="001D012B">
      <w:pPr>
        <w:ind w:left="1267" w:hanging="1267"/>
        <w:rPr>
          <w:b/>
          <w:i/>
        </w:rPr>
      </w:pPr>
      <w:r w:rsidRPr="00B160ED">
        <w:rPr>
          <w:b/>
          <w:i/>
        </w:rPr>
        <w:tab/>
      </w:r>
      <w:r w:rsidR="00B81BBE" w:rsidRPr="00B160ED">
        <w:rPr>
          <w:b/>
          <w:i/>
        </w:rPr>
        <w:t>Policy Proposal</w:t>
      </w:r>
    </w:p>
    <w:p w:rsidR="001D012B" w:rsidRDefault="001D012B">
      <w:pPr>
        <w:ind w:left="1267" w:hanging="1267"/>
      </w:pPr>
    </w:p>
    <w:p w:rsidR="001D012B" w:rsidRDefault="001D012B">
      <w:pPr>
        <w:ind w:left="1267" w:hanging="1267"/>
      </w:pPr>
      <w:r>
        <w:t>2.1</w:t>
      </w:r>
      <w:r w:rsidR="00B160ED">
        <w:t>6</w:t>
      </w:r>
      <w:r>
        <w:tab/>
        <w:t xml:space="preserve">The Council will only treat Japanese Knotweed on its own land. </w:t>
      </w:r>
    </w:p>
    <w:p w:rsidR="001D012B" w:rsidRDefault="001D012B">
      <w:pPr>
        <w:ind w:left="1267" w:hanging="1267"/>
      </w:pPr>
    </w:p>
    <w:p w:rsidR="001D012B" w:rsidRDefault="001D012B">
      <w:pPr>
        <w:ind w:left="1267" w:hanging="1267"/>
      </w:pPr>
      <w:r>
        <w:t>2.1</w:t>
      </w:r>
      <w:r w:rsidR="00B160ED">
        <w:t>7</w:t>
      </w:r>
      <w:r>
        <w:tab/>
        <w:t>The Council will take steps (as outlined in the Procedure in Appendix 1) to identify landowners in the District</w:t>
      </w:r>
      <w:r w:rsidR="00550578">
        <w:t>,</w:t>
      </w:r>
      <w:r>
        <w:t xml:space="preserve"> where Japanese Knotweed is encroaching from their own land onto adjacent land</w:t>
      </w:r>
      <w:r w:rsidR="00550578">
        <w:t>. The Council will notify the</w:t>
      </w:r>
      <w:r w:rsidR="005571E9">
        <w:t xml:space="preserve"> landowners</w:t>
      </w:r>
      <w:r w:rsidR="00550578">
        <w:t xml:space="preserve"> </w:t>
      </w:r>
      <w:r>
        <w:t xml:space="preserve">about their responsibilities to stop the encroachment </w:t>
      </w:r>
      <w:r w:rsidR="00550578">
        <w:t xml:space="preserve">of the Japanese Knotweed </w:t>
      </w:r>
      <w:r>
        <w:t>and safely dispose of the remains</w:t>
      </w:r>
      <w:r w:rsidR="005571E9">
        <w:t xml:space="preserve"> (as outlined in Appendix 2)</w:t>
      </w:r>
      <w:r>
        <w:t xml:space="preserve">. </w:t>
      </w:r>
    </w:p>
    <w:p w:rsidR="001D012B" w:rsidRDefault="001D012B">
      <w:pPr>
        <w:ind w:left="1267" w:hanging="1267"/>
      </w:pPr>
    </w:p>
    <w:p w:rsidR="001D012B" w:rsidRPr="00B160ED" w:rsidRDefault="001D012B">
      <w:pPr>
        <w:ind w:left="1267" w:hanging="1267"/>
        <w:rPr>
          <w:b/>
          <w:i/>
        </w:rPr>
      </w:pPr>
      <w:r w:rsidRPr="00B160ED">
        <w:rPr>
          <w:i/>
        </w:rPr>
        <w:tab/>
      </w:r>
      <w:r w:rsidRPr="00B160ED">
        <w:rPr>
          <w:b/>
          <w:i/>
        </w:rPr>
        <w:t>On</w:t>
      </w:r>
      <w:r w:rsidR="00AF1783" w:rsidRPr="00B160ED">
        <w:rPr>
          <w:b/>
          <w:i/>
        </w:rPr>
        <w:t>-</w:t>
      </w:r>
      <w:r w:rsidRPr="00B160ED">
        <w:rPr>
          <w:b/>
          <w:i/>
        </w:rPr>
        <w:t>going Policy Implementation</w:t>
      </w:r>
    </w:p>
    <w:p w:rsidR="00B160ED" w:rsidRPr="001D012B" w:rsidRDefault="00B160ED">
      <w:pPr>
        <w:ind w:left="1267" w:hanging="1267"/>
        <w:rPr>
          <w:b/>
        </w:rPr>
      </w:pPr>
    </w:p>
    <w:p w:rsidR="001D012B" w:rsidRDefault="00B160ED">
      <w:pPr>
        <w:ind w:left="1267" w:hanging="1267"/>
      </w:pPr>
      <w:r>
        <w:t>2.18</w:t>
      </w:r>
      <w:r w:rsidR="001D012B">
        <w:tab/>
        <w:t xml:space="preserve">The Council will continue its enforcement action in relation to Environmental Protection, including where there is evidence of Japanese Knotweed being disposed of unlawfully or without a waste carriers licence. </w:t>
      </w:r>
    </w:p>
    <w:p w:rsidR="001D012B" w:rsidRDefault="001D012B">
      <w:pPr>
        <w:ind w:left="1267" w:hanging="1267"/>
      </w:pPr>
    </w:p>
    <w:p w:rsidR="001D012B" w:rsidRDefault="00B160ED">
      <w:pPr>
        <w:ind w:left="1267" w:hanging="1267"/>
      </w:pPr>
      <w:r>
        <w:t>2.19</w:t>
      </w:r>
      <w:r w:rsidR="001D012B">
        <w:tab/>
        <w:t>The Council will continue to consider action under the Anti-</w:t>
      </w:r>
      <w:r w:rsidR="00837962">
        <w:t>S</w:t>
      </w:r>
      <w:r w:rsidR="001D012B">
        <w:t xml:space="preserve">ocial </w:t>
      </w:r>
      <w:r w:rsidR="002872D3">
        <w:t>B</w:t>
      </w:r>
      <w:r w:rsidR="001D012B">
        <w:t xml:space="preserve">ehaviour, Crime and Policing Act, where the tests for action are met, and unreasonable behaviour can be evidenced. </w:t>
      </w:r>
    </w:p>
    <w:p w:rsidR="00BF34FA" w:rsidRDefault="00BF34FA">
      <w:pPr>
        <w:ind w:left="1267" w:hanging="1267"/>
      </w:pPr>
    </w:p>
    <w:p w:rsidR="00BF34FA" w:rsidRDefault="00BF34FA">
      <w:pPr>
        <w:keepNext/>
        <w:ind w:left="1267" w:hanging="1267"/>
      </w:pPr>
      <w:r>
        <w:t>3.</w:t>
      </w:r>
      <w:r>
        <w:tab/>
      </w:r>
      <w:r>
        <w:rPr>
          <w:b/>
        </w:rPr>
        <w:t>Options/Reasons for Recommendation</w:t>
      </w:r>
    </w:p>
    <w:p w:rsidR="00BF34FA" w:rsidRDefault="00BF34FA">
      <w:pPr>
        <w:keepNext/>
        <w:ind w:left="1267" w:hanging="1267"/>
      </w:pPr>
    </w:p>
    <w:p w:rsidR="00BF34FA" w:rsidRDefault="00BF34FA">
      <w:pPr>
        <w:ind w:left="1267" w:hanging="1267"/>
      </w:pPr>
      <w:r>
        <w:t>3.1</w:t>
      </w:r>
      <w:r>
        <w:tab/>
      </w:r>
      <w:r w:rsidR="001D012B">
        <w:t xml:space="preserve">To formalise a policy position regarding the Council’s response to Japanese Knotweed. </w:t>
      </w:r>
      <w:r>
        <w:fldChar w:fldCharType="begin"/>
      </w:r>
      <w:r>
        <w:instrText xml:space="preserve">  </w:instrText>
      </w:r>
      <w:r>
        <w:fldChar w:fldCharType="end"/>
      </w:r>
    </w:p>
    <w:p w:rsidR="001D012B" w:rsidRDefault="001D012B">
      <w:pPr>
        <w:ind w:left="1267" w:hanging="1267"/>
      </w:pPr>
    </w:p>
    <w:p w:rsidR="00BF34FA" w:rsidRDefault="00BF34FA">
      <w:pPr>
        <w:keepNext/>
        <w:ind w:left="1267" w:hanging="1267"/>
      </w:pPr>
      <w:r>
        <w:t>4.</w:t>
      </w:r>
      <w:r>
        <w:tab/>
      </w:r>
      <w:r>
        <w:rPr>
          <w:b/>
        </w:rPr>
        <w:t>Policy/Budget Reference and Implications</w:t>
      </w:r>
    </w:p>
    <w:p w:rsidR="00BF34FA" w:rsidRDefault="00BF34FA">
      <w:pPr>
        <w:keepNext/>
        <w:ind w:left="1267" w:hanging="1267"/>
      </w:pPr>
    </w:p>
    <w:p w:rsidR="00DB28EC" w:rsidRDefault="000D5B7C" w:rsidP="00DB28EC">
      <w:pPr>
        <w:ind w:left="1267" w:hanging="1267"/>
        <w:jc w:val="center"/>
      </w:pPr>
      <w:hyperlink r:id="rId8" w:history="1">
        <w:r w:rsidR="00DB28EC" w:rsidRPr="00DB28EC">
          <w:rPr>
            <w:rStyle w:val="Hyperlink"/>
          </w:rPr>
          <w:t>Link to current policies</w:t>
        </w:r>
      </w:hyperlink>
    </w:p>
    <w:p w:rsidR="00DB28EC" w:rsidRDefault="00DB28EC">
      <w:pPr>
        <w:ind w:left="1267" w:hanging="1267"/>
      </w:pPr>
    </w:p>
    <w:p w:rsidR="00BF34FA" w:rsidRDefault="00BF34FA">
      <w:pPr>
        <w:ind w:left="1267" w:hanging="1267"/>
      </w:pPr>
      <w:r>
        <w:t>4.1</w:t>
      </w:r>
      <w:r>
        <w:tab/>
        <w:t>The recommendations in this report are within the Council’s agreed budgets</w:t>
      </w:r>
      <w:r w:rsidR="00227303">
        <w:t>.</w:t>
      </w:r>
      <w:r>
        <w:t xml:space="preserve">  </w:t>
      </w:r>
      <w:r>
        <w:fldChar w:fldCharType="begin"/>
      </w:r>
      <w:r>
        <w:instrText xml:space="preserve">  </w:instrText>
      </w:r>
      <w:r>
        <w:fldChar w:fldCharType="end"/>
      </w:r>
    </w:p>
    <w:p w:rsidR="00BF34FA" w:rsidRDefault="00BF34FA">
      <w:pPr>
        <w:ind w:left="1267" w:hanging="1267"/>
      </w:pPr>
    </w:p>
    <w:p w:rsidR="00BF34FA" w:rsidRPr="00D7229A" w:rsidRDefault="00490883">
      <w:pPr>
        <w:ind w:left="1267" w:hanging="1267"/>
        <w:rPr>
          <w:b/>
          <w:i/>
          <w:color w:val="008000"/>
        </w:rPr>
      </w:pPr>
      <w:r>
        <w:t>4.2</w:t>
      </w:r>
      <w:r>
        <w:tab/>
        <w:t xml:space="preserve">The recommendations in this report </w:t>
      </w:r>
      <w:r w:rsidR="00BF34FA">
        <w:t>are not within the Cou</w:t>
      </w:r>
      <w:r w:rsidR="00AF1783">
        <w:t>ncil’s agreed policy</w:t>
      </w:r>
      <w:r w:rsidR="00BF34FA">
        <w:t>.</w:t>
      </w:r>
      <w:r w:rsidR="00D7229A">
        <w:t xml:space="preserve">  </w:t>
      </w:r>
    </w:p>
    <w:p w:rsidR="00BF34FA" w:rsidRDefault="00BF34FA">
      <w:pPr>
        <w:ind w:left="1267" w:hanging="1267"/>
      </w:pPr>
    </w:p>
    <w:p w:rsidR="00490883" w:rsidRDefault="00AF1783" w:rsidP="00AF1783">
      <w:pPr>
        <w:ind w:left="1267" w:hanging="1267"/>
      </w:pPr>
      <w:r>
        <w:t>4.3</w:t>
      </w:r>
      <w:r w:rsidR="00BF34FA">
        <w:tab/>
        <w:t xml:space="preserve">The purpose of this proposed policy is to </w:t>
      </w:r>
      <w:r>
        <w:t xml:space="preserve">clarify the action that the Council will take to reports of Japanese Knotweed not on its land. </w:t>
      </w:r>
      <w:r w:rsidR="00BF34FA">
        <w:fldChar w:fldCharType="begin"/>
      </w:r>
      <w:r w:rsidR="00BF34FA">
        <w:instrText xml:space="preserve"> ASK   \* MERGEFORMAT </w:instrText>
      </w:r>
      <w:r w:rsidR="00BF34FA">
        <w:fldChar w:fldCharType="end"/>
      </w:r>
    </w:p>
    <w:p w:rsidR="00BF34FA" w:rsidRDefault="00BF34FA">
      <w:pPr>
        <w:ind w:left="1267" w:hanging="1267"/>
      </w:pPr>
    </w:p>
    <w:p w:rsidR="0093202A" w:rsidRDefault="00BF34FA">
      <w:pPr>
        <w:keepNext/>
        <w:ind w:left="1267" w:hanging="1267"/>
        <w:rPr>
          <w:b/>
        </w:rPr>
      </w:pPr>
      <w:r>
        <w:fldChar w:fldCharType="begin"/>
      </w:r>
      <w:r>
        <w:instrText xml:space="preserve">  </w:instrText>
      </w:r>
      <w:r>
        <w:fldChar w:fldCharType="end"/>
      </w:r>
      <w:r w:rsidR="00AF1783">
        <w:t>5</w:t>
      </w:r>
      <w:r w:rsidR="000D5B7C">
        <w:t>.</w:t>
      </w:r>
      <w:bookmarkStart w:id="0" w:name="_GoBack"/>
      <w:bookmarkEnd w:id="0"/>
      <w:r>
        <w:tab/>
      </w:r>
      <w:r>
        <w:rPr>
          <w:b/>
        </w:rPr>
        <w:t xml:space="preserve">Financial, Equal Opportunities, Staffing, </w:t>
      </w:r>
      <w:r w:rsidR="00AF1783">
        <w:rPr>
          <w:b/>
        </w:rPr>
        <w:t>and Public Health Implications</w:t>
      </w:r>
    </w:p>
    <w:p w:rsidR="0093202A" w:rsidRDefault="0093202A">
      <w:pPr>
        <w:keepNext/>
        <w:ind w:left="1267" w:hanging="1267"/>
        <w:rPr>
          <w:b/>
        </w:rPr>
      </w:pPr>
    </w:p>
    <w:p w:rsidR="00BF34FA" w:rsidRPr="003A5DDE" w:rsidRDefault="0093202A">
      <w:pPr>
        <w:keepNext/>
        <w:ind w:left="1267" w:hanging="1267"/>
      </w:pPr>
      <w:r w:rsidRPr="003A5DDE">
        <w:t>5.1</w:t>
      </w:r>
      <w:r w:rsidRPr="003A5DDE">
        <w:tab/>
        <w:t xml:space="preserve">None </w:t>
      </w:r>
      <w:r w:rsidR="003A5DDE" w:rsidRPr="003A5DDE">
        <w:t>specific.</w:t>
      </w:r>
    </w:p>
    <w:p w:rsidR="00BF34FA" w:rsidRDefault="00BF34FA"/>
    <w:p w:rsidR="00BF34FA" w:rsidRDefault="00BF34FA">
      <w:pPr>
        <w:keepNext/>
        <w:ind w:left="1267" w:hanging="1267"/>
      </w:pPr>
      <w:r>
        <w:t>6.</w:t>
      </w:r>
      <w:r>
        <w:tab/>
      </w:r>
      <w:r>
        <w:rPr>
          <w:b/>
        </w:rPr>
        <w:t>Legal Implications</w:t>
      </w:r>
    </w:p>
    <w:p w:rsidR="00BF34FA" w:rsidRDefault="00BF34FA">
      <w:pPr>
        <w:keepNext/>
        <w:ind w:left="1267" w:hanging="1267"/>
      </w:pPr>
    </w:p>
    <w:p w:rsidR="00313D7D" w:rsidRDefault="00BF34FA" w:rsidP="007B1FE9">
      <w:pPr>
        <w:ind w:left="1260" w:hanging="1260"/>
      </w:pPr>
      <w:r>
        <w:t>6.1</w:t>
      </w:r>
      <w:r>
        <w:tab/>
      </w:r>
      <w:r>
        <w:fldChar w:fldCharType="begin"/>
      </w:r>
      <w:r>
        <w:instrText xml:space="preserve">  </w:instrText>
      </w:r>
      <w:r>
        <w:fldChar w:fldCharType="end"/>
      </w:r>
      <w:r w:rsidR="00FC483C">
        <w:t>When a CPN is issued there is a right of appeal to the magistrates’ court. Ther</w:t>
      </w:r>
      <w:r w:rsidR="00313D7D">
        <w:t>e are several grounds of appeal;</w:t>
      </w:r>
      <w:r w:rsidR="00FC483C">
        <w:t xml:space="preserve"> </w:t>
      </w:r>
      <w:r w:rsidR="00313D7D">
        <w:t>amongst them</w:t>
      </w:r>
      <w:r w:rsidR="00FC483C">
        <w:t xml:space="preserve"> that the conduct is not unreasonable or it is not persistent or continuing. </w:t>
      </w:r>
      <w:r w:rsidR="002872D3">
        <w:t>B</w:t>
      </w:r>
      <w:r w:rsidR="00313D7D">
        <w:t>reach</w:t>
      </w:r>
      <w:r w:rsidR="002872D3">
        <w:t xml:space="preserve"> of a CPN</w:t>
      </w:r>
      <w:r w:rsidR="00313D7D">
        <w:t xml:space="preserve"> is a criminal offence and must be proved beyond reasonable doubt. The Legal Department would be obliged to prove</w:t>
      </w:r>
      <w:r w:rsidR="002872D3">
        <w:t>,</w:t>
      </w:r>
      <w:r w:rsidR="00313D7D">
        <w:t xml:space="preserve"> to this standard</w:t>
      </w:r>
      <w:r w:rsidR="002872D3">
        <w:t>,</w:t>
      </w:r>
      <w:r w:rsidR="00313D7D">
        <w:t xml:space="preserve"> that the defendant landowner had failed to comply with the CPN. Therefore the only realistic term of a CPN would be to treat the land in accordance with approved guidelines and to provide evidence of that treatment on specified occasions.</w:t>
      </w:r>
      <w:r w:rsidR="007B1FE9">
        <w:t xml:space="preserve"> </w:t>
      </w:r>
      <w:r w:rsidR="00313D7D">
        <w:t>The situation would have to be monitored by officers over a considerable period of time</w:t>
      </w:r>
      <w:r w:rsidR="0093202A">
        <w:t>.</w:t>
      </w:r>
    </w:p>
    <w:p w:rsidR="002872D3" w:rsidRDefault="002872D3" w:rsidP="00313D7D"/>
    <w:p w:rsidR="00313D7D" w:rsidRPr="00313D7D" w:rsidRDefault="002872D3" w:rsidP="007B1FE9">
      <w:pPr>
        <w:ind w:left="1260" w:hanging="1260"/>
      </w:pPr>
      <w:r>
        <w:t xml:space="preserve">6.2 </w:t>
      </w:r>
      <w:r w:rsidR="007B1FE9">
        <w:tab/>
      </w:r>
      <w:r w:rsidR="00313D7D">
        <w:t xml:space="preserve">There is a power under Section 215 Town and Country Planning Act 1990 </w:t>
      </w:r>
      <w:r w:rsidR="00313D7D" w:rsidRPr="007B1FE9">
        <w:rPr>
          <w:rFonts w:cs="Arial"/>
          <w:color w:val="212121"/>
          <w:sz w:val="24"/>
          <w:szCs w:val="24"/>
        </w:rPr>
        <w:t xml:space="preserve">where </w:t>
      </w:r>
      <w:r w:rsidR="00313D7D" w:rsidRPr="007B1FE9">
        <w:rPr>
          <w:rFonts w:cs="Arial"/>
        </w:rPr>
        <w:t>amenity</w:t>
      </w:r>
      <w:r w:rsidR="00313D7D" w:rsidRPr="00313D7D">
        <w:t xml:space="preserve"> of an area (or adjoining area) is adversely </w:t>
      </w:r>
      <w:r w:rsidR="00313D7D">
        <w:t>affected.</w:t>
      </w:r>
      <w:r w:rsidR="00AB5C51">
        <w:t xml:space="preserve"> In theory t</w:t>
      </w:r>
      <w:r w:rsidR="00313D7D" w:rsidRPr="00313D7D">
        <w:t xml:space="preserve">his power could be exercised for infestation of land by </w:t>
      </w:r>
      <w:r w:rsidR="009E1D45">
        <w:t>Japanese K</w:t>
      </w:r>
      <w:r w:rsidR="00313D7D" w:rsidRPr="00313D7D">
        <w:t>notweed, particularly where it is at risk of spreading into adjoining land.</w:t>
      </w:r>
      <w:r w:rsidR="00AB5C51">
        <w:t xml:space="preserve"> However, legal implications </w:t>
      </w:r>
      <w:r w:rsidR="00F22582">
        <w:t>that arise in considering whether to issue a CPN</w:t>
      </w:r>
      <w:r w:rsidR="00F22582" w:rsidRPr="00F22582">
        <w:t xml:space="preserve"> </w:t>
      </w:r>
      <w:r w:rsidR="00F22582">
        <w:t xml:space="preserve">are very similar to those </w:t>
      </w:r>
      <w:r w:rsidR="00AB5C51">
        <w:t>aris</w:t>
      </w:r>
      <w:r w:rsidR="00F22582">
        <w:t>ing</w:t>
      </w:r>
      <w:r w:rsidR="00AB5C51">
        <w:t xml:space="preserve"> as to appeal, prosecution and proof</w:t>
      </w:r>
      <w:r w:rsidR="00AC344F">
        <w:t xml:space="preserve"> </w:t>
      </w:r>
      <w:r w:rsidR="00F22582">
        <w:t>in criminal matters</w:t>
      </w:r>
      <w:r w:rsidR="00AB5C51">
        <w:t>.</w:t>
      </w:r>
    </w:p>
    <w:p w:rsidR="00BF34FA" w:rsidRDefault="00BF34FA"/>
    <w:p w:rsidR="00BF34FA" w:rsidRDefault="00AF1783">
      <w:pPr>
        <w:keepNext/>
        <w:ind w:left="1267" w:hanging="1267"/>
      </w:pPr>
      <w:r>
        <w:t>7</w:t>
      </w:r>
      <w:r w:rsidR="00BF34FA">
        <w:t>.</w:t>
      </w:r>
      <w:r w:rsidR="00BF34FA">
        <w:tab/>
      </w:r>
      <w:r w:rsidR="00BF34FA">
        <w:rPr>
          <w:b/>
        </w:rPr>
        <w:t>Environmental Implications</w:t>
      </w:r>
    </w:p>
    <w:p w:rsidR="00BF34FA" w:rsidRDefault="00BF34FA">
      <w:pPr>
        <w:keepNext/>
        <w:ind w:left="1267" w:hanging="1267"/>
      </w:pPr>
    </w:p>
    <w:p w:rsidR="00BF34FA" w:rsidRDefault="00AF1783">
      <w:pPr>
        <w:ind w:left="1260" w:hanging="1260"/>
      </w:pPr>
      <w:r>
        <w:t>7</w:t>
      </w:r>
      <w:r w:rsidR="00BF34FA">
        <w:t>.1</w:t>
      </w:r>
      <w:r w:rsidR="00BF34FA">
        <w:tab/>
      </w:r>
      <w:r>
        <w:t xml:space="preserve">The Council already takes action to treat and safely dispose of Japanese Knotweed on its own land. </w:t>
      </w:r>
      <w:r w:rsidR="00BF34FA">
        <w:fldChar w:fldCharType="begin"/>
      </w:r>
      <w:r w:rsidR="00BF34FA">
        <w:instrText xml:space="preserve">  </w:instrText>
      </w:r>
      <w:r w:rsidR="00BF34FA">
        <w:fldChar w:fldCharType="end"/>
      </w:r>
      <w:r>
        <w:t>The Council already takes action with regards to Environmental Enforcement in relation to fly tipping and waste carrier licen</w:t>
      </w:r>
      <w:r w:rsidR="00837962">
        <w:t>c</w:t>
      </w:r>
      <w:r>
        <w:t xml:space="preserve">es. </w:t>
      </w:r>
    </w:p>
    <w:p w:rsidR="00AF1783" w:rsidRDefault="00AF1783"/>
    <w:p w:rsidR="00BF34FA" w:rsidRDefault="00AF1783">
      <w:pPr>
        <w:keepNext/>
        <w:ind w:left="1267" w:hanging="1267"/>
      </w:pPr>
      <w:r>
        <w:t>8</w:t>
      </w:r>
      <w:r w:rsidR="00BF34FA">
        <w:t>.</w:t>
      </w:r>
      <w:r w:rsidR="00BF34FA">
        <w:tab/>
      </w:r>
      <w:r w:rsidR="00BF34FA">
        <w:rPr>
          <w:b/>
        </w:rPr>
        <w:t>Community Safety Implications</w:t>
      </w:r>
    </w:p>
    <w:p w:rsidR="00BF34FA" w:rsidRDefault="00BF34FA">
      <w:pPr>
        <w:keepNext/>
        <w:ind w:left="1267" w:hanging="1267"/>
      </w:pPr>
    </w:p>
    <w:p w:rsidR="009E1D45" w:rsidRDefault="00AF1783" w:rsidP="00AF1783">
      <w:pPr>
        <w:ind w:left="1260" w:hanging="1260"/>
      </w:pPr>
      <w:r>
        <w:t>8</w:t>
      </w:r>
      <w:r w:rsidR="00BF34FA">
        <w:t>.1</w:t>
      </w:r>
      <w:r w:rsidR="00BF34FA">
        <w:tab/>
      </w:r>
      <w:r w:rsidR="00837962">
        <w:t>O</w:t>
      </w:r>
      <w:r>
        <w:t xml:space="preserve">fficers </w:t>
      </w:r>
      <w:r w:rsidR="005571E9">
        <w:t xml:space="preserve">authorised by the Director of Community and Environmental Services </w:t>
      </w:r>
      <w:r>
        <w:t xml:space="preserve">can take action regarding Japanese Knotweed under </w:t>
      </w:r>
      <w:r w:rsidR="005571E9">
        <w:t xml:space="preserve">the Anti-Social </w:t>
      </w:r>
      <w:r w:rsidR="007B1FE9">
        <w:t xml:space="preserve">Behaviour </w:t>
      </w:r>
      <w:r w:rsidR="005571E9">
        <w:lastRenderedPageBreak/>
        <w:t xml:space="preserve">Crime and </w:t>
      </w:r>
      <w:r w:rsidR="007B1FE9">
        <w:t xml:space="preserve">Policing </w:t>
      </w:r>
      <w:r w:rsidR="005571E9">
        <w:t xml:space="preserve">Act 2014 </w:t>
      </w:r>
      <w:r>
        <w:t xml:space="preserve">where the tests of relevant enforcement options are met. </w:t>
      </w:r>
    </w:p>
    <w:p w:rsidR="00BF34FA" w:rsidRDefault="00BF34FA" w:rsidP="00AF1783">
      <w:pPr>
        <w:ind w:left="1260" w:hanging="1260"/>
      </w:pPr>
      <w:r>
        <w:fldChar w:fldCharType="begin"/>
      </w:r>
      <w:r>
        <w:instrText xml:space="preserve">  </w:instrText>
      </w:r>
      <w:r>
        <w:fldChar w:fldCharType="end"/>
      </w:r>
    </w:p>
    <w:p w:rsidR="00BF34FA" w:rsidRDefault="00E70EC6">
      <w:pPr>
        <w:keepNext/>
        <w:ind w:left="1267" w:hanging="1267"/>
      </w:pPr>
      <w:r>
        <w:rPr>
          <w:b/>
        </w:rPr>
        <w:t>9</w:t>
      </w:r>
      <w:r w:rsidR="00490883">
        <w:rPr>
          <w:b/>
        </w:rPr>
        <w:t>.</w:t>
      </w:r>
      <w:r w:rsidR="00490883">
        <w:rPr>
          <w:b/>
        </w:rPr>
        <w:tab/>
      </w:r>
      <w:r w:rsidR="00BF34FA">
        <w:rPr>
          <w:b/>
        </w:rPr>
        <w:t>Customer Services Centre Implications</w:t>
      </w:r>
    </w:p>
    <w:p w:rsidR="00BF34FA" w:rsidRDefault="00BF34FA">
      <w:pPr>
        <w:keepNext/>
        <w:ind w:left="1267" w:hanging="1267"/>
      </w:pPr>
    </w:p>
    <w:p w:rsidR="00BF34FA" w:rsidRDefault="00E70EC6">
      <w:pPr>
        <w:ind w:left="1260" w:hanging="1260"/>
      </w:pPr>
      <w:r>
        <w:t>9</w:t>
      </w:r>
      <w:r w:rsidR="00BF34FA">
        <w:t>.1</w:t>
      </w:r>
      <w:r w:rsidR="00BF34FA">
        <w:tab/>
      </w:r>
      <w:r>
        <w:t xml:space="preserve">The process in Appendix 1 is already used by the Customer Services Centre to process reports of Japanese Knotweed. </w:t>
      </w:r>
      <w:r w:rsidR="00BF34FA">
        <w:fldChar w:fldCharType="begin"/>
      </w:r>
      <w:r w:rsidR="00BF34FA">
        <w:instrText xml:space="preserve">  </w:instrText>
      </w:r>
      <w:r w:rsidR="00BF34FA">
        <w:fldChar w:fldCharType="end"/>
      </w:r>
    </w:p>
    <w:p w:rsidR="00E70EC6" w:rsidRDefault="00E70EC6"/>
    <w:p w:rsidR="00BF34FA" w:rsidRDefault="00E70EC6">
      <w:pPr>
        <w:keepNext/>
        <w:ind w:left="1267" w:hanging="1267"/>
      </w:pPr>
      <w:r>
        <w:t>10</w:t>
      </w:r>
      <w:r w:rsidR="00BF34FA">
        <w:t>.</w:t>
      </w:r>
      <w:r w:rsidR="00BF34FA">
        <w:tab/>
      </w:r>
      <w:r w:rsidR="00BF34FA">
        <w:rPr>
          <w:b/>
        </w:rPr>
        <w:t>Communications and</w:t>
      </w:r>
      <w:r w:rsidR="00BF34FA">
        <w:t xml:space="preserve"> </w:t>
      </w:r>
      <w:r w:rsidR="00BF34FA">
        <w:rPr>
          <w:b/>
        </w:rPr>
        <w:t>Website Implications</w:t>
      </w:r>
    </w:p>
    <w:p w:rsidR="00BF34FA" w:rsidRDefault="00BF34FA">
      <w:pPr>
        <w:keepNext/>
        <w:ind w:left="1267" w:hanging="1267"/>
      </w:pPr>
    </w:p>
    <w:p w:rsidR="00BF34FA" w:rsidRDefault="00BF34FA">
      <w:pPr>
        <w:ind w:left="1260" w:hanging="1260"/>
      </w:pPr>
      <w:r>
        <w:t>1</w:t>
      </w:r>
      <w:r w:rsidR="00E70EC6">
        <w:t>0</w:t>
      </w:r>
      <w:r>
        <w:t>.1</w:t>
      </w:r>
      <w:r>
        <w:tab/>
      </w:r>
      <w:r w:rsidR="00E70EC6">
        <w:t>Appropriate information needs to be added to the Council’s website to clarify actions it can take with regards to Japanese Knotweed</w:t>
      </w:r>
      <w:r>
        <w:fldChar w:fldCharType="begin"/>
      </w:r>
      <w:r>
        <w:instrText xml:space="preserve">  </w:instrText>
      </w:r>
      <w:r>
        <w:fldChar w:fldCharType="end"/>
      </w:r>
      <w:r w:rsidR="00E70EC6">
        <w:t xml:space="preserve"> and manage the public’s expectations. </w:t>
      </w:r>
    </w:p>
    <w:p w:rsidR="00E70EC6" w:rsidRDefault="00E70EC6">
      <w:pPr>
        <w:pStyle w:val="Header"/>
        <w:tabs>
          <w:tab w:val="clear" w:pos="4153"/>
          <w:tab w:val="clear" w:pos="8306"/>
          <w:tab w:val="left" w:pos="1260"/>
          <w:tab w:val="left" w:pos="1980"/>
          <w:tab w:val="left" w:pos="2700"/>
          <w:tab w:val="left" w:pos="3420"/>
        </w:tabs>
      </w:pPr>
    </w:p>
    <w:p w:rsidR="00BF34FA" w:rsidRDefault="00BF34FA">
      <w:pPr>
        <w:keepNext/>
        <w:ind w:left="1267" w:hanging="1267"/>
        <w:rPr>
          <w:b/>
        </w:rPr>
      </w:pPr>
      <w:r>
        <w:t>1</w:t>
      </w:r>
      <w:r w:rsidR="00E70EC6">
        <w:t>1</w:t>
      </w:r>
      <w:r>
        <w:t>.</w:t>
      </w:r>
      <w:r>
        <w:tab/>
      </w:r>
      <w:r>
        <w:rPr>
          <w:b/>
        </w:rPr>
        <w:t>Risk Management and Health &amp; Safety Implications</w:t>
      </w:r>
    </w:p>
    <w:p w:rsidR="00BF34FA" w:rsidRDefault="00BF34FA">
      <w:pPr>
        <w:keepNext/>
        <w:ind w:left="1267" w:hanging="1267"/>
      </w:pPr>
    </w:p>
    <w:p w:rsidR="00BF34FA" w:rsidRDefault="00BF34FA">
      <w:pPr>
        <w:ind w:left="1276" w:hanging="1276"/>
      </w:pPr>
      <w:r>
        <w:t>1</w:t>
      </w:r>
      <w:r w:rsidR="00E70EC6">
        <w:t>1</w:t>
      </w:r>
      <w:r>
        <w:t>.1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BF34FA">
      <w:pPr>
        <w:ind w:left="1260" w:hanging="1260"/>
      </w:pPr>
      <w:r>
        <w:t>1</w:t>
      </w:r>
      <w:r w:rsidR="00E70EC6">
        <w:t>1</w:t>
      </w:r>
      <w:r>
        <w:t>.2</w:t>
      </w:r>
      <w:r>
        <w:tab/>
        <w:t xml:space="preserve">The subject of this report is covered by the </w:t>
      </w:r>
      <w:r w:rsidR="00E70EC6">
        <w:t xml:space="preserve">Community Partnerships, Environmental Protection, Customer Service Centre and Property Services </w:t>
      </w:r>
      <w:r>
        <w:fldChar w:fldCharType="begin"/>
      </w:r>
      <w:r>
        <w:instrText xml:space="preserve"> ASK   \* MERGEFORMAT </w:instrText>
      </w:r>
      <w:r>
        <w:fldChar w:fldCharType="end"/>
      </w:r>
      <w:r>
        <w:t xml:space="preserve"> service plan</w:t>
      </w:r>
      <w:r w:rsidR="00E70EC6">
        <w:t>s.</w:t>
      </w:r>
      <w:r>
        <w:t xml:space="preserve">  Any risks resulting from this report will be included in the risk register and, if necessary, managed within</w:t>
      </w:r>
      <w:r w:rsidR="00E70EC6">
        <w:t xml:space="preserve"> these plans. </w:t>
      </w:r>
    </w:p>
    <w:p w:rsidR="00BF34FA" w:rsidRDefault="00BF34FA"/>
    <w:p w:rsidR="00BF34FA" w:rsidRDefault="00BF34FA">
      <w:pPr>
        <w:ind w:left="1276" w:hanging="1276"/>
      </w:pPr>
      <w:r>
        <w:t>1</w:t>
      </w:r>
      <w:r w:rsidR="00E70EC6">
        <w:t>1</w:t>
      </w:r>
      <w:r>
        <w:t>.3</w:t>
      </w:r>
      <w:r>
        <w:tab/>
        <w:t>There are no risks to the Council in agreeing the recommendation</w:t>
      </w:r>
      <w:r w:rsidR="00E70EC6">
        <w:t xml:space="preserve">s. </w:t>
      </w:r>
    </w:p>
    <w:p w:rsidR="00BF34FA" w:rsidRDefault="00BF34FA"/>
    <w:p w:rsidR="00BF34FA" w:rsidRDefault="00FA0C1C">
      <w:pPr>
        <w:ind w:left="1276" w:hanging="1276"/>
      </w:pPr>
      <w:r>
        <w:t>1</w:t>
      </w:r>
      <w:r w:rsidR="00E70EC6">
        <w:t>1</w:t>
      </w:r>
      <w:r>
        <w:t>.4</w:t>
      </w:r>
      <w:r>
        <w:tab/>
      </w:r>
      <w:r w:rsidR="00BF34FA">
        <w:t>The following table gives the risks that would exist if the recommendation is rejected, together with a scored assessment of their impact and likelihood:</w:t>
      </w:r>
    </w:p>
    <w:p w:rsidR="00BF34FA" w:rsidRDefault="00BF34FA"/>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trPr>
          <w:trHeight w:val="152"/>
        </w:trPr>
        <w:tc>
          <w:tcPr>
            <w:tcW w:w="5384" w:type="dxa"/>
            <w:gridSpan w:val="2"/>
          </w:tcPr>
          <w:p w:rsidR="00BF34FA" w:rsidRDefault="00BF34FA">
            <w:pPr>
              <w:jc w:val="center"/>
              <w:rPr>
                <w:sz w:val="20"/>
              </w:rPr>
            </w:pPr>
            <w:r>
              <w:rPr>
                <w:sz w:val="20"/>
              </w:rPr>
              <w:t>Description of Risk</w:t>
            </w:r>
          </w:p>
        </w:tc>
        <w:tc>
          <w:tcPr>
            <w:tcW w:w="1170" w:type="dxa"/>
          </w:tcPr>
          <w:p w:rsidR="00BF34FA" w:rsidRDefault="00BF34FA">
            <w:pPr>
              <w:jc w:val="center"/>
              <w:rPr>
                <w:sz w:val="20"/>
              </w:rPr>
            </w:pPr>
            <w:r>
              <w:rPr>
                <w:sz w:val="20"/>
              </w:rPr>
              <w:t>Impact</w:t>
            </w:r>
          </w:p>
        </w:tc>
        <w:tc>
          <w:tcPr>
            <w:tcW w:w="1350" w:type="dxa"/>
          </w:tcPr>
          <w:p w:rsidR="00BF34FA" w:rsidRDefault="00BF34FA">
            <w:pPr>
              <w:ind w:left="34"/>
              <w:jc w:val="center"/>
              <w:rPr>
                <w:sz w:val="20"/>
              </w:rPr>
            </w:pPr>
            <w:r>
              <w:rPr>
                <w:sz w:val="20"/>
              </w:rPr>
              <w:t>Likelihood</w:t>
            </w:r>
          </w:p>
        </w:tc>
      </w:tr>
      <w:tr w:rsidR="00BF34FA">
        <w:tc>
          <w:tcPr>
            <w:tcW w:w="328" w:type="dxa"/>
          </w:tcPr>
          <w:p w:rsidR="00BF34FA" w:rsidRDefault="00BF34FA">
            <w:pPr>
              <w:jc w:val="left"/>
              <w:rPr>
                <w:sz w:val="20"/>
              </w:rPr>
            </w:pPr>
            <w:r>
              <w:rPr>
                <w:sz w:val="20"/>
              </w:rPr>
              <w:t>1</w:t>
            </w:r>
          </w:p>
        </w:tc>
        <w:tc>
          <w:tcPr>
            <w:tcW w:w="5056" w:type="dxa"/>
          </w:tcPr>
          <w:p w:rsidR="00BF34FA" w:rsidRDefault="00E70EC6">
            <w:pPr>
              <w:jc w:val="left"/>
              <w:rPr>
                <w:sz w:val="20"/>
              </w:rPr>
            </w:pPr>
            <w:r>
              <w:rPr>
                <w:sz w:val="20"/>
              </w:rPr>
              <w:t xml:space="preserve">The expectations of the Public are not managed in relation to how the Council will respond to Japanese Knotweed that is not on Council owned land. </w:t>
            </w:r>
          </w:p>
        </w:tc>
        <w:tc>
          <w:tcPr>
            <w:tcW w:w="1170" w:type="dxa"/>
          </w:tcPr>
          <w:p w:rsidR="00BF34FA" w:rsidRDefault="00E70EC6">
            <w:pPr>
              <w:jc w:val="center"/>
              <w:rPr>
                <w:sz w:val="20"/>
              </w:rPr>
            </w:pPr>
            <w:r>
              <w:rPr>
                <w:sz w:val="20"/>
              </w:rPr>
              <w:t>II</w:t>
            </w:r>
          </w:p>
        </w:tc>
        <w:tc>
          <w:tcPr>
            <w:tcW w:w="1350" w:type="dxa"/>
          </w:tcPr>
          <w:p w:rsidR="00BF34FA" w:rsidRDefault="00E70EC6">
            <w:pPr>
              <w:jc w:val="center"/>
              <w:rPr>
                <w:sz w:val="20"/>
              </w:rPr>
            </w:pPr>
            <w:r>
              <w:rPr>
                <w:sz w:val="20"/>
              </w:rPr>
              <w:t>C</w:t>
            </w:r>
          </w:p>
        </w:tc>
      </w:tr>
      <w:tr w:rsidR="00E70EC6">
        <w:tc>
          <w:tcPr>
            <w:tcW w:w="328" w:type="dxa"/>
          </w:tcPr>
          <w:p w:rsidR="00E70EC6" w:rsidRDefault="00E70EC6">
            <w:pPr>
              <w:jc w:val="left"/>
              <w:rPr>
                <w:sz w:val="20"/>
              </w:rPr>
            </w:pPr>
            <w:r>
              <w:rPr>
                <w:sz w:val="20"/>
              </w:rPr>
              <w:t>2</w:t>
            </w:r>
          </w:p>
        </w:tc>
        <w:tc>
          <w:tcPr>
            <w:tcW w:w="5056" w:type="dxa"/>
          </w:tcPr>
          <w:p w:rsidR="00E70EC6" w:rsidRDefault="00E70EC6">
            <w:pPr>
              <w:jc w:val="left"/>
              <w:rPr>
                <w:sz w:val="20"/>
              </w:rPr>
            </w:pPr>
            <w:r>
              <w:rPr>
                <w:sz w:val="20"/>
              </w:rPr>
              <w:t xml:space="preserve">The Council does not delegate officers to respond to reports of Japanese Knotweed that is not on Council owned land. </w:t>
            </w:r>
          </w:p>
        </w:tc>
        <w:tc>
          <w:tcPr>
            <w:tcW w:w="1170" w:type="dxa"/>
          </w:tcPr>
          <w:p w:rsidR="00E70EC6" w:rsidRDefault="00E70EC6">
            <w:pPr>
              <w:jc w:val="center"/>
              <w:rPr>
                <w:sz w:val="20"/>
              </w:rPr>
            </w:pPr>
            <w:r>
              <w:rPr>
                <w:sz w:val="20"/>
              </w:rPr>
              <w:t>III</w:t>
            </w:r>
          </w:p>
        </w:tc>
        <w:tc>
          <w:tcPr>
            <w:tcW w:w="1350" w:type="dxa"/>
          </w:tcPr>
          <w:p w:rsidR="00E70EC6" w:rsidRDefault="00E70EC6">
            <w:pPr>
              <w:jc w:val="center"/>
              <w:rPr>
                <w:sz w:val="20"/>
              </w:rPr>
            </w:pPr>
            <w:r>
              <w:rPr>
                <w:sz w:val="20"/>
              </w:rPr>
              <w:t>A</w:t>
            </w: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pStyle w:val="BodyTextIndent"/>
        <w:tabs>
          <w:tab w:val="clear" w:pos="1260"/>
          <w:tab w:val="left" w:pos="1276"/>
        </w:tabs>
      </w:pPr>
      <w:r>
        <w:t>1</w:t>
      </w:r>
      <w:r w:rsidR="00E70EC6">
        <w:t>1</w:t>
      </w:r>
      <w:r>
        <w:t>.5</w:t>
      </w:r>
      <w:r>
        <w:tab/>
        <w:t>Of the risks detailed above none is already managed within a service plan.</w:t>
      </w:r>
    </w:p>
    <w:p w:rsidR="00BF34FA" w:rsidRDefault="00BF34FA"/>
    <w:p w:rsidR="00BF34FA" w:rsidRDefault="00BF34FA">
      <w:pPr>
        <w:ind w:left="1276" w:hanging="1276"/>
      </w:pPr>
      <w:r>
        <w:t>1</w:t>
      </w:r>
      <w:r w:rsidR="00E70EC6">
        <w:t>1</w:t>
      </w:r>
      <w:r>
        <w:t>.6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5B58F2">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63FEEDF5" wp14:editId="45FBA98B">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62A415A8" wp14:editId="4BDFB7E8">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E70EC6">
            <w:pPr>
              <w:keepNext/>
              <w:keepLines/>
            </w:pPr>
            <w:r>
              <w:t>2</w:t>
            </w: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E70EC6">
            <w:pPr>
              <w:keepNext/>
              <w:keepLines/>
            </w:pPr>
            <w:r>
              <w:t>1</w:t>
            </w: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F34FA">
      <w:pPr>
        <w:ind w:left="1276" w:hanging="1276"/>
      </w:pPr>
      <w:r>
        <w:lastRenderedPageBreak/>
        <w:t>1</w:t>
      </w:r>
      <w:r w:rsidR="00E70EC6">
        <w:t>1</w:t>
      </w:r>
      <w:r>
        <w:t>.7</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F34FA" w:rsidRDefault="00BF34FA">
      <w:pPr>
        <w:pStyle w:val="BodyTextIndent"/>
      </w:pPr>
    </w:p>
    <w:p w:rsidR="00BF34FA" w:rsidRDefault="00BF34FA">
      <w:pPr>
        <w:keepNext/>
        <w:ind w:left="1267" w:hanging="1267"/>
      </w:pPr>
      <w:r>
        <w:t>1</w:t>
      </w:r>
      <w:r w:rsidR="00E70EC6">
        <w:t>2</w:t>
      </w:r>
      <w:r>
        <w:t>.</w:t>
      </w:r>
      <w:r>
        <w:fldChar w:fldCharType="begin"/>
      </w:r>
      <w:r>
        <w:instrText xml:space="preserve">  </w:instrText>
      </w:r>
      <w:r>
        <w:fldChar w:fldCharType="end"/>
      </w:r>
      <w:r>
        <w:tab/>
      </w:r>
      <w:r>
        <w:rPr>
          <w:b/>
        </w:rPr>
        <w:t>Recommendation</w:t>
      </w:r>
      <w:r w:rsidR="00E70EC6">
        <w:rPr>
          <w:b/>
        </w:rPr>
        <w:t>s</w:t>
      </w:r>
    </w:p>
    <w:p w:rsidR="00BF34FA" w:rsidRDefault="00BF34FA">
      <w:pPr>
        <w:keepNext/>
        <w:ind w:left="1267" w:hanging="1267"/>
      </w:pPr>
    </w:p>
    <w:p w:rsidR="00BF34FA" w:rsidRDefault="00BF34FA">
      <w:r>
        <w:t>1</w:t>
      </w:r>
      <w:r w:rsidR="00E70EC6">
        <w:t>2</w:t>
      </w:r>
      <w:r>
        <w:t>.1</w:t>
      </w:r>
      <w:r>
        <w:tab/>
        <w:t xml:space="preserve">That </w:t>
      </w:r>
      <w:r w:rsidR="00E70EC6">
        <w:t xml:space="preserve">Policy </w:t>
      </w:r>
      <w:r w:rsidR="00B160ED">
        <w:t xml:space="preserve">and </w:t>
      </w:r>
      <w:r w:rsidR="00E70EC6">
        <w:t>Resources Committee agree the following policy:</w:t>
      </w:r>
    </w:p>
    <w:p w:rsidR="00E70EC6" w:rsidRDefault="00E70EC6"/>
    <w:p w:rsidR="00E70EC6" w:rsidRDefault="00E70EC6" w:rsidP="00E70EC6">
      <w:pPr>
        <w:ind w:left="1267" w:hanging="1267"/>
      </w:pPr>
      <w:r>
        <w:t>12.1.1</w:t>
      </w:r>
      <w:r>
        <w:tab/>
        <w:t>Th</w:t>
      </w:r>
      <w:r w:rsidR="00837962">
        <w:t>at th</w:t>
      </w:r>
      <w:r>
        <w:t xml:space="preserve">e Council will only treat Japanese Knotweed on its own land. </w:t>
      </w:r>
    </w:p>
    <w:p w:rsidR="00E70EC6" w:rsidRDefault="00E70EC6" w:rsidP="00E70EC6">
      <w:pPr>
        <w:ind w:left="1267" w:hanging="1267"/>
      </w:pPr>
    </w:p>
    <w:p w:rsidR="00E70EC6" w:rsidRDefault="00E70EC6" w:rsidP="00E70EC6">
      <w:pPr>
        <w:ind w:left="1267" w:hanging="1267"/>
      </w:pPr>
      <w:r>
        <w:t>12.1.2</w:t>
      </w:r>
      <w:r>
        <w:tab/>
        <w:t>Th</w:t>
      </w:r>
      <w:r w:rsidR="00837962">
        <w:t>at th</w:t>
      </w:r>
      <w:r>
        <w:t xml:space="preserve">e Council will take steps (as outlined in the Procedure in Appendix 1) to identify and notify landowners in the District </w:t>
      </w:r>
      <w:r w:rsidR="00837962">
        <w:t xml:space="preserve">about their responsibilities to stop the encroachment and safely dispose of the remains </w:t>
      </w:r>
      <w:r>
        <w:t xml:space="preserve">where Japanese Knotweed is encroaching from their own land onto adjacent land. </w:t>
      </w:r>
    </w:p>
    <w:p w:rsidR="00E70EC6" w:rsidRDefault="00E70EC6"/>
    <w:p w:rsidR="00BF34FA" w:rsidRDefault="00BF34FA"/>
    <w:p w:rsidR="00BF34FA" w:rsidRDefault="00BF34FA">
      <w:pPr>
        <w:rPr>
          <w:b/>
          <w:i/>
          <w:color w:val="008000"/>
        </w:rPr>
      </w:pPr>
      <w:r>
        <w:tab/>
        <w:t>Report prepared by:</w:t>
      </w:r>
      <w:r>
        <w:tab/>
      </w:r>
      <w:r w:rsidR="00E70EC6">
        <w:t>Andy Stovold, Head of Community Partnerships</w:t>
      </w:r>
      <w:r>
        <w:fldChar w:fldCharType="begin"/>
      </w:r>
      <w:r>
        <w:instrText xml:space="preserve">  </w:instrText>
      </w:r>
      <w:r>
        <w:fldChar w:fldCharType="end"/>
      </w:r>
    </w:p>
    <w:p w:rsidR="00BF34FA" w:rsidRDefault="00BF34FA">
      <w:pPr>
        <w:ind w:left="1253" w:hanging="1253"/>
      </w:pPr>
    </w:p>
    <w:p w:rsidR="00BF34FA" w:rsidRDefault="00BF34FA" w:rsidP="000431C7">
      <w:pPr>
        <w:keepNext/>
        <w:keepLines/>
        <w:ind w:left="1267" w:hanging="1267"/>
        <w:outlineLvl w:val="0"/>
        <w:rPr>
          <w:b/>
        </w:rPr>
      </w:pPr>
      <w:r>
        <w:tab/>
      </w:r>
      <w:r>
        <w:rPr>
          <w:b/>
        </w:rPr>
        <w:t>Data Quality</w:t>
      </w:r>
    </w:p>
    <w:p w:rsidR="00BF34FA" w:rsidRDefault="00BF34FA" w:rsidP="000431C7">
      <w:pPr>
        <w:keepNext/>
        <w:keepLines/>
        <w:ind w:left="1267" w:hanging="1267"/>
        <w:outlineLvl w:val="0"/>
        <w:rPr>
          <w:b/>
        </w:rPr>
      </w:pPr>
    </w:p>
    <w:p w:rsidR="00BF34FA" w:rsidRDefault="00BF34FA" w:rsidP="000431C7">
      <w:pPr>
        <w:keepNext/>
        <w:keepLines/>
        <w:ind w:left="1267" w:hanging="1267"/>
      </w:pPr>
      <w:r>
        <w:rPr>
          <w:b/>
        </w:rPr>
        <w:tab/>
      </w:r>
      <w:r>
        <w:t>Data sources:</w:t>
      </w:r>
    </w:p>
    <w:p w:rsidR="00BF34FA" w:rsidRDefault="00BF34FA" w:rsidP="000431C7">
      <w:pPr>
        <w:keepNext/>
        <w:keepLines/>
        <w:ind w:left="1267" w:hanging="1267"/>
      </w:pPr>
    </w:p>
    <w:p w:rsidR="005405F4" w:rsidRDefault="00BF34FA" w:rsidP="000431C7">
      <w:pPr>
        <w:keepNext/>
        <w:keepLines/>
        <w:ind w:left="1267" w:hanging="1267"/>
      </w:pPr>
      <w:r>
        <w:tab/>
      </w:r>
      <w:r w:rsidR="005405F4">
        <w:t>Home Office Guidance:</w:t>
      </w:r>
    </w:p>
    <w:p w:rsidR="005405F4" w:rsidRDefault="005405F4" w:rsidP="000431C7">
      <w:pPr>
        <w:keepNext/>
        <w:keepLines/>
        <w:ind w:left="1267" w:hanging="1267"/>
      </w:pPr>
      <w:r>
        <w:tab/>
      </w:r>
      <w:hyperlink r:id="rId9" w:history="1">
        <w:r>
          <w:rPr>
            <w:rStyle w:val="Hyperlink"/>
          </w:rPr>
          <w:t>https://www.gov.uk/government/uploads/system/uploads/attachment_data/file/364846/Japanese_Knotweed_information_note.pdf</w:t>
        </w:r>
      </w:hyperlink>
    </w:p>
    <w:p w:rsidR="005405F4" w:rsidRDefault="005405F4" w:rsidP="000431C7">
      <w:pPr>
        <w:keepNext/>
        <w:keepLines/>
        <w:ind w:left="1267" w:hanging="1267"/>
      </w:pPr>
      <w:r>
        <w:tab/>
      </w:r>
    </w:p>
    <w:p w:rsidR="005405F4" w:rsidRDefault="005405F4" w:rsidP="000431C7">
      <w:pPr>
        <w:keepNext/>
        <w:keepLines/>
        <w:ind w:left="1267" w:hanging="1267"/>
      </w:pPr>
      <w:r>
        <w:tab/>
      </w:r>
      <w:r>
        <w:tab/>
        <w:t>Environment Agency Guidance:</w:t>
      </w:r>
    </w:p>
    <w:p w:rsidR="005405F4" w:rsidRDefault="005405F4" w:rsidP="000431C7">
      <w:pPr>
        <w:keepNext/>
        <w:keepLines/>
        <w:ind w:left="1267" w:hanging="1267"/>
      </w:pPr>
      <w:r>
        <w:tab/>
      </w:r>
      <w:hyperlink r:id="rId10" w:history="1">
        <w:r w:rsidRPr="005405F4">
          <w:rPr>
            <w:color w:val="0000FF" w:themeColor="hyperlink"/>
            <w:u w:val="single"/>
          </w:rPr>
          <w:t>https://www.gov.uk/guidance/prevent-japanese-knotweed-from-spreading</w:t>
        </w:r>
      </w:hyperlink>
    </w:p>
    <w:p w:rsidR="00BF34FA" w:rsidRDefault="00BF34FA" w:rsidP="000431C7">
      <w:pPr>
        <w:keepNext/>
        <w:keepLines/>
        <w:ind w:left="1253" w:hanging="1253"/>
      </w:pPr>
    </w:p>
    <w:p w:rsidR="00BF34FA" w:rsidRDefault="00BF34FA">
      <w:pPr>
        <w:ind w:left="1253" w:hanging="1253"/>
      </w:pPr>
      <w:r>
        <w:rPr>
          <w:i/>
        </w:rPr>
        <w:tab/>
      </w:r>
      <w:r>
        <w:rPr>
          <w:i/>
        </w:rPr>
        <w:tab/>
      </w:r>
      <w:r>
        <w:t xml:space="preserve">Data checked by: </w:t>
      </w:r>
      <w:r w:rsidR="005405F4">
        <w:t>Andy Stovold, Head of Community Partnerships</w:t>
      </w:r>
      <w:r>
        <w:fldChar w:fldCharType="begin"/>
      </w:r>
      <w:r>
        <w:instrText xml:space="preserve"> ASK   \* MERGEFORMAT </w:instrText>
      </w:r>
      <w:r>
        <w:fldChar w:fldCharType="end"/>
      </w:r>
    </w:p>
    <w:p w:rsidR="00BF34FA" w:rsidRDefault="00BF34FA">
      <w:pPr>
        <w:ind w:left="1253" w:hanging="1253"/>
      </w:pPr>
    </w:p>
    <w:p w:rsidR="00BF34FA" w:rsidRDefault="00BF34FA" w:rsidP="005405F4">
      <w:pPr>
        <w:ind w:left="1260" w:hanging="1260"/>
        <w:rPr>
          <w:b/>
          <w:i/>
          <w:color w:val="008000"/>
        </w:rPr>
      </w:pPr>
      <w:r>
        <w:tab/>
        <w:t xml:space="preserve">Data rating: </w:t>
      </w:r>
    </w:p>
    <w:p w:rsidR="00BF34FA" w:rsidRDefault="00BF34FA">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Tr="00BF34FA">
        <w:trPr>
          <w:trHeight w:hRule="exact" w:val="346"/>
        </w:trPr>
        <w:tc>
          <w:tcPr>
            <w:tcW w:w="392" w:type="dxa"/>
            <w:vAlign w:val="center"/>
          </w:tcPr>
          <w:p w:rsidR="00BF34FA" w:rsidRDefault="00BF34FA" w:rsidP="00BF34FA">
            <w:pPr>
              <w:keepNext/>
              <w:keepLines/>
            </w:pPr>
            <w:r>
              <w:t>1</w:t>
            </w:r>
          </w:p>
        </w:tc>
        <w:tc>
          <w:tcPr>
            <w:tcW w:w="1276" w:type="dxa"/>
            <w:vAlign w:val="center"/>
          </w:tcPr>
          <w:p w:rsidR="00BF34FA" w:rsidRDefault="00BF34FA" w:rsidP="00BF34FA">
            <w:pPr>
              <w:keepNext/>
              <w:keepLines/>
            </w:pPr>
            <w:r>
              <w:t>Poor</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2</w:t>
            </w:r>
          </w:p>
        </w:tc>
        <w:tc>
          <w:tcPr>
            <w:tcW w:w="1276" w:type="dxa"/>
            <w:vAlign w:val="center"/>
          </w:tcPr>
          <w:p w:rsidR="00BF34FA" w:rsidRDefault="00BF34FA" w:rsidP="00BF34FA">
            <w:pPr>
              <w:keepNext/>
              <w:keepLines/>
            </w:pPr>
            <w:r>
              <w:t>Sufficient</w:t>
            </w:r>
          </w:p>
        </w:tc>
        <w:tc>
          <w:tcPr>
            <w:tcW w:w="492" w:type="dxa"/>
            <w:vAlign w:val="center"/>
          </w:tcPr>
          <w:p w:rsidR="00BF34FA" w:rsidRDefault="005405F4" w:rsidP="00BF34FA">
            <w:pPr>
              <w:keepNext/>
              <w:keepLines/>
              <w:jc w:val="center"/>
            </w:pPr>
            <w:r>
              <w:rPr>
                <w:b/>
                <w:szCs w:val="22"/>
              </w:rPr>
              <w:sym w:font="Wingdings" w:char="F0FC"/>
            </w:r>
          </w:p>
        </w:tc>
      </w:tr>
      <w:tr w:rsidR="00BF34FA" w:rsidTr="00BF34FA">
        <w:trPr>
          <w:trHeight w:hRule="exact" w:val="346"/>
        </w:trPr>
        <w:tc>
          <w:tcPr>
            <w:tcW w:w="392" w:type="dxa"/>
            <w:vAlign w:val="center"/>
          </w:tcPr>
          <w:p w:rsidR="00BF34FA" w:rsidRDefault="00BF34FA" w:rsidP="00BF34FA">
            <w:pPr>
              <w:keepNext/>
              <w:keepLines/>
            </w:pPr>
            <w:r>
              <w:t>3</w:t>
            </w:r>
          </w:p>
        </w:tc>
        <w:tc>
          <w:tcPr>
            <w:tcW w:w="1276" w:type="dxa"/>
            <w:vAlign w:val="center"/>
          </w:tcPr>
          <w:p w:rsidR="00BF34FA" w:rsidRDefault="00BF34FA" w:rsidP="00BF34FA">
            <w:pPr>
              <w:keepNext/>
              <w:keepLines/>
            </w:pPr>
            <w:r>
              <w:t>High</w:t>
            </w:r>
          </w:p>
        </w:tc>
        <w:tc>
          <w:tcPr>
            <w:tcW w:w="492" w:type="dxa"/>
            <w:vAlign w:val="center"/>
          </w:tcPr>
          <w:p w:rsidR="00BF34FA" w:rsidRDefault="00BF34FA" w:rsidP="00BF34FA">
            <w:pPr>
              <w:keepNext/>
              <w:keepLines/>
              <w:jc w:val="center"/>
            </w:pPr>
          </w:p>
        </w:tc>
      </w:tr>
    </w:tbl>
    <w:p w:rsidR="00BF34FA" w:rsidRDefault="00BF34FA">
      <w:pPr>
        <w:ind w:left="1253" w:hanging="1253"/>
      </w:pPr>
    </w:p>
    <w:p w:rsidR="00BF34FA" w:rsidRDefault="00BF34FA"/>
    <w:p w:rsidR="00BF34FA" w:rsidRDefault="00BF34FA">
      <w:pPr>
        <w:keepNext/>
        <w:ind w:left="1267" w:hanging="1267"/>
        <w:rPr>
          <w:b/>
        </w:rPr>
      </w:pPr>
      <w:r>
        <w:tab/>
      </w:r>
      <w:r>
        <w:rPr>
          <w:b/>
        </w:rPr>
        <w:t>Background Papers</w:t>
      </w:r>
    </w:p>
    <w:p w:rsidR="00BF34FA" w:rsidRDefault="00BF34FA">
      <w:pPr>
        <w:keepNext/>
        <w:ind w:left="1267" w:hanging="1267"/>
        <w:rPr>
          <w:b/>
        </w:rPr>
      </w:pPr>
    </w:p>
    <w:p w:rsidR="00BF34FA" w:rsidRDefault="00BF34FA">
      <w:pPr>
        <w:ind w:left="1260" w:hanging="1260"/>
        <w:rPr>
          <w:i/>
        </w:rPr>
      </w:pPr>
    </w:p>
    <w:p w:rsidR="00BF34FA" w:rsidRDefault="00BF34FA">
      <w:pPr>
        <w:keepNext/>
        <w:ind w:left="1259" w:hanging="1259"/>
      </w:pPr>
      <w:r>
        <w:tab/>
      </w:r>
      <w:r>
        <w:rPr>
          <w:b/>
        </w:rPr>
        <w:t>APPENDICES / ATTACHMENTS</w:t>
      </w:r>
    </w:p>
    <w:p w:rsidR="00BF34FA" w:rsidRDefault="00BF34FA">
      <w:pPr>
        <w:keepNext/>
        <w:ind w:left="1259" w:hanging="1259"/>
      </w:pPr>
    </w:p>
    <w:p w:rsidR="008A37EB" w:rsidRDefault="00BF34FA">
      <w:r>
        <w:tab/>
      </w:r>
      <w:r w:rsidR="00C2408B">
        <w:t>Appendix 1 – Japanese Knotweed Process</w:t>
      </w:r>
    </w:p>
    <w:p w:rsidR="00C2408B" w:rsidRDefault="008A37EB">
      <w:r>
        <w:tab/>
        <w:t>Appendix 2 – Standard notification letter</w:t>
      </w:r>
      <w:r w:rsidR="00BF34FA">
        <w:fldChar w:fldCharType="begin"/>
      </w:r>
      <w:r w:rsidR="00BF34FA">
        <w:instrText xml:space="preserve">  </w:instrText>
      </w:r>
      <w:r w:rsidR="00BF34FA">
        <w:fldChar w:fldCharType="end"/>
      </w:r>
    </w:p>
    <w:p w:rsidR="00C2408B" w:rsidRDefault="00C2408B">
      <w:pPr>
        <w:tabs>
          <w:tab w:val="clear" w:pos="1260"/>
          <w:tab w:val="clear" w:pos="1980"/>
          <w:tab w:val="clear" w:pos="2700"/>
          <w:tab w:val="clear" w:pos="3420"/>
        </w:tabs>
        <w:jc w:val="left"/>
      </w:pPr>
      <w:r>
        <w:br w:type="page"/>
      </w:r>
    </w:p>
    <w:p w:rsidR="00BF34FA" w:rsidRDefault="00C2408B">
      <w:r>
        <w:lastRenderedPageBreak/>
        <w:t>Appendix 1</w:t>
      </w:r>
    </w:p>
    <w:p w:rsidR="00C2408B" w:rsidRDefault="00AE34FA">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5pt" o:ole="">
            <v:imagedata r:id="rId11" o:title=""/>
          </v:shape>
          <o:OLEObject Type="Embed" ProgID="AcroExch.Document.11" ShapeID="_x0000_i1025" DrawAspect="Content" ObjectID="_1570617720" r:id="rId12"/>
        </w:object>
      </w:r>
    </w:p>
    <w:p w:rsidR="008A37EB" w:rsidRDefault="008A37EB">
      <w:pPr>
        <w:tabs>
          <w:tab w:val="clear" w:pos="1260"/>
          <w:tab w:val="clear" w:pos="1980"/>
          <w:tab w:val="clear" w:pos="2700"/>
          <w:tab w:val="clear" w:pos="3420"/>
        </w:tabs>
        <w:jc w:val="left"/>
      </w:pPr>
      <w:r>
        <w:br w:type="page"/>
      </w:r>
    </w:p>
    <w:p w:rsidR="00C67F7E" w:rsidRPr="00C67F7E" w:rsidRDefault="009E1D45" w:rsidP="00C67F7E">
      <w:pPr>
        <w:rPr>
          <w:b/>
        </w:rPr>
      </w:pPr>
      <w:r>
        <w:rPr>
          <w:noProof/>
        </w:rPr>
        <w:lastRenderedPageBreak/>
        <mc:AlternateContent>
          <mc:Choice Requires="wps">
            <w:drawing>
              <wp:anchor distT="0" distB="0" distL="114300" distR="114300" simplePos="0" relativeHeight="251660288" behindDoc="0" locked="0" layoutInCell="1" allowOverlap="1" wp14:anchorId="609F0C02" wp14:editId="509C8291">
                <wp:simplePos x="0" y="0"/>
                <wp:positionH relativeFrom="column">
                  <wp:posOffset>-195580</wp:posOffset>
                </wp:positionH>
                <wp:positionV relativeFrom="paragraph">
                  <wp:posOffset>-224666</wp:posOffset>
                </wp:positionV>
                <wp:extent cx="985652" cy="1403985"/>
                <wp:effectExtent l="0" t="0" r="241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1403985"/>
                        </a:xfrm>
                        <a:prstGeom prst="rect">
                          <a:avLst/>
                        </a:prstGeom>
                        <a:solidFill>
                          <a:srgbClr val="FFFFFF"/>
                        </a:solidFill>
                        <a:ln w="9525">
                          <a:solidFill>
                            <a:schemeClr val="bg1"/>
                          </a:solidFill>
                          <a:miter lim="800000"/>
                          <a:headEnd/>
                          <a:tailEnd/>
                        </a:ln>
                      </wps:spPr>
                      <wps:txbx>
                        <w:txbxContent>
                          <w:p w:rsidR="009E1D45" w:rsidRDefault="009E1D45" w:rsidP="009E1D45">
                            <w:r>
                              <w:t>Appendix 2</w:t>
                            </w:r>
                          </w:p>
                          <w:p w:rsidR="009E1D45" w:rsidRDefault="009E1D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17.7pt;width:77.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" strokecolor="white [3212]">
                <v:textbox style="mso-fit-shape-to-text:t">
                  <w:txbxContent>
                    <w:p w:rsidR="009E1D45" w:rsidRDefault="009E1D45" w:rsidP="009E1D45">
                      <w:r>
                        <w:t>Appendix 2</w:t>
                      </w:r>
                    </w:p>
                    <w:p w:rsidR="009E1D45" w:rsidRDefault="009E1D45"/>
                  </w:txbxContent>
                </v:textbox>
              </v:shape>
            </w:pict>
          </mc:Fallback>
        </mc:AlternateContent>
      </w:r>
      <w:r w:rsidR="00C67F7E">
        <w:object w:dxaOrig="10337" w:dyaOrig="18413">
          <v:shape id="_x0000_i1026" type="#_x0000_t75" style="width:516.85pt;height:920.65pt" o:ole="">
            <v:imagedata r:id="rId13" o:title=""/>
          </v:shape>
          <o:OLEObject Type="Embed" ProgID="Word.Document.12" ShapeID="_x0000_i1026" DrawAspect="Content" ObjectID="_1570617721" r:id="rId14">
            <o:FieldCodes>\s</o:FieldCodes>
          </o:OLEObject>
        </w:object>
      </w:r>
      <w:r w:rsidR="00C67F7E" w:rsidRPr="00C67F7E">
        <w:rPr>
          <w:b/>
        </w:rPr>
        <w:t xml:space="preserve"> Further action by the Council</w:t>
      </w:r>
    </w:p>
    <w:p w:rsidR="00C67F7E" w:rsidRPr="00C67F7E" w:rsidRDefault="00C67F7E" w:rsidP="00C67F7E">
      <w:pPr>
        <w:tabs>
          <w:tab w:val="clear" w:pos="1260"/>
          <w:tab w:val="clear" w:pos="1980"/>
          <w:tab w:val="clear" w:pos="2700"/>
          <w:tab w:val="clear" w:pos="3420"/>
        </w:tabs>
      </w:pPr>
      <w:r w:rsidRPr="00C67F7E">
        <w:t>If the Council receives further complaints that Japanese knotweed is invading your neighbouring properties and you have not acted reasonably in responding to this notification then we may consider issuing you with a Community Protection Warning. If you fail to follow that warning we may issue you with a Community Protection Notice. If you fail to comply with a Community Protection Notice without a reasonable excuse:</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You may be issued with a fixed penalty notice of £100 (payable within 14 days)</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You may be prosecuted.  If you are prosecuted and convicted the maximum penalty is a fine not exceeding level 4 on the standard scale (currently £2,500) for individuals, or a £20,000 in the case of companies or other bodies;</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The court may make whatever order it thinks appropriate for ensuring that the notice requirements are carried out as stated.</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An order under this section may in particular require you</w:t>
      </w:r>
    </w:p>
    <w:p w:rsidR="00C67F7E" w:rsidRPr="00C67F7E" w:rsidRDefault="00C67F7E" w:rsidP="00C67F7E">
      <w:pPr>
        <w:numPr>
          <w:ilvl w:val="1"/>
          <w:numId w:val="1"/>
        </w:numPr>
        <w:tabs>
          <w:tab w:val="clear" w:pos="1260"/>
          <w:tab w:val="clear" w:pos="1980"/>
          <w:tab w:val="clear" w:pos="2700"/>
          <w:tab w:val="clear" w:pos="3420"/>
        </w:tabs>
        <w:jc w:val="left"/>
        <w:rPr>
          <w:rFonts w:cs="Arial"/>
          <w:szCs w:val="22"/>
        </w:rPr>
      </w:pPr>
      <w:r w:rsidRPr="00C67F7E">
        <w:rPr>
          <w:rFonts w:cs="Arial"/>
          <w:szCs w:val="22"/>
        </w:rPr>
        <w:t>to carry out specified work, or</w:t>
      </w:r>
    </w:p>
    <w:p w:rsidR="00C67F7E" w:rsidRPr="00C67F7E" w:rsidRDefault="00C67F7E" w:rsidP="00C67F7E">
      <w:pPr>
        <w:numPr>
          <w:ilvl w:val="1"/>
          <w:numId w:val="1"/>
        </w:numPr>
        <w:tabs>
          <w:tab w:val="clear" w:pos="1260"/>
          <w:tab w:val="clear" w:pos="1980"/>
          <w:tab w:val="clear" w:pos="2700"/>
          <w:tab w:val="clear" w:pos="3420"/>
        </w:tabs>
        <w:jc w:val="left"/>
        <w:rPr>
          <w:rFonts w:cs="Arial"/>
          <w:szCs w:val="22"/>
        </w:rPr>
      </w:pPr>
      <w:r w:rsidRPr="00C67F7E">
        <w:rPr>
          <w:rFonts w:cs="Arial"/>
          <w:szCs w:val="22"/>
        </w:rPr>
        <w:t>to allow specified work to be carried out by on behalf of a specified local authority</w:t>
      </w:r>
    </w:p>
    <w:p w:rsidR="00C67F7E" w:rsidRPr="00C67F7E" w:rsidRDefault="00C67F7E" w:rsidP="00C67F7E">
      <w:pPr>
        <w:numPr>
          <w:ilvl w:val="0"/>
          <w:numId w:val="1"/>
        </w:numPr>
        <w:tabs>
          <w:tab w:val="clear" w:pos="1260"/>
          <w:tab w:val="clear" w:pos="1980"/>
          <w:tab w:val="clear" w:pos="2700"/>
          <w:tab w:val="clear" w:pos="3420"/>
        </w:tabs>
        <w:jc w:val="left"/>
        <w:rPr>
          <w:rFonts w:cs="Arial"/>
          <w:szCs w:val="22"/>
        </w:rPr>
      </w:pPr>
      <w:r w:rsidRPr="00C67F7E">
        <w:rPr>
          <w:rFonts w:cs="Arial"/>
          <w:szCs w:val="22"/>
        </w:rPr>
        <w:t>The court may require you to surrender possession of any item used in your failure to comply with the Notice, to a constable or to a person representing the local authority.  The court may require this item to be destroyed or disposed of by the police force or local authority.  A justice of the peace may issue a warrant, authorising a constable or authorised person to enter your premises to seize the item.</w:t>
      </w:r>
    </w:p>
    <w:p w:rsidR="008A37EB" w:rsidRDefault="008A37EB"/>
    <w:sectPr w:rsidR="008A37EB">
      <w:footerReference w:type="default" r:id="rId15"/>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B2" w:rsidRDefault="008703B2">
      <w:r>
        <w:separator/>
      </w:r>
    </w:p>
  </w:endnote>
  <w:endnote w:type="continuationSeparator" w:id="0">
    <w:p w:rsidR="008703B2" w:rsidRDefault="008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C6" w:rsidRDefault="00E70EC6">
    <w:pPr>
      <w:pStyle w:val="Footer"/>
      <w:tabs>
        <w:tab w:val="clear" w:pos="4153"/>
        <w:tab w:val="clear" w:pos="8306"/>
        <w:tab w:val="center" w:pos="4680"/>
        <w:tab w:val="right" w:pos="909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B2" w:rsidRDefault="008703B2">
      <w:r>
        <w:separator/>
      </w:r>
    </w:p>
  </w:footnote>
  <w:footnote w:type="continuationSeparator" w:id="0">
    <w:p w:rsidR="008703B2" w:rsidRDefault="0087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4D1"/>
    <w:multiLevelType w:val="multilevel"/>
    <w:tmpl w:val="86CE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E0B15"/>
    <w:multiLevelType w:val="hybridMultilevel"/>
    <w:tmpl w:val="AC5A96B4"/>
    <w:lvl w:ilvl="0" w:tplc="6D8033B4">
      <w:start w:val="1"/>
      <w:numFmt w:val="lowerRoman"/>
      <w:lvlText w:val="(%1)"/>
      <w:lvlJc w:val="left"/>
      <w:pPr>
        <w:tabs>
          <w:tab w:val="num" w:pos="840"/>
        </w:tabs>
        <w:ind w:left="840" w:hanging="720"/>
      </w:pPr>
      <w:rPr>
        <w:rFonts w:hint="default"/>
      </w:rPr>
    </w:lvl>
    <w:lvl w:ilvl="1" w:tplc="E4A2E188">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
    <w:nsid w:val="50464D61"/>
    <w:multiLevelType w:val="multilevel"/>
    <w:tmpl w:val="6CE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75D08"/>
    <w:multiLevelType w:val="hybridMultilevel"/>
    <w:tmpl w:val="A274AE0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4D19"/>
    <w:rsid w:val="000431C7"/>
    <w:rsid w:val="000861D4"/>
    <w:rsid w:val="000B589C"/>
    <w:rsid w:val="000D1B8E"/>
    <w:rsid w:val="000D5B7C"/>
    <w:rsid w:val="000E31CA"/>
    <w:rsid w:val="001072EC"/>
    <w:rsid w:val="001130D7"/>
    <w:rsid w:val="00146426"/>
    <w:rsid w:val="001A713C"/>
    <w:rsid w:val="001D012B"/>
    <w:rsid w:val="001D3C4F"/>
    <w:rsid w:val="001D5FB1"/>
    <w:rsid w:val="001E10FE"/>
    <w:rsid w:val="001F4D1C"/>
    <w:rsid w:val="001F59B8"/>
    <w:rsid w:val="002059D1"/>
    <w:rsid w:val="00227303"/>
    <w:rsid w:val="00251D39"/>
    <w:rsid w:val="002765A4"/>
    <w:rsid w:val="002872D3"/>
    <w:rsid w:val="00313D7D"/>
    <w:rsid w:val="003502EB"/>
    <w:rsid w:val="003A5DDE"/>
    <w:rsid w:val="003C6509"/>
    <w:rsid w:val="003D5820"/>
    <w:rsid w:val="003F11E8"/>
    <w:rsid w:val="003F6869"/>
    <w:rsid w:val="004107D5"/>
    <w:rsid w:val="00410CEF"/>
    <w:rsid w:val="00413A73"/>
    <w:rsid w:val="00423B61"/>
    <w:rsid w:val="00480EC6"/>
    <w:rsid w:val="00490883"/>
    <w:rsid w:val="0049419B"/>
    <w:rsid w:val="004A73CB"/>
    <w:rsid w:val="005405F4"/>
    <w:rsid w:val="005445FF"/>
    <w:rsid w:val="00550578"/>
    <w:rsid w:val="005571E9"/>
    <w:rsid w:val="00571B48"/>
    <w:rsid w:val="005B4547"/>
    <w:rsid w:val="005B58F2"/>
    <w:rsid w:val="005E5CA5"/>
    <w:rsid w:val="005F78E0"/>
    <w:rsid w:val="00661DB5"/>
    <w:rsid w:val="0066510F"/>
    <w:rsid w:val="006E1127"/>
    <w:rsid w:val="006E1C15"/>
    <w:rsid w:val="006E33EA"/>
    <w:rsid w:val="007442BC"/>
    <w:rsid w:val="007942BA"/>
    <w:rsid w:val="007B1FE9"/>
    <w:rsid w:val="007B7DC1"/>
    <w:rsid w:val="0081610F"/>
    <w:rsid w:val="0083173F"/>
    <w:rsid w:val="008372C3"/>
    <w:rsid w:val="00837962"/>
    <w:rsid w:val="008703B2"/>
    <w:rsid w:val="00874DCD"/>
    <w:rsid w:val="008A37EB"/>
    <w:rsid w:val="008C3EAC"/>
    <w:rsid w:val="00902EBC"/>
    <w:rsid w:val="0093202A"/>
    <w:rsid w:val="00947DC0"/>
    <w:rsid w:val="00956B1B"/>
    <w:rsid w:val="009608DE"/>
    <w:rsid w:val="009A6284"/>
    <w:rsid w:val="009E1D45"/>
    <w:rsid w:val="00A511C2"/>
    <w:rsid w:val="00AB5C51"/>
    <w:rsid w:val="00AC344F"/>
    <w:rsid w:val="00AE34FA"/>
    <w:rsid w:val="00AF1783"/>
    <w:rsid w:val="00B0752F"/>
    <w:rsid w:val="00B079A1"/>
    <w:rsid w:val="00B160ED"/>
    <w:rsid w:val="00B5043F"/>
    <w:rsid w:val="00B65F15"/>
    <w:rsid w:val="00B81BBE"/>
    <w:rsid w:val="00B84728"/>
    <w:rsid w:val="00BB39B1"/>
    <w:rsid w:val="00BD1EA2"/>
    <w:rsid w:val="00BD4A5D"/>
    <w:rsid w:val="00BF34FA"/>
    <w:rsid w:val="00BF76C9"/>
    <w:rsid w:val="00C2408B"/>
    <w:rsid w:val="00C359F2"/>
    <w:rsid w:val="00C43771"/>
    <w:rsid w:val="00C67F7E"/>
    <w:rsid w:val="00C70C88"/>
    <w:rsid w:val="00C84446"/>
    <w:rsid w:val="00CB4880"/>
    <w:rsid w:val="00CB560A"/>
    <w:rsid w:val="00CB5D6F"/>
    <w:rsid w:val="00D16937"/>
    <w:rsid w:val="00D7229A"/>
    <w:rsid w:val="00D956C8"/>
    <w:rsid w:val="00DB28EC"/>
    <w:rsid w:val="00DE754C"/>
    <w:rsid w:val="00E06557"/>
    <w:rsid w:val="00E15247"/>
    <w:rsid w:val="00E6258F"/>
    <w:rsid w:val="00E701FC"/>
    <w:rsid w:val="00E70EC6"/>
    <w:rsid w:val="00E7205B"/>
    <w:rsid w:val="00E825C5"/>
    <w:rsid w:val="00E96FA3"/>
    <w:rsid w:val="00EA6863"/>
    <w:rsid w:val="00EC5556"/>
    <w:rsid w:val="00EF7564"/>
    <w:rsid w:val="00F07D86"/>
    <w:rsid w:val="00F22582"/>
    <w:rsid w:val="00F77C7D"/>
    <w:rsid w:val="00F8065E"/>
    <w:rsid w:val="00FA0C1C"/>
    <w:rsid w:val="00FC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8C3EAC"/>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rsid w:val="00B079A1"/>
    <w:rPr>
      <w:sz w:val="16"/>
      <w:szCs w:val="16"/>
    </w:rPr>
  </w:style>
  <w:style w:type="paragraph" w:styleId="CommentText">
    <w:name w:val="annotation text"/>
    <w:basedOn w:val="Normal"/>
    <w:link w:val="CommentTextChar"/>
    <w:rsid w:val="00B079A1"/>
    <w:rPr>
      <w:sz w:val="20"/>
    </w:rPr>
  </w:style>
  <w:style w:type="character" w:customStyle="1" w:styleId="CommentTextChar">
    <w:name w:val="Comment Text Char"/>
    <w:basedOn w:val="DefaultParagraphFont"/>
    <w:link w:val="CommentText"/>
    <w:rsid w:val="00B079A1"/>
    <w:rPr>
      <w:rFonts w:ascii="Arial" w:hAnsi="Arial"/>
    </w:rPr>
  </w:style>
  <w:style w:type="paragraph" w:styleId="CommentSubject">
    <w:name w:val="annotation subject"/>
    <w:basedOn w:val="CommentText"/>
    <w:next w:val="CommentText"/>
    <w:link w:val="CommentSubjectChar"/>
    <w:rsid w:val="00B079A1"/>
    <w:rPr>
      <w:b/>
      <w:bCs/>
    </w:rPr>
  </w:style>
  <w:style w:type="character" w:customStyle="1" w:styleId="CommentSubjectChar">
    <w:name w:val="Comment Subject Char"/>
    <w:basedOn w:val="CommentTextChar"/>
    <w:link w:val="CommentSubject"/>
    <w:rsid w:val="00B079A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8C3EAC"/>
    <w:pPr>
      <w:tabs>
        <w:tab w:val="clear" w:pos="1260"/>
        <w:tab w:val="clear" w:pos="1980"/>
        <w:tab w:val="clear" w:pos="2700"/>
        <w:tab w:val="clear" w:pos="3420"/>
      </w:tabs>
      <w:spacing w:after="200" w:line="276" w:lineRule="auto"/>
      <w:ind w:left="720"/>
      <w:contextualSpacing/>
      <w:jc w:val="left"/>
    </w:pPr>
    <w:rPr>
      <w:rFonts w:asciiTheme="minorHAnsi" w:eastAsiaTheme="minorHAnsi" w:hAnsiTheme="minorHAnsi" w:cstheme="minorBidi"/>
      <w:szCs w:val="22"/>
      <w:lang w:eastAsia="en-US"/>
    </w:rPr>
  </w:style>
  <w:style w:type="character" w:styleId="CommentReference">
    <w:name w:val="annotation reference"/>
    <w:basedOn w:val="DefaultParagraphFont"/>
    <w:rsid w:val="00B079A1"/>
    <w:rPr>
      <w:sz w:val="16"/>
      <w:szCs w:val="16"/>
    </w:rPr>
  </w:style>
  <w:style w:type="paragraph" w:styleId="CommentText">
    <w:name w:val="annotation text"/>
    <w:basedOn w:val="Normal"/>
    <w:link w:val="CommentTextChar"/>
    <w:rsid w:val="00B079A1"/>
    <w:rPr>
      <w:sz w:val="20"/>
    </w:rPr>
  </w:style>
  <w:style w:type="character" w:customStyle="1" w:styleId="CommentTextChar">
    <w:name w:val="Comment Text Char"/>
    <w:basedOn w:val="DefaultParagraphFont"/>
    <w:link w:val="CommentText"/>
    <w:rsid w:val="00B079A1"/>
    <w:rPr>
      <w:rFonts w:ascii="Arial" w:hAnsi="Arial"/>
    </w:rPr>
  </w:style>
  <w:style w:type="paragraph" w:styleId="CommentSubject">
    <w:name w:val="annotation subject"/>
    <w:basedOn w:val="CommentText"/>
    <w:next w:val="CommentText"/>
    <w:link w:val="CommentSubjectChar"/>
    <w:rsid w:val="00B079A1"/>
    <w:rPr>
      <w:b/>
      <w:bCs/>
    </w:rPr>
  </w:style>
  <w:style w:type="character" w:customStyle="1" w:styleId="CommentSubjectChar">
    <w:name w:val="Comment Subject Char"/>
    <w:basedOn w:val="CommentTextChar"/>
    <w:link w:val="CommentSubject"/>
    <w:rsid w:val="00B079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9143">
      <w:bodyDiv w:val="1"/>
      <w:marLeft w:val="0"/>
      <w:marRight w:val="0"/>
      <w:marTop w:val="0"/>
      <w:marBottom w:val="0"/>
      <w:divBdr>
        <w:top w:val="none" w:sz="0" w:space="0" w:color="auto"/>
        <w:left w:val="none" w:sz="0" w:space="0" w:color="auto"/>
        <w:bottom w:val="none" w:sz="0" w:space="0" w:color="auto"/>
        <w:right w:val="none" w:sz="0" w:space="0" w:color="auto"/>
      </w:divBdr>
      <w:divsChild>
        <w:div w:id="312832780">
          <w:marLeft w:val="0"/>
          <w:marRight w:val="0"/>
          <w:marTop w:val="0"/>
          <w:marBottom w:val="0"/>
          <w:divBdr>
            <w:top w:val="none" w:sz="0" w:space="0" w:color="auto"/>
            <w:left w:val="single" w:sz="2" w:space="0" w:color="BBBBBB"/>
            <w:bottom w:val="single" w:sz="2" w:space="0" w:color="BBBBBB"/>
            <w:right w:val="single" w:sz="2" w:space="0" w:color="BBBBBB"/>
          </w:divBdr>
          <w:divsChild>
            <w:div w:id="1251350363">
              <w:marLeft w:val="0"/>
              <w:marRight w:val="0"/>
              <w:marTop w:val="0"/>
              <w:marBottom w:val="0"/>
              <w:divBdr>
                <w:top w:val="none" w:sz="0" w:space="0" w:color="auto"/>
                <w:left w:val="none" w:sz="0" w:space="0" w:color="auto"/>
                <w:bottom w:val="none" w:sz="0" w:space="0" w:color="auto"/>
                <w:right w:val="none" w:sz="0" w:space="0" w:color="auto"/>
              </w:divBdr>
              <w:divsChild>
                <w:div w:id="1897471120">
                  <w:marLeft w:val="0"/>
                  <w:marRight w:val="0"/>
                  <w:marTop w:val="0"/>
                  <w:marBottom w:val="0"/>
                  <w:divBdr>
                    <w:top w:val="none" w:sz="0" w:space="0" w:color="auto"/>
                    <w:left w:val="none" w:sz="0" w:space="0" w:color="auto"/>
                    <w:bottom w:val="none" w:sz="0" w:space="0" w:color="auto"/>
                    <w:right w:val="none" w:sz="0" w:space="0" w:color="auto"/>
                  </w:divBdr>
                  <w:divsChild>
                    <w:div w:id="1933856746">
                      <w:marLeft w:val="0"/>
                      <w:marRight w:val="0"/>
                      <w:marTop w:val="0"/>
                      <w:marBottom w:val="0"/>
                      <w:divBdr>
                        <w:top w:val="none" w:sz="0" w:space="0" w:color="auto"/>
                        <w:left w:val="none" w:sz="0" w:space="0" w:color="auto"/>
                        <w:bottom w:val="none" w:sz="0" w:space="0" w:color="auto"/>
                        <w:right w:val="none" w:sz="0" w:space="0" w:color="auto"/>
                      </w:divBdr>
                      <w:divsChild>
                        <w:div w:id="1304845158">
                          <w:marLeft w:val="0"/>
                          <w:marRight w:val="0"/>
                          <w:marTop w:val="0"/>
                          <w:marBottom w:val="0"/>
                          <w:divBdr>
                            <w:top w:val="none" w:sz="0" w:space="0" w:color="auto"/>
                            <w:left w:val="none" w:sz="0" w:space="0" w:color="auto"/>
                            <w:bottom w:val="none" w:sz="0" w:space="0" w:color="auto"/>
                            <w:right w:val="none" w:sz="0" w:space="0" w:color="auto"/>
                          </w:divBdr>
                          <w:divsChild>
                            <w:div w:id="1755667424">
                              <w:marLeft w:val="0"/>
                              <w:marRight w:val="0"/>
                              <w:marTop w:val="0"/>
                              <w:marBottom w:val="0"/>
                              <w:divBdr>
                                <w:top w:val="none" w:sz="0" w:space="0" w:color="auto"/>
                                <w:left w:val="none" w:sz="0" w:space="0" w:color="auto"/>
                                <w:bottom w:val="none" w:sz="0" w:space="0" w:color="auto"/>
                                <w:right w:val="none" w:sz="0" w:space="0" w:color="auto"/>
                              </w:divBdr>
                              <w:divsChild>
                                <w:div w:id="682780845">
                                  <w:marLeft w:val="0"/>
                                  <w:marRight w:val="0"/>
                                  <w:marTop w:val="0"/>
                                  <w:marBottom w:val="0"/>
                                  <w:divBdr>
                                    <w:top w:val="none" w:sz="0" w:space="0" w:color="auto"/>
                                    <w:left w:val="none" w:sz="0" w:space="0" w:color="auto"/>
                                    <w:bottom w:val="none" w:sz="0" w:space="0" w:color="auto"/>
                                    <w:right w:val="none" w:sz="0" w:space="0" w:color="auto"/>
                                  </w:divBdr>
                                  <w:divsChild>
                                    <w:div w:id="1681277794">
                                      <w:marLeft w:val="0"/>
                                      <w:marRight w:val="0"/>
                                      <w:marTop w:val="0"/>
                                      <w:marBottom w:val="0"/>
                                      <w:divBdr>
                                        <w:top w:val="none" w:sz="0" w:space="0" w:color="auto"/>
                                        <w:left w:val="none" w:sz="0" w:space="0" w:color="auto"/>
                                        <w:bottom w:val="none" w:sz="0" w:space="0" w:color="auto"/>
                                        <w:right w:val="none" w:sz="0" w:space="0" w:color="auto"/>
                                      </w:divBdr>
                                      <w:divsChild>
                                        <w:div w:id="1242791370">
                                          <w:marLeft w:val="1200"/>
                                          <w:marRight w:val="1200"/>
                                          <w:marTop w:val="0"/>
                                          <w:marBottom w:val="0"/>
                                          <w:divBdr>
                                            <w:top w:val="none" w:sz="0" w:space="0" w:color="auto"/>
                                            <w:left w:val="none" w:sz="0" w:space="0" w:color="auto"/>
                                            <w:bottom w:val="none" w:sz="0" w:space="0" w:color="auto"/>
                                            <w:right w:val="none" w:sz="0" w:space="0" w:color="auto"/>
                                          </w:divBdr>
                                          <w:divsChild>
                                            <w:div w:id="603071199">
                                              <w:marLeft w:val="0"/>
                                              <w:marRight w:val="0"/>
                                              <w:marTop w:val="0"/>
                                              <w:marBottom w:val="0"/>
                                              <w:divBdr>
                                                <w:top w:val="none" w:sz="0" w:space="0" w:color="auto"/>
                                                <w:left w:val="none" w:sz="0" w:space="0" w:color="auto"/>
                                                <w:bottom w:val="none" w:sz="0" w:space="0" w:color="auto"/>
                                                <w:right w:val="none" w:sz="0" w:space="0" w:color="auto"/>
                                              </w:divBdr>
                                              <w:divsChild>
                                                <w:div w:id="1978950290">
                                                  <w:marLeft w:val="0"/>
                                                  <w:marRight w:val="0"/>
                                                  <w:marTop w:val="0"/>
                                                  <w:marBottom w:val="0"/>
                                                  <w:divBdr>
                                                    <w:top w:val="single" w:sz="6" w:space="0" w:color="CCCCCC"/>
                                                    <w:left w:val="none" w:sz="0" w:space="0" w:color="auto"/>
                                                    <w:bottom w:val="none" w:sz="0" w:space="0" w:color="auto"/>
                                                    <w:right w:val="none" w:sz="0" w:space="0" w:color="auto"/>
                                                  </w:divBdr>
                                                  <w:divsChild>
                                                    <w:div w:id="191459179">
                                                      <w:marLeft w:val="0"/>
                                                      <w:marRight w:val="135"/>
                                                      <w:marTop w:val="0"/>
                                                      <w:marBottom w:val="0"/>
                                                      <w:divBdr>
                                                        <w:top w:val="none" w:sz="0" w:space="0" w:color="auto"/>
                                                        <w:left w:val="none" w:sz="0" w:space="0" w:color="auto"/>
                                                        <w:bottom w:val="none" w:sz="0" w:space="0" w:color="auto"/>
                                                        <w:right w:val="none" w:sz="0" w:space="0" w:color="auto"/>
                                                      </w:divBdr>
                                                      <w:divsChild>
                                                        <w:div w:id="538276675">
                                                          <w:marLeft w:val="0"/>
                                                          <w:marRight w:val="0"/>
                                                          <w:marTop w:val="0"/>
                                                          <w:marBottom w:val="0"/>
                                                          <w:divBdr>
                                                            <w:top w:val="none" w:sz="0" w:space="0" w:color="auto"/>
                                                            <w:left w:val="none" w:sz="0" w:space="0" w:color="auto"/>
                                                            <w:bottom w:val="none" w:sz="0" w:space="0" w:color="auto"/>
                                                            <w:right w:val="none" w:sz="0" w:space="0" w:color="auto"/>
                                                          </w:divBdr>
                                                          <w:divsChild>
                                                            <w:div w:id="1557660926">
                                                              <w:marLeft w:val="0"/>
                                                              <w:marRight w:val="0"/>
                                                              <w:marTop w:val="0"/>
                                                              <w:marBottom w:val="0"/>
                                                              <w:divBdr>
                                                                <w:top w:val="none" w:sz="0" w:space="0" w:color="auto"/>
                                                                <w:left w:val="none" w:sz="0" w:space="0" w:color="auto"/>
                                                                <w:bottom w:val="none" w:sz="0" w:space="0" w:color="auto"/>
                                                                <w:right w:val="none" w:sz="0" w:space="0" w:color="auto"/>
                                                              </w:divBdr>
                                                              <w:divsChild>
                                                                <w:div w:id="1675301556">
                                                                  <w:marLeft w:val="0"/>
                                                                  <w:marRight w:val="0"/>
                                                                  <w:marTop w:val="0"/>
                                                                  <w:marBottom w:val="0"/>
                                                                  <w:divBdr>
                                                                    <w:top w:val="none" w:sz="0" w:space="0" w:color="auto"/>
                                                                    <w:left w:val="none" w:sz="0" w:space="0" w:color="auto"/>
                                                                    <w:bottom w:val="none" w:sz="0" w:space="0" w:color="auto"/>
                                                                    <w:right w:val="none" w:sz="0" w:space="0" w:color="auto"/>
                                                                  </w:divBdr>
                                                                  <w:divsChild>
                                                                    <w:div w:id="1114401541">
                                                                      <w:marLeft w:val="0"/>
                                                                      <w:marRight w:val="0"/>
                                                                      <w:marTop w:val="224"/>
                                                                      <w:marBottom w:val="0"/>
                                                                      <w:divBdr>
                                                                        <w:top w:val="none" w:sz="0" w:space="0" w:color="auto"/>
                                                                        <w:left w:val="none" w:sz="0" w:space="0" w:color="auto"/>
                                                                        <w:bottom w:val="none" w:sz="0" w:space="0" w:color="auto"/>
                                                                        <w:right w:val="none" w:sz="0" w:space="0" w:color="auto"/>
                                                                      </w:divBdr>
                                                                      <w:divsChild>
                                                                        <w:div w:id="874804217">
                                                                          <w:marLeft w:val="0"/>
                                                                          <w:marRight w:val="0"/>
                                                                          <w:marTop w:val="0"/>
                                                                          <w:marBottom w:val="0"/>
                                                                          <w:divBdr>
                                                                            <w:top w:val="none" w:sz="0" w:space="0" w:color="auto"/>
                                                                            <w:left w:val="none" w:sz="0" w:space="0" w:color="auto"/>
                                                                            <w:bottom w:val="none" w:sz="0" w:space="0" w:color="auto"/>
                                                                            <w:right w:val="none" w:sz="0" w:space="0" w:color="auto"/>
                                                                          </w:divBdr>
                                                                        </w:div>
                                                                      </w:divsChild>
                                                                    </w:div>
                                                                    <w:div w:id="199126576">
                                                                      <w:marLeft w:val="0"/>
                                                                      <w:marRight w:val="0"/>
                                                                      <w:marTop w:val="224"/>
                                                                      <w:marBottom w:val="0"/>
                                                                      <w:divBdr>
                                                                        <w:top w:val="none" w:sz="0" w:space="0" w:color="auto"/>
                                                                        <w:left w:val="none" w:sz="0" w:space="0" w:color="auto"/>
                                                                        <w:bottom w:val="none" w:sz="0" w:space="0" w:color="auto"/>
                                                                        <w:right w:val="none" w:sz="0" w:space="0" w:color="auto"/>
                                                                      </w:divBdr>
                                                                      <w:divsChild>
                                                                        <w:div w:id="1318459904">
                                                                          <w:marLeft w:val="0"/>
                                                                          <w:marRight w:val="0"/>
                                                                          <w:marTop w:val="0"/>
                                                                          <w:marBottom w:val="0"/>
                                                                          <w:divBdr>
                                                                            <w:top w:val="none" w:sz="0" w:space="0" w:color="auto"/>
                                                                            <w:left w:val="none" w:sz="0" w:space="0" w:color="auto"/>
                                                                            <w:bottom w:val="none" w:sz="0" w:space="0" w:color="auto"/>
                                                                            <w:right w:val="none" w:sz="0" w:space="0" w:color="auto"/>
                                                                          </w:divBdr>
                                                                        </w:div>
                                                                      </w:divsChild>
                                                                    </w:div>
                                                                    <w:div w:id="1105229980">
                                                                      <w:marLeft w:val="0"/>
                                                                      <w:marRight w:val="0"/>
                                                                      <w:marTop w:val="224"/>
                                                                      <w:marBottom w:val="0"/>
                                                                      <w:divBdr>
                                                                        <w:top w:val="none" w:sz="0" w:space="0" w:color="auto"/>
                                                                        <w:left w:val="none" w:sz="0" w:space="0" w:color="auto"/>
                                                                        <w:bottom w:val="none" w:sz="0" w:space="0" w:color="auto"/>
                                                                        <w:right w:val="none" w:sz="0" w:space="0" w:color="auto"/>
                                                                      </w:divBdr>
                                                                      <w:divsChild>
                                                                        <w:div w:id="1448543517">
                                                                          <w:marLeft w:val="0"/>
                                                                          <w:marRight w:val="0"/>
                                                                          <w:marTop w:val="0"/>
                                                                          <w:marBottom w:val="0"/>
                                                                          <w:divBdr>
                                                                            <w:top w:val="none" w:sz="0" w:space="0" w:color="auto"/>
                                                                            <w:left w:val="none" w:sz="0" w:space="0" w:color="auto"/>
                                                                            <w:bottom w:val="none" w:sz="0" w:space="0" w:color="auto"/>
                                                                            <w:right w:val="none" w:sz="0" w:space="0" w:color="auto"/>
                                                                          </w:divBdr>
                                                                        </w:div>
                                                                      </w:divsChild>
                                                                    </w:div>
                                                                    <w:div w:id="804742293">
                                                                      <w:marLeft w:val="0"/>
                                                                      <w:marRight w:val="0"/>
                                                                      <w:marTop w:val="0"/>
                                                                      <w:marBottom w:val="0"/>
                                                                      <w:divBdr>
                                                                        <w:top w:val="none" w:sz="0" w:space="0" w:color="auto"/>
                                                                        <w:left w:val="none" w:sz="0" w:space="0" w:color="auto"/>
                                                                        <w:bottom w:val="none" w:sz="0" w:space="0" w:color="auto"/>
                                                                        <w:right w:val="none" w:sz="0" w:space="0" w:color="auto"/>
                                                                      </w:divBdr>
                                                                      <w:divsChild>
                                                                        <w:div w:id="526912162">
                                                                          <w:marLeft w:val="0"/>
                                                                          <w:marRight w:val="0"/>
                                                                          <w:marTop w:val="0"/>
                                                                          <w:marBottom w:val="0"/>
                                                                          <w:divBdr>
                                                                            <w:top w:val="none" w:sz="0" w:space="0" w:color="auto"/>
                                                                            <w:left w:val="none" w:sz="0" w:space="0" w:color="auto"/>
                                                                            <w:bottom w:val="none" w:sz="0" w:space="0" w:color="auto"/>
                                                                            <w:right w:val="none" w:sz="0" w:space="0" w:color="auto"/>
                                                                          </w:divBdr>
                                                                          <w:divsChild>
                                                                            <w:div w:id="226965278">
                                                                              <w:marLeft w:val="0"/>
                                                                              <w:marRight w:val="0"/>
                                                                              <w:marTop w:val="224"/>
                                                                              <w:marBottom w:val="0"/>
                                                                              <w:divBdr>
                                                                                <w:top w:val="none" w:sz="0" w:space="0" w:color="auto"/>
                                                                                <w:left w:val="none" w:sz="0" w:space="0" w:color="auto"/>
                                                                                <w:bottom w:val="none" w:sz="0" w:space="0" w:color="auto"/>
                                                                                <w:right w:val="none" w:sz="0" w:space="0" w:color="auto"/>
                                                                              </w:divBdr>
                                                                              <w:divsChild>
                                                                                <w:div w:id="1192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5320">
                                                                          <w:marLeft w:val="0"/>
                                                                          <w:marRight w:val="0"/>
                                                                          <w:marTop w:val="0"/>
                                                                          <w:marBottom w:val="0"/>
                                                                          <w:divBdr>
                                                                            <w:top w:val="none" w:sz="0" w:space="0" w:color="auto"/>
                                                                            <w:left w:val="none" w:sz="0" w:space="0" w:color="auto"/>
                                                                            <w:bottom w:val="none" w:sz="0" w:space="0" w:color="auto"/>
                                                                            <w:right w:val="none" w:sz="0" w:space="0" w:color="auto"/>
                                                                          </w:divBdr>
                                                                          <w:divsChild>
                                                                            <w:div w:id="349795847">
                                                                              <w:marLeft w:val="0"/>
                                                                              <w:marRight w:val="0"/>
                                                                              <w:marTop w:val="224"/>
                                                                              <w:marBottom w:val="0"/>
                                                                              <w:divBdr>
                                                                                <w:top w:val="none" w:sz="0" w:space="0" w:color="auto"/>
                                                                                <w:left w:val="none" w:sz="0" w:space="0" w:color="auto"/>
                                                                                <w:bottom w:val="none" w:sz="0" w:space="0" w:color="auto"/>
                                                                                <w:right w:val="none" w:sz="0" w:space="0" w:color="auto"/>
                                                                              </w:divBdr>
                                                                              <w:divsChild>
                                                                                <w:div w:id="20343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04342">
                                                                          <w:marLeft w:val="0"/>
                                                                          <w:marRight w:val="0"/>
                                                                          <w:marTop w:val="0"/>
                                                                          <w:marBottom w:val="0"/>
                                                                          <w:divBdr>
                                                                            <w:top w:val="none" w:sz="0" w:space="0" w:color="auto"/>
                                                                            <w:left w:val="none" w:sz="0" w:space="0" w:color="auto"/>
                                                                            <w:bottom w:val="none" w:sz="0" w:space="0" w:color="auto"/>
                                                                            <w:right w:val="none" w:sz="0" w:space="0" w:color="auto"/>
                                                                          </w:divBdr>
                                                                          <w:divsChild>
                                                                            <w:div w:id="1720744273">
                                                                              <w:marLeft w:val="0"/>
                                                                              <w:marRight w:val="0"/>
                                                                              <w:marTop w:val="224"/>
                                                                              <w:marBottom w:val="0"/>
                                                                              <w:divBdr>
                                                                                <w:top w:val="none" w:sz="0" w:space="0" w:color="auto"/>
                                                                                <w:left w:val="none" w:sz="0" w:space="0" w:color="auto"/>
                                                                                <w:bottom w:val="none" w:sz="0" w:space="0" w:color="auto"/>
                                                                                <w:right w:val="none" w:sz="0" w:space="0" w:color="auto"/>
                                                                              </w:divBdr>
                                                                              <w:divsChild>
                                                                                <w:div w:id="12083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2855">
                                                                          <w:marLeft w:val="0"/>
                                                                          <w:marRight w:val="0"/>
                                                                          <w:marTop w:val="0"/>
                                                                          <w:marBottom w:val="0"/>
                                                                          <w:divBdr>
                                                                            <w:top w:val="none" w:sz="0" w:space="0" w:color="auto"/>
                                                                            <w:left w:val="none" w:sz="0" w:space="0" w:color="auto"/>
                                                                            <w:bottom w:val="none" w:sz="0" w:space="0" w:color="auto"/>
                                                                            <w:right w:val="none" w:sz="0" w:space="0" w:color="auto"/>
                                                                          </w:divBdr>
                                                                          <w:divsChild>
                                                                            <w:div w:id="603919419">
                                                                              <w:marLeft w:val="0"/>
                                                                              <w:marRight w:val="0"/>
                                                                              <w:marTop w:val="224"/>
                                                                              <w:marBottom w:val="0"/>
                                                                              <w:divBdr>
                                                                                <w:top w:val="none" w:sz="0" w:space="0" w:color="auto"/>
                                                                                <w:left w:val="none" w:sz="0" w:space="0" w:color="auto"/>
                                                                                <w:bottom w:val="none" w:sz="0" w:space="0" w:color="auto"/>
                                                                                <w:right w:val="none" w:sz="0" w:space="0" w:color="auto"/>
                                                                              </w:divBdr>
                                                                              <w:divsChild>
                                                                                <w:div w:id="1178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9366">
                                                                      <w:marLeft w:val="0"/>
                                                                      <w:marRight w:val="0"/>
                                                                      <w:marTop w:val="224"/>
                                                                      <w:marBottom w:val="0"/>
                                                                      <w:divBdr>
                                                                        <w:top w:val="none" w:sz="0" w:space="0" w:color="auto"/>
                                                                        <w:left w:val="none" w:sz="0" w:space="0" w:color="auto"/>
                                                                        <w:bottom w:val="none" w:sz="0" w:space="0" w:color="auto"/>
                                                                        <w:right w:val="none" w:sz="0" w:space="0" w:color="auto"/>
                                                                      </w:divBdr>
                                                                      <w:divsChild>
                                                                        <w:div w:id="11266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9279">
                                                                  <w:marLeft w:val="0"/>
                                                                  <w:marRight w:val="0"/>
                                                                  <w:marTop w:val="0"/>
                                                                  <w:marBottom w:val="0"/>
                                                                  <w:divBdr>
                                                                    <w:top w:val="none" w:sz="0" w:space="0" w:color="auto"/>
                                                                    <w:left w:val="none" w:sz="0" w:space="0" w:color="auto"/>
                                                                    <w:bottom w:val="none" w:sz="0" w:space="0" w:color="auto"/>
                                                                    <w:right w:val="none" w:sz="0" w:space="0" w:color="auto"/>
                                                                  </w:divBdr>
                                                                  <w:divsChild>
                                                                    <w:div w:id="2058502297">
                                                                      <w:marLeft w:val="0"/>
                                                                      <w:marRight w:val="0"/>
                                                                      <w:marTop w:val="224"/>
                                                                      <w:marBottom w:val="0"/>
                                                                      <w:divBdr>
                                                                        <w:top w:val="none" w:sz="0" w:space="0" w:color="auto"/>
                                                                        <w:left w:val="none" w:sz="0" w:space="0" w:color="auto"/>
                                                                        <w:bottom w:val="none" w:sz="0" w:space="0" w:color="auto"/>
                                                                        <w:right w:val="none" w:sz="0" w:space="0" w:color="auto"/>
                                                                      </w:divBdr>
                                                                      <w:divsChild>
                                                                        <w:div w:id="538935165">
                                                                          <w:marLeft w:val="0"/>
                                                                          <w:marRight w:val="0"/>
                                                                          <w:marTop w:val="0"/>
                                                                          <w:marBottom w:val="0"/>
                                                                          <w:divBdr>
                                                                            <w:top w:val="none" w:sz="0" w:space="0" w:color="auto"/>
                                                                            <w:left w:val="none" w:sz="0" w:space="0" w:color="auto"/>
                                                                            <w:bottom w:val="none" w:sz="0" w:space="0" w:color="auto"/>
                                                                            <w:right w:val="none" w:sz="0" w:space="0" w:color="auto"/>
                                                                          </w:divBdr>
                                                                        </w:div>
                                                                      </w:divsChild>
                                                                    </w:div>
                                                                    <w:div w:id="733086443">
                                                                      <w:marLeft w:val="0"/>
                                                                      <w:marRight w:val="0"/>
                                                                      <w:marTop w:val="0"/>
                                                                      <w:marBottom w:val="0"/>
                                                                      <w:divBdr>
                                                                        <w:top w:val="none" w:sz="0" w:space="0" w:color="auto"/>
                                                                        <w:left w:val="none" w:sz="0" w:space="0" w:color="auto"/>
                                                                        <w:bottom w:val="none" w:sz="0" w:space="0" w:color="auto"/>
                                                                        <w:right w:val="none" w:sz="0" w:space="0" w:color="auto"/>
                                                                      </w:divBdr>
                                                                      <w:divsChild>
                                                                        <w:div w:id="1185097760">
                                                                          <w:marLeft w:val="0"/>
                                                                          <w:marRight w:val="0"/>
                                                                          <w:marTop w:val="0"/>
                                                                          <w:marBottom w:val="0"/>
                                                                          <w:divBdr>
                                                                            <w:top w:val="none" w:sz="0" w:space="0" w:color="auto"/>
                                                                            <w:left w:val="none" w:sz="0" w:space="0" w:color="auto"/>
                                                                            <w:bottom w:val="none" w:sz="0" w:space="0" w:color="auto"/>
                                                                            <w:right w:val="none" w:sz="0" w:space="0" w:color="auto"/>
                                                                          </w:divBdr>
                                                                          <w:divsChild>
                                                                            <w:div w:id="79108216">
                                                                              <w:marLeft w:val="0"/>
                                                                              <w:marRight w:val="0"/>
                                                                              <w:marTop w:val="224"/>
                                                                              <w:marBottom w:val="0"/>
                                                                              <w:divBdr>
                                                                                <w:top w:val="none" w:sz="0" w:space="0" w:color="auto"/>
                                                                                <w:left w:val="none" w:sz="0" w:space="0" w:color="auto"/>
                                                                                <w:bottom w:val="none" w:sz="0" w:space="0" w:color="auto"/>
                                                                                <w:right w:val="none" w:sz="0" w:space="0" w:color="auto"/>
                                                                              </w:divBdr>
                                                                              <w:divsChild>
                                                                                <w:div w:id="1240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519">
                                                                          <w:marLeft w:val="0"/>
                                                                          <w:marRight w:val="0"/>
                                                                          <w:marTop w:val="0"/>
                                                                          <w:marBottom w:val="0"/>
                                                                          <w:divBdr>
                                                                            <w:top w:val="none" w:sz="0" w:space="0" w:color="auto"/>
                                                                            <w:left w:val="none" w:sz="0" w:space="0" w:color="auto"/>
                                                                            <w:bottom w:val="none" w:sz="0" w:space="0" w:color="auto"/>
                                                                            <w:right w:val="none" w:sz="0" w:space="0" w:color="auto"/>
                                                                          </w:divBdr>
                                                                          <w:divsChild>
                                                                            <w:div w:id="242227535">
                                                                              <w:marLeft w:val="0"/>
                                                                              <w:marRight w:val="0"/>
                                                                              <w:marTop w:val="224"/>
                                                                              <w:marBottom w:val="0"/>
                                                                              <w:divBdr>
                                                                                <w:top w:val="none" w:sz="0" w:space="0" w:color="auto"/>
                                                                                <w:left w:val="none" w:sz="0" w:space="0" w:color="auto"/>
                                                                                <w:bottom w:val="none" w:sz="0" w:space="0" w:color="auto"/>
                                                                                <w:right w:val="none" w:sz="0" w:space="0" w:color="auto"/>
                                                                              </w:divBdr>
                                                                              <w:divsChild>
                                                                                <w:div w:id="1718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2246">
                                                                      <w:marLeft w:val="0"/>
                                                                      <w:marRight w:val="0"/>
                                                                      <w:marTop w:val="224"/>
                                                                      <w:marBottom w:val="0"/>
                                                                      <w:divBdr>
                                                                        <w:top w:val="none" w:sz="0" w:space="0" w:color="auto"/>
                                                                        <w:left w:val="none" w:sz="0" w:space="0" w:color="auto"/>
                                                                        <w:bottom w:val="none" w:sz="0" w:space="0" w:color="auto"/>
                                                                        <w:right w:val="none" w:sz="0" w:space="0" w:color="auto"/>
                                                                      </w:divBdr>
                                                                      <w:divsChild>
                                                                        <w:div w:id="52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threerivers.gov.uk/Default.aspx/Web/PoliciesAndProceduresCategoryListingPage"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prevent-japanese-knotweed-from-spreading"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64846/Japanese_Knotweed_information_note.pdf" TargetMode="Externa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41</TotalTime>
  <Pages>8</Pages>
  <Words>2288</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14720</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Sarah Haythorpe</cp:lastModifiedBy>
  <cp:revision>11</cp:revision>
  <cp:lastPrinted>2017-10-27T09:16:00Z</cp:lastPrinted>
  <dcterms:created xsi:type="dcterms:W3CDTF">2017-08-15T10:41:00Z</dcterms:created>
  <dcterms:modified xsi:type="dcterms:W3CDTF">2017-10-27T12:56:00Z</dcterms:modified>
</cp:coreProperties>
</file>