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C0" w:rsidRPr="00C935E5" w:rsidRDefault="00782CC0" w:rsidP="00782CC0">
      <w:pPr>
        <w:ind w:left="360"/>
        <w:jc w:val="center"/>
        <w:rPr>
          <w:rFonts w:ascii="Arial" w:hAnsi="Arial" w:cs="Arial"/>
          <w:b/>
        </w:rPr>
      </w:pPr>
      <w:r w:rsidRPr="00C935E5">
        <w:rPr>
          <w:rFonts w:ascii="Arial" w:hAnsi="Arial" w:cs="Arial"/>
          <w:b/>
        </w:rPr>
        <w:t>POLICY AND RESOURCES COMMITTEE</w:t>
      </w:r>
    </w:p>
    <w:p w:rsidR="00C935E5" w:rsidRPr="00C935E5" w:rsidRDefault="00C935E5" w:rsidP="00C935E5">
      <w:pPr>
        <w:jc w:val="center"/>
        <w:rPr>
          <w:rFonts w:ascii="Arial" w:hAnsi="Arial" w:cs="Arial"/>
          <w:b/>
          <w:i/>
        </w:rPr>
      </w:pPr>
      <w:r w:rsidRPr="00C935E5">
        <w:rPr>
          <w:rFonts w:ascii="Arial" w:hAnsi="Arial" w:cs="Arial"/>
          <w:b/>
        </w:rPr>
        <w:t>7 NOVEMBER 2017</w:t>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p>
    <w:p w:rsidR="00C935E5" w:rsidRPr="00C935E5" w:rsidRDefault="00C935E5" w:rsidP="00C935E5">
      <w:pPr>
        <w:jc w:val="center"/>
        <w:rPr>
          <w:rFonts w:ascii="Arial" w:hAnsi="Arial" w:cs="Arial"/>
          <w:b/>
        </w:rPr>
      </w:pPr>
      <w:r w:rsidRPr="00C935E5">
        <w:rPr>
          <w:rFonts w:ascii="Arial" w:hAnsi="Arial" w:cs="Arial"/>
          <w:b/>
        </w:rPr>
        <w:t xml:space="preserve">PART </w:t>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r w:rsidRPr="00C935E5">
        <w:rPr>
          <w:rFonts w:ascii="Arial" w:hAnsi="Arial" w:cs="Arial"/>
          <w:b/>
        </w:rPr>
        <w:t xml:space="preserve">I – NOT </w:t>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r w:rsidRPr="00C935E5">
        <w:rPr>
          <w:rFonts w:ascii="Arial" w:hAnsi="Arial" w:cs="Arial"/>
          <w:b/>
        </w:rPr>
        <w:t xml:space="preserve">DELEGATED </w:t>
      </w:r>
      <w:r w:rsidRPr="00C935E5">
        <w:rPr>
          <w:rFonts w:ascii="Arial" w:hAnsi="Arial" w:cs="Arial"/>
          <w:b/>
        </w:rPr>
        <w:fldChar w:fldCharType="begin"/>
      </w:r>
      <w:r w:rsidRPr="00C935E5">
        <w:rPr>
          <w:rFonts w:ascii="Arial" w:hAnsi="Arial" w:cs="Arial"/>
          <w:b/>
        </w:rPr>
        <w:instrText xml:space="preserve">  </w:instrText>
      </w:r>
      <w:r w:rsidRPr="00C935E5">
        <w:rPr>
          <w:rFonts w:ascii="Arial" w:hAnsi="Arial" w:cs="Arial"/>
          <w:b/>
        </w:rPr>
        <w:fldChar w:fldCharType="end"/>
      </w:r>
    </w:p>
    <w:p w:rsidR="00782CC0" w:rsidRPr="00C935E5" w:rsidRDefault="00B04903" w:rsidP="00C935E5">
      <w:pPr>
        <w:spacing w:before="240"/>
        <w:ind w:left="567" w:hanging="567"/>
        <w:rPr>
          <w:rFonts w:ascii="Arial" w:hAnsi="Arial" w:cs="Arial"/>
        </w:rPr>
      </w:pPr>
      <w:r>
        <w:rPr>
          <w:rFonts w:ascii="Arial" w:hAnsi="Arial" w:cs="Arial"/>
          <w:b/>
        </w:rPr>
        <w:t>7</w:t>
      </w:r>
      <w:r w:rsidR="008D51BE">
        <w:rPr>
          <w:rFonts w:ascii="Arial" w:hAnsi="Arial" w:cs="Arial"/>
          <w:b/>
        </w:rPr>
        <w:t>.</w:t>
      </w:r>
      <w:r w:rsidR="008D51BE">
        <w:rPr>
          <w:rFonts w:ascii="Arial" w:hAnsi="Arial" w:cs="Arial"/>
          <w:b/>
        </w:rPr>
        <w:tab/>
      </w:r>
      <w:r w:rsidR="008D51BE" w:rsidRPr="001468A1">
        <w:rPr>
          <w:rFonts w:ascii="Arial" w:hAnsi="Arial" w:cs="Arial"/>
          <w:b/>
        </w:rPr>
        <w:t xml:space="preserve">LOCAL COUNCIL TAX REDUCTION SCHEME </w:t>
      </w:r>
      <w:r w:rsidR="008D51BE" w:rsidRPr="00BE0F2C">
        <w:rPr>
          <w:rFonts w:ascii="Arial" w:hAnsi="Arial" w:cs="Arial"/>
        </w:rPr>
        <w:t>(LCTR</w:t>
      </w:r>
      <w:proofErr w:type="gramStart"/>
      <w:r w:rsidR="008D51BE" w:rsidRPr="00BE0F2C">
        <w:rPr>
          <w:rFonts w:ascii="Arial" w:hAnsi="Arial" w:cs="Arial"/>
        </w:rPr>
        <w:t>)</w:t>
      </w:r>
      <w:proofErr w:type="gramEnd"/>
      <w:r w:rsidR="00C935E5">
        <w:rPr>
          <w:rFonts w:ascii="Arial" w:hAnsi="Arial" w:cs="Arial"/>
          <w:b/>
        </w:rPr>
        <w:br/>
      </w:r>
      <w:r w:rsidR="00C935E5">
        <w:rPr>
          <w:rFonts w:ascii="Arial" w:hAnsi="Arial" w:cs="Arial"/>
        </w:rPr>
        <w:t>(</w:t>
      </w:r>
      <w:proofErr w:type="spellStart"/>
      <w:r w:rsidR="00C935E5">
        <w:rPr>
          <w:rFonts w:ascii="Arial" w:hAnsi="Arial" w:cs="Arial"/>
        </w:rPr>
        <w:t>D</w:t>
      </w:r>
      <w:r w:rsidR="00984106">
        <w:rPr>
          <w:rFonts w:ascii="Arial" w:hAnsi="Arial" w:cs="Arial"/>
        </w:rPr>
        <w:t>o</w:t>
      </w:r>
      <w:r w:rsidR="00C935E5">
        <w:rPr>
          <w:rFonts w:ascii="Arial" w:hAnsi="Arial" w:cs="Arial"/>
        </w:rPr>
        <w:t>F</w:t>
      </w:r>
      <w:proofErr w:type="spellEnd"/>
      <w:r w:rsidR="00C935E5">
        <w:rPr>
          <w:rFonts w:ascii="Arial" w:hAnsi="Arial" w:cs="Arial"/>
        </w:rPr>
        <w:t>)</w:t>
      </w:r>
    </w:p>
    <w:p w:rsidR="000F766E" w:rsidRDefault="000F766E" w:rsidP="00E8633F">
      <w:pPr>
        <w:pStyle w:val="ListParagraph"/>
        <w:numPr>
          <w:ilvl w:val="0"/>
          <w:numId w:val="37"/>
        </w:numPr>
        <w:spacing w:after="0" w:line="240" w:lineRule="auto"/>
        <w:ind w:left="567" w:hanging="567"/>
        <w:rPr>
          <w:rFonts w:ascii="Arial" w:hAnsi="Arial" w:cs="Arial"/>
          <w:b/>
        </w:rPr>
      </w:pPr>
      <w:r w:rsidRPr="001468A1">
        <w:rPr>
          <w:rFonts w:ascii="Arial" w:hAnsi="Arial" w:cs="Arial"/>
          <w:b/>
        </w:rPr>
        <w:t>Introduction</w:t>
      </w:r>
    </w:p>
    <w:p w:rsidR="00A93A5D" w:rsidRDefault="00A93A5D" w:rsidP="00E8633F">
      <w:pPr>
        <w:pStyle w:val="ListParagraph"/>
        <w:spacing w:after="0" w:line="240" w:lineRule="auto"/>
        <w:jc w:val="both"/>
        <w:rPr>
          <w:rFonts w:ascii="Arial" w:hAnsi="Arial" w:cs="Arial"/>
        </w:rPr>
      </w:pPr>
    </w:p>
    <w:p w:rsidR="00070BE6" w:rsidRDefault="003E2D7A" w:rsidP="00E8633F">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In April 2013, as part of the national welfare reform, the </w:t>
      </w:r>
      <w:r w:rsidR="00984106">
        <w:rPr>
          <w:rFonts w:ascii="Arial" w:hAnsi="Arial" w:cs="Arial"/>
        </w:rPr>
        <w:t>G</w:t>
      </w:r>
      <w:r w:rsidRPr="001468A1">
        <w:rPr>
          <w:rFonts w:ascii="Arial" w:hAnsi="Arial" w:cs="Arial"/>
        </w:rPr>
        <w:t>overnment changed the way financial support for council tax was managed. This meant the national council tax benefit system,</w:t>
      </w:r>
      <w:r w:rsidR="005836DB" w:rsidRPr="001468A1">
        <w:rPr>
          <w:rFonts w:ascii="Arial" w:hAnsi="Arial" w:cs="Arial"/>
        </w:rPr>
        <w:t xml:space="preserve"> which helped people with a </w:t>
      </w:r>
      <w:r w:rsidRPr="001468A1">
        <w:rPr>
          <w:rFonts w:ascii="Arial" w:hAnsi="Arial" w:cs="Arial"/>
        </w:rPr>
        <w:t xml:space="preserve">low income meet their council tax obligations, was replaced by new local council tax reduction schemes </w:t>
      </w:r>
      <w:r w:rsidR="00FD40C2" w:rsidRPr="001468A1">
        <w:rPr>
          <w:rFonts w:ascii="Arial" w:hAnsi="Arial" w:cs="Arial"/>
        </w:rPr>
        <w:t xml:space="preserve">designed, administrated and </w:t>
      </w:r>
      <w:r w:rsidRPr="001468A1">
        <w:rPr>
          <w:rFonts w:ascii="Arial" w:hAnsi="Arial" w:cs="Arial"/>
        </w:rPr>
        <w:t>managed by Local Authorities</w:t>
      </w:r>
      <w:r w:rsidR="00BF0072" w:rsidRPr="001468A1">
        <w:rPr>
          <w:rFonts w:ascii="Arial" w:hAnsi="Arial" w:cs="Arial"/>
        </w:rPr>
        <w:t>.</w:t>
      </w:r>
    </w:p>
    <w:p w:rsidR="00A93A5D" w:rsidRPr="001468A1" w:rsidRDefault="00A93A5D" w:rsidP="00984106">
      <w:pPr>
        <w:pStyle w:val="ListParagraph"/>
        <w:spacing w:after="0" w:line="240" w:lineRule="auto"/>
        <w:jc w:val="both"/>
        <w:rPr>
          <w:rFonts w:ascii="Arial" w:hAnsi="Arial" w:cs="Arial"/>
        </w:rPr>
      </w:pPr>
    </w:p>
    <w:p w:rsidR="00A93A5D" w:rsidRDefault="00070BE6"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Three Rivers District Council’s current scheme replicates the previous Council Tax Benefit scheme with the following amendments:</w:t>
      </w:r>
      <w:r w:rsidR="00BF0072" w:rsidRPr="001468A1">
        <w:rPr>
          <w:rFonts w:ascii="Arial" w:hAnsi="Arial" w:cs="Arial"/>
        </w:rPr>
        <w:t xml:space="preserve"> </w:t>
      </w:r>
    </w:p>
    <w:p w:rsidR="005836DB" w:rsidRPr="001468A1" w:rsidRDefault="005836DB" w:rsidP="00984106">
      <w:pPr>
        <w:pStyle w:val="ListParagraph"/>
        <w:numPr>
          <w:ilvl w:val="0"/>
          <w:numId w:val="17"/>
        </w:numPr>
        <w:spacing w:after="0" w:line="240" w:lineRule="auto"/>
        <w:ind w:left="1134" w:hanging="567"/>
        <w:jc w:val="both"/>
        <w:rPr>
          <w:rFonts w:ascii="Arial" w:hAnsi="Arial" w:cs="Arial"/>
        </w:rPr>
      </w:pPr>
      <w:r w:rsidRPr="001468A1">
        <w:rPr>
          <w:rFonts w:ascii="Arial" w:hAnsi="Arial" w:cs="Arial"/>
        </w:rPr>
        <w:t>A limitation on the amount payable based on the band of the property;</w:t>
      </w:r>
    </w:p>
    <w:p w:rsidR="005836DB" w:rsidRPr="001468A1" w:rsidRDefault="005836DB" w:rsidP="00984106">
      <w:pPr>
        <w:pStyle w:val="ListParagraph"/>
        <w:numPr>
          <w:ilvl w:val="0"/>
          <w:numId w:val="17"/>
        </w:numPr>
        <w:spacing w:after="0" w:line="240" w:lineRule="auto"/>
        <w:ind w:left="1134" w:hanging="567"/>
        <w:jc w:val="both"/>
        <w:rPr>
          <w:rFonts w:ascii="Arial" w:hAnsi="Arial" w:cs="Arial"/>
        </w:rPr>
      </w:pPr>
      <w:r w:rsidRPr="001468A1">
        <w:rPr>
          <w:rFonts w:ascii="Arial" w:hAnsi="Arial" w:cs="Arial"/>
        </w:rPr>
        <w:t>Changes to capital levels;</w:t>
      </w:r>
    </w:p>
    <w:p w:rsidR="005836DB" w:rsidRPr="001468A1" w:rsidRDefault="005836DB" w:rsidP="00984106">
      <w:pPr>
        <w:pStyle w:val="ListParagraph"/>
        <w:numPr>
          <w:ilvl w:val="0"/>
          <w:numId w:val="17"/>
        </w:numPr>
        <w:spacing w:after="0" w:line="240" w:lineRule="auto"/>
        <w:ind w:left="1134" w:hanging="567"/>
        <w:jc w:val="both"/>
        <w:rPr>
          <w:rFonts w:ascii="Arial" w:hAnsi="Arial" w:cs="Arial"/>
        </w:rPr>
      </w:pPr>
      <w:r w:rsidRPr="001468A1">
        <w:rPr>
          <w:rFonts w:ascii="Arial" w:hAnsi="Arial" w:cs="Arial"/>
        </w:rPr>
        <w:t>The removal of Second Adult Rebate; and</w:t>
      </w:r>
    </w:p>
    <w:p w:rsidR="005836DB" w:rsidRPr="001468A1" w:rsidRDefault="005836DB" w:rsidP="00984106">
      <w:pPr>
        <w:pStyle w:val="ListParagraph"/>
        <w:numPr>
          <w:ilvl w:val="0"/>
          <w:numId w:val="17"/>
        </w:numPr>
        <w:spacing w:after="0" w:line="240" w:lineRule="auto"/>
        <w:ind w:left="1134" w:hanging="567"/>
        <w:jc w:val="both"/>
        <w:rPr>
          <w:rFonts w:ascii="Arial" w:hAnsi="Arial" w:cs="Arial"/>
        </w:rPr>
      </w:pPr>
      <w:r w:rsidRPr="001468A1">
        <w:rPr>
          <w:rFonts w:ascii="Arial" w:hAnsi="Arial" w:cs="Arial"/>
        </w:rPr>
        <w:t>Increases in Non-Dependant deductions</w:t>
      </w:r>
    </w:p>
    <w:p w:rsidR="0020577D" w:rsidRPr="001468A1" w:rsidRDefault="0020577D" w:rsidP="00984106">
      <w:pPr>
        <w:pStyle w:val="ListParagraph"/>
        <w:spacing w:after="0" w:line="240" w:lineRule="auto"/>
        <w:ind w:left="1701" w:hanging="567"/>
        <w:rPr>
          <w:rFonts w:ascii="Arial" w:hAnsi="Arial" w:cs="Arial"/>
        </w:rPr>
      </w:pPr>
    </w:p>
    <w:p w:rsidR="0020577D" w:rsidRDefault="0020577D"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The current scheme does not appear to have impacted council tax collection rates which have consistently attained target.</w:t>
      </w:r>
    </w:p>
    <w:p w:rsidR="00A93A5D" w:rsidRPr="001468A1" w:rsidRDefault="00A93A5D" w:rsidP="00984106">
      <w:pPr>
        <w:pStyle w:val="ListParagraph"/>
        <w:spacing w:after="0" w:line="240" w:lineRule="auto"/>
        <w:ind w:left="567" w:hanging="567"/>
        <w:jc w:val="both"/>
        <w:rPr>
          <w:rFonts w:ascii="Arial" w:hAnsi="Arial" w:cs="Arial"/>
        </w:rPr>
      </w:pPr>
    </w:p>
    <w:p w:rsidR="00A93A5D" w:rsidRPr="00A93A5D" w:rsidRDefault="00984106" w:rsidP="00984106">
      <w:pPr>
        <w:pStyle w:val="ListParagraph"/>
        <w:numPr>
          <w:ilvl w:val="1"/>
          <w:numId w:val="37"/>
        </w:numPr>
        <w:spacing w:after="0" w:line="240" w:lineRule="auto"/>
        <w:ind w:left="567" w:hanging="567"/>
        <w:jc w:val="both"/>
        <w:rPr>
          <w:rFonts w:ascii="Arial" w:hAnsi="Arial" w:cs="Arial"/>
        </w:rPr>
      </w:pPr>
      <w:r>
        <w:rPr>
          <w:rFonts w:ascii="Arial" w:hAnsi="Arial" w:cs="Arial"/>
        </w:rPr>
        <w:t>At</w:t>
      </w:r>
      <w:r w:rsidR="00FD40C2" w:rsidRPr="00A93A5D">
        <w:rPr>
          <w:rFonts w:ascii="Arial" w:hAnsi="Arial" w:cs="Arial"/>
        </w:rPr>
        <w:t xml:space="preserve"> P</w:t>
      </w:r>
      <w:r w:rsidR="007E6EA6" w:rsidRPr="00A93A5D">
        <w:rPr>
          <w:rFonts w:ascii="Arial" w:hAnsi="Arial" w:cs="Arial"/>
        </w:rPr>
        <w:t xml:space="preserve">olicy </w:t>
      </w:r>
      <w:r w:rsidR="00FD40C2" w:rsidRPr="00A93A5D">
        <w:rPr>
          <w:rFonts w:ascii="Arial" w:hAnsi="Arial" w:cs="Arial"/>
        </w:rPr>
        <w:t>&amp; R</w:t>
      </w:r>
      <w:r w:rsidR="007E6EA6" w:rsidRPr="00A93A5D">
        <w:rPr>
          <w:rFonts w:ascii="Arial" w:hAnsi="Arial" w:cs="Arial"/>
        </w:rPr>
        <w:t>esources</w:t>
      </w:r>
      <w:r w:rsidR="00FD40C2" w:rsidRPr="00A93A5D">
        <w:rPr>
          <w:rFonts w:ascii="Arial" w:hAnsi="Arial" w:cs="Arial"/>
        </w:rPr>
        <w:t xml:space="preserve"> </w:t>
      </w:r>
      <w:r>
        <w:rPr>
          <w:rFonts w:ascii="Arial" w:hAnsi="Arial" w:cs="Arial"/>
        </w:rPr>
        <w:t xml:space="preserve">Committee (P&amp;R) </w:t>
      </w:r>
      <w:r w:rsidR="00FD40C2" w:rsidRPr="00A93A5D">
        <w:rPr>
          <w:rFonts w:ascii="Arial" w:hAnsi="Arial" w:cs="Arial"/>
        </w:rPr>
        <w:t xml:space="preserve">on 12 June 2017 it was agreed to consult on possible changes to the current scheme and this report provides members with the outcome.  A full consultation summary report can be found in </w:t>
      </w:r>
      <w:r w:rsidR="00E8633F">
        <w:rPr>
          <w:rFonts w:ascii="Arial" w:hAnsi="Arial" w:cs="Arial"/>
        </w:rPr>
        <w:t>A</w:t>
      </w:r>
      <w:r w:rsidR="00FD40C2" w:rsidRPr="00A93A5D">
        <w:rPr>
          <w:rFonts w:ascii="Arial" w:hAnsi="Arial" w:cs="Arial"/>
        </w:rPr>
        <w:t>ppendix 1.</w:t>
      </w:r>
    </w:p>
    <w:p w:rsidR="00A93A5D" w:rsidRDefault="00A93A5D" w:rsidP="00E8633F">
      <w:pPr>
        <w:pStyle w:val="ListParagraph"/>
        <w:spacing w:after="0" w:line="240" w:lineRule="auto"/>
        <w:rPr>
          <w:rFonts w:ascii="Arial" w:hAnsi="Arial" w:cs="Arial"/>
          <w:b/>
        </w:rPr>
      </w:pPr>
    </w:p>
    <w:p w:rsidR="000F766E" w:rsidRDefault="000F766E" w:rsidP="00E8633F">
      <w:pPr>
        <w:pStyle w:val="ListParagraph"/>
        <w:numPr>
          <w:ilvl w:val="0"/>
          <w:numId w:val="37"/>
        </w:numPr>
        <w:spacing w:after="0" w:line="240" w:lineRule="auto"/>
        <w:ind w:left="567" w:hanging="567"/>
        <w:rPr>
          <w:rFonts w:ascii="Arial" w:hAnsi="Arial" w:cs="Arial"/>
          <w:b/>
        </w:rPr>
      </w:pPr>
      <w:r w:rsidRPr="001468A1">
        <w:rPr>
          <w:rFonts w:ascii="Arial" w:hAnsi="Arial" w:cs="Arial"/>
          <w:b/>
        </w:rPr>
        <w:t>Background</w:t>
      </w:r>
    </w:p>
    <w:p w:rsidR="00A93A5D" w:rsidRPr="001468A1" w:rsidRDefault="00A93A5D" w:rsidP="00E8633F">
      <w:pPr>
        <w:pStyle w:val="ListParagraph"/>
        <w:spacing w:after="0" w:line="240" w:lineRule="auto"/>
        <w:rPr>
          <w:rFonts w:ascii="Arial" w:hAnsi="Arial" w:cs="Arial"/>
          <w:b/>
        </w:rPr>
      </w:pPr>
    </w:p>
    <w:p w:rsidR="00BF0072" w:rsidRPr="001468A1" w:rsidRDefault="005836DB" w:rsidP="00E8633F">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Any new scheme </w:t>
      </w:r>
      <w:r w:rsidR="00A563DD" w:rsidRPr="001468A1">
        <w:rPr>
          <w:rFonts w:ascii="Arial" w:hAnsi="Arial" w:cs="Arial"/>
        </w:rPr>
        <w:t xml:space="preserve">adopted by Three Rivers District Council must </w:t>
      </w:r>
      <w:r w:rsidRPr="001468A1">
        <w:rPr>
          <w:rFonts w:ascii="Arial" w:hAnsi="Arial" w:cs="Arial"/>
        </w:rPr>
        <w:t>be agreed by Full Council before 31 January 201</w:t>
      </w:r>
      <w:r w:rsidR="005845A1" w:rsidRPr="001468A1">
        <w:rPr>
          <w:rFonts w:ascii="Arial" w:hAnsi="Arial" w:cs="Arial"/>
        </w:rPr>
        <w:t>8</w:t>
      </w:r>
      <w:r w:rsidRPr="001468A1">
        <w:rPr>
          <w:rFonts w:ascii="Arial" w:hAnsi="Arial" w:cs="Arial"/>
        </w:rPr>
        <w:t xml:space="preserve"> for introduction in April 2018.  </w:t>
      </w:r>
      <w:r w:rsidR="00E41E12" w:rsidRPr="001468A1">
        <w:rPr>
          <w:rFonts w:ascii="Arial" w:hAnsi="Arial" w:cs="Arial"/>
        </w:rPr>
        <w:t>It is proposed that following P &amp; R if it is agreed to change the current scheme a report will be presented to Full Council on 12 December 2017.</w:t>
      </w:r>
    </w:p>
    <w:p w:rsidR="00A563DD" w:rsidRPr="001468A1" w:rsidRDefault="00A563DD" w:rsidP="00984106">
      <w:pPr>
        <w:pStyle w:val="ListParagraph"/>
        <w:spacing w:after="0" w:line="240" w:lineRule="auto"/>
        <w:ind w:left="567" w:hanging="567"/>
        <w:rPr>
          <w:rFonts w:ascii="Arial" w:hAnsi="Arial" w:cs="Arial"/>
        </w:rPr>
      </w:pPr>
    </w:p>
    <w:p w:rsidR="00A563DD" w:rsidRPr="001468A1" w:rsidRDefault="00A563DD"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Some of the key considerations that </w:t>
      </w:r>
      <w:r w:rsidR="00E41E12" w:rsidRPr="001468A1">
        <w:rPr>
          <w:rFonts w:ascii="Arial" w:hAnsi="Arial" w:cs="Arial"/>
        </w:rPr>
        <w:t>have been</w:t>
      </w:r>
      <w:r w:rsidRPr="001468A1">
        <w:rPr>
          <w:rFonts w:ascii="Arial" w:hAnsi="Arial" w:cs="Arial"/>
        </w:rPr>
        <w:t xml:space="preserve"> taken into account during the review are:</w:t>
      </w:r>
    </w:p>
    <w:p w:rsidR="00A563DD" w:rsidRPr="001468A1" w:rsidRDefault="00A563DD" w:rsidP="00984106">
      <w:pPr>
        <w:pStyle w:val="ListParagraph"/>
        <w:numPr>
          <w:ilvl w:val="0"/>
          <w:numId w:val="18"/>
        </w:numPr>
        <w:spacing w:after="0" w:line="240" w:lineRule="auto"/>
        <w:ind w:left="1134" w:hanging="567"/>
        <w:jc w:val="both"/>
        <w:rPr>
          <w:rFonts w:ascii="Arial" w:hAnsi="Arial" w:cs="Arial"/>
        </w:rPr>
      </w:pPr>
      <w:r w:rsidRPr="001468A1">
        <w:rPr>
          <w:rFonts w:ascii="Arial" w:hAnsi="Arial" w:cs="Arial"/>
          <w:b/>
        </w:rPr>
        <w:t>Pensioners of pension credit qualifying age are fully protected</w:t>
      </w:r>
      <w:r w:rsidRPr="001468A1">
        <w:rPr>
          <w:rFonts w:ascii="Arial" w:hAnsi="Arial" w:cs="Arial"/>
        </w:rPr>
        <w:t>. This principle in effect means there is no discretion in relation to people over pension age and entitlement rules for this group are set nationally.</w:t>
      </w:r>
    </w:p>
    <w:p w:rsidR="00A563DD" w:rsidRPr="001468A1" w:rsidRDefault="00A563DD" w:rsidP="00984106">
      <w:pPr>
        <w:pStyle w:val="ListParagraph"/>
        <w:numPr>
          <w:ilvl w:val="0"/>
          <w:numId w:val="19"/>
        </w:numPr>
        <w:spacing w:after="0" w:line="240" w:lineRule="auto"/>
        <w:ind w:left="1134" w:hanging="567"/>
        <w:jc w:val="both"/>
        <w:rPr>
          <w:rFonts w:ascii="Arial" w:hAnsi="Arial" w:cs="Arial"/>
        </w:rPr>
      </w:pPr>
      <w:r w:rsidRPr="001468A1">
        <w:rPr>
          <w:rFonts w:ascii="Arial" w:hAnsi="Arial" w:cs="Arial"/>
          <w:b/>
        </w:rPr>
        <w:t>Vulnerable groups should be protected as far as possible</w:t>
      </w:r>
      <w:r w:rsidRPr="001468A1">
        <w:rPr>
          <w:rFonts w:ascii="Arial" w:hAnsi="Arial" w:cs="Arial"/>
        </w:rPr>
        <w:t>. There is no definition given to local authorities regarding which groups should be co</w:t>
      </w:r>
      <w:r w:rsidR="00E41E12" w:rsidRPr="001468A1">
        <w:rPr>
          <w:rFonts w:ascii="Arial" w:hAnsi="Arial" w:cs="Arial"/>
        </w:rPr>
        <w:t>unted as ‘vulnerable’ so this can be</w:t>
      </w:r>
      <w:r w:rsidRPr="001468A1">
        <w:rPr>
          <w:rFonts w:ascii="Arial" w:hAnsi="Arial" w:cs="Arial"/>
        </w:rPr>
        <w:t xml:space="preserve"> determined locally.</w:t>
      </w:r>
    </w:p>
    <w:p w:rsidR="00A563DD" w:rsidRPr="001468A1" w:rsidRDefault="00A563DD" w:rsidP="00984106">
      <w:pPr>
        <w:pStyle w:val="ListParagraph"/>
        <w:numPr>
          <w:ilvl w:val="0"/>
          <w:numId w:val="20"/>
        </w:numPr>
        <w:spacing w:after="0" w:line="240" w:lineRule="auto"/>
        <w:ind w:left="1134" w:hanging="567"/>
        <w:jc w:val="both"/>
        <w:rPr>
          <w:rFonts w:ascii="Arial" w:hAnsi="Arial" w:cs="Arial"/>
        </w:rPr>
      </w:pPr>
      <w:r w:rsidRPr="001468A1">
        <w:rPr>
          <w:rFonts w:ascii="Arial" w:hAnsi="Arial" w:cs="Arial"/>
          <w:b/>
        </w:rPr>
        <w:t>Work incentives should not be undermined</w:t>
      </w:r>
      <w:r w:rsidRPr="001468A1">
        <w:rPr>
          <w:rFonts w:ascii="Arial" w:hAnsi="Arial" w:cs="Arial"/>
        </w:rPr>
        <w:t>. Local schemes should be designed to support work incentives and, in particular, avoid disincentives to move into work.</w:t>
      </w:r>
    </w:p>
    <w:p w:rsidR="00E41E12" w:rsidRPr="001468A1" w:rsidRDefault="00E41E12" w:rsidP="00984106">
      <w:pPr>
        <w:pStyle w:val="ListParagraph"/>
        <w:spacing w:after="0" w:line="240" w:lineRule="auto"/>
        <w:ind w:left="1440"/>
        <w:jc w:val="both"/>
        <w:rPr>
          <w:rFonts w:ascii="Arial" w:hAnsi="Arial" w:cs="Arial"/>
        </w:rPr>
      </w:pPr>
    </w:p>
    <w:p w:rsidR="00A563DD" w:rsidRPr="001468A1" w:rsidRDefault="006B043C"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There are now only 37</w:t>
      </w:r>
      <w:r w:rsidR="00A563DD" w:rsidRPr="001468A1">
        <w:rPr>
          <w:rFonts w:ascii="Arial" w:hAnsi="Arial" w:cs="Arial"/>
        </w:rPr>
        <w:t xml:space="preserve"> out of 326 authorities have decided to maintain support at 100% for working age applicants, the level previously available under Council Tax Benefit. The changes most commonly adopted by </w:t>
      </w:r>
      <w:r w:rsidR="00E8633F">
        <w:rPr>
          <w:rFonts w:ascii="Arial" w:hAnsi="Arial" w:cs="Arial"/>
        </w:rPr>
        <w:t>C</w:t>
      </w:r>
      <w:r w:rsidR="00A563DD" w:rsidRPr="001468A1">
        <w:rPr>
          <w:rFonts w:ascii="Arial" w:hAnsi="Arial" w:cs="Arial"/>
        </w:rPr>
        <w:t>ouncils are:</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Requiring a minimum payment;</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lastRenderedPageBreak/>
        <w:t>Removing Second Adult Reduction (as per Three Rivers District Council)</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Setting a minimum award level;</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Changes the excess income taper;</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Reducing the overall Capital Limits (as per Three Rivers District Council);</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Limiting the amount of the reduction by Band; and</w:t>
      </w:r>
    </w:p>
    <w:p w:rsidR="00A563DD" w:rsidRPr="001468A1" w:rsidRDefault="00A563DD" w:rsidP="00984106">
      <w:pPr>
        <w:pStyle w:val="ListParagraph"/>
        <w:numPr>
          <w:ilvl w:val="0"/>
          <w:numId w:val="21"/>
        </w:numPr>
        <w:spacing w:after="0" w:line="240" w:lineRule="auto"/>
        <w:ind w:left="1134" w:hanging="567"/>
        <w:jc w:val="both"/>
        <w:rPr>
          <w:rFonts w:ascii="Arial" w:hAnsi="Arial" w:cs="Arial"/>
        </w:rPr>
      </w:pPr>
      <w:r w:rsidRPr="001468A1">
        <w:rPr>
          <w:rFonts w:ascii="Arial" w:hAnsi="Arial" w:cs="Arial"/>
        </w:rPr>
        <w:t>Changing Non-Dependant Deductions (as per Three Rivers District Council).</w:t>
      </w:r>
    </w:p>
    <w:p w:rsidR="005845A1" w:rsidRPr="001468A1" w:rsidRDefault="005845A1" w:rsidP="00984106">
      <w:pPr>
        <w:pStyle w:val="ListParagraph"/>
        <w:spacing w:after="0" w:line="240" w:lineRule="auto"/>
        <w:ind w:left="1440"/>
        <w:jc w:val="both"/>
        <w:rPr>
          <w:rFonts w:ascii="Arial" w:hAnsi="Arial" w:cs="Arial"/>
        </w:rPr>
      </w:pPr>
    </w:p>
    <w:p w:rsidR="005908B4" w:rsidRPr="001468A1" w:rsidRDefault="005908B4"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The table below illustrates the estimated caseload for both working age and pension age recipients in 2017/18</w:t>
      </w:r>
      <w:r w:rsidR="00E8633F">
        <w:rPr>
          <w:rFonts w:ascii="Arial" w:hAnsi="Arial" w:cs="Arial"/>
        </w:rPr>
        <w:t>:</w:t>
      </w:r>
    </w:p>
    <w:p w:rsidR="005908B4" w:rsidRDefault="005908B4" w:rsidP="005908B4">
      <w:pPr>
        <w:pStyle w:val="ListParagraph"/>
        <w:jc w:val="both"/>
        <w:rPr>
          <w:rFonts w:ascii="Arial" w:hAnsi="Arial" w:cs="Arial"/>
        </w:rPr>
      </w:pPr>
    </w:p>
    <w:tbl>
      <w:tblPr>
        <w:tblStyle w:val="TableGrid"/>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5"/>
        <w:gridCol w:w="2856"/>
        <w:gridCol w:w="2856"/>
      </w:tblGrid>
      <w:tr w:rsidR="00887FA7" w:rsidRPr="00887FA7" w:rsidTr="00747F48">
        <w:trPr>
          <w:trHeight w:val="433"/>
        </w:trPr>
        <w:tc>
          <w:tcPr>
            <w:tcW w:w="2855" w:type="dxa"/>
            <w:vAlign w:val="center"/>
          </w:tcPr>
          <w:p w:rsidR="00887FA7" w:rsidRPr="00887FA7" w:rsidRDefault="00887FA7" w:rsidP="00887FA7">
            <w:pPr>
              <w:pStyle w:val="ListParagraph"/>
              <w:ind w:left="0"/>
              <w:jc w:val="center"/>
              <w:rPr>
                <w:rFonts w:ascii="Arial" w:hAnsi="Arial" w:cs="Arial"/>
                <w:b/>
              </w:rPr>
            </w:pPr>
            <w:r>
              <w:rPr>
                <w:rFonts w:ascii="Arial" w:hAnsi="Arial" w:cs="Arial"/>
                <w:b/>
              </w:rPr>
              <w:t>Working Age</w:t>
            </w:r>
          </w:p>
        </w:tc>
        <w:tc>
          <w:tcPr>
            <w:tcW w:w="2856" w:type="dxa"/>
            <w:vAlign w:val="center"/>
          </w:tcPr>
          <w:p w:rsidR="00887FA7" w:rsidRPr="00887FA7" w:rsidRDefault="00887FA7" w:rsidP="00887FA7">
            <w:pPr>
              <w:pStyle w:val="ListParagraph"/>
              <w:ind w:left="0"/>
              <w:jc w:val="center"/>
              <w:rPr>
                <w:rFonts w:ascii="Arial" w:hAnsi="Arial" w:cs="Arial"/>
                <w:b/>
              </w:rPr>
            </w:pPr>
            <w:r>
              <w:rPr>
                <w:rFonts w:ascii="Arial" w:hAnsi="Arial" w:cs="Arial"/>
                <w:b/>
              </w:rPr>
              <w:t>Pension Age</w:t>
            </w:r>
          </w:p>
        </w:tc>
        <w:tc>
          <w:tcPr>
            <w:tcW w:w="2856" w:type="dxa"/>
            <w:vAlign w:val="center"/>
          </w:tcPr>
          <w:p w:rsidR="00887FA7" w:rsidRPr="00887FA7" w:rsidRDefault="00887FA7" w:rsidP="00887FA7">
            <w:pPr>
              <w:pStyle w:val="ListParagraph"/>
              <w:ind w:left="0"/>
              <w:jc w:val="center"/>
              <w:rPr>
                <w:rFonts w:ascii="Arial" w:hAnsi="Arial" w:cs="Arial"/>
                <w:b/>
              </w:rPr>
            </w:pPr>
            <w:r>
              <w:rPr>
                <w:rFonts w:ascii="Arial" w:hAnsi="Arial" w:cs="Arial"/>
                <w:b/>
              </w:rPr>
              <w:t>Total</w:t>
            </w:r>
          </w:p>
        </w:tc>
      </w:tr>
      <w:tr w:rsidR="00887FA7" w:rsidTr="00747F48">
        <w:trPr>
          <w:trHeight w:val="553"/>
        </w:trPr>
        <w:tc>
          <w:tcPr>
            <w:tcW w:w="2855" w:type="dxa"/>
            <w:vAlign w:val="center"/>
          </w:tcPr>
          <w:p w:rsidR="00887FA7" w:rsidRDefault="00887FA7" w:rsidP="00887FA7">
            <w:pPr>
              <w:pStyle w:val="ListParagraph"/>
              <w:ind w:left="0"/>
              <w:jc w:val="center"/>
              <w:rPr>
                <w:rFonts w:ascii="Arial" w:hAnsi="Arial" w:cs="Arial"/>
              </w:rPr>
            </w:pPr>
            <w:r>
              <w:rPr>
                <w:rFonts w:ascii="Arial" w:hAnsi="Arial" w:cs="Arial"/>
              </w:rPr>
              <w:t>2484</w:t>
            </w:r>
          </w:p>
        </w:tc>
        <w:tc>
          <w:tcPr>
            <w:tcW w:w="2856" w:type="dxa"/>
            <w:vAlign w:val="center"/>
          </w:tcPr>
          <w:p w:rsidR="00887FA7" w:rsidRDefault="00887FA7" w:rsidP="00887FA7">
            <w:pPr>
              <w:pStyle w:val="ListParagraph"/>
              <w:ind w:left="0"/>
              <w:jc w:val="center"/>
              <w:rPr>
                <w:rFonts w:ascii="Arial" w:hAnsi="Arial" w:cs="Arial"/>
              </w:rPr>
            </w:pPr>
            <w:r>
              <w:rPr>
                <w:rFonts w:ascii="Arial" w:hAnsi="Arial" w:cs="Arial"/>
              </w:rPr>
              <w:t>1800</w:t>
            </w:r>
          </w:p>
        </w:tc>
        <w:tc>
          <w:tcPr>
            <w:tcW w:w="2856" w:type="dxa"/>
            <w:vAlign w:val="center"/>
          </w:tcPr>
          <w:p w:rsidR="00887FA7" w:rsidRDefault="00887FA7" w:rsidP="00887FA7">
            <w:pPr>
              <w:pStyle w:val="ListParagraph"/>
              <w:ind w:left="0"/>
              <w:jc w:val="center"/>
              <w:rPr>
                <w:rFonts w:ascii="Arial" w:hAnsi="Arial" w:cs="Arial"/>
              </w:rPr>
            </w:pPr>
            <w:r>
              <w:rPr>
                <w:rFonts w:ascii="Arial" w:hAnsi="Arial" w:cs="Arial"/>
              </w:rPr>
              <w:t>4284</w:t>
            </w:r>
          </w:p>
        </w:tc>
      </w:tr>
    </w:tbl>
    <w:p w:rsidR="00887FA7" w:rsidRPr="001468A1" w:rsidRDefault="00887FA7" w:rsidP="00887FA7">
      <w:pPr>
        <w:pStyle w:val="ListParagraph"/>
        <w:spacing w:after="0"/>
        <w:jc w:val="both"/>
        <w:rPr>
          <w:rFonts w:ascii="Arial" w:hAnsi="Arial" w:cs="Arial"/>
        </w:rPr>
      </w:pPr>
    </w:p>
    <w:p w:rsidR="00F14D5E" w:rsidRPr="00E8633F" w:rsidRDefault="00F14D5E"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The estimated </w:t>
      </w:r>
      <w:r w:rsidR="0084621B" w:rsidRPr="001468A1">
        <w:rPr>
          <w:rFonts w:ascii="Arial" w:hAnsi="Arial" w:cs="Arial"/>
        </w:rPr>
        <w:t xml:space="preserve">expenditure </w:t>
      </w:r>
      <w:r w:rsidRPr="001468A1">
        <w:rPr>
          <w:rFonts w:ascii="Arial" w:hAnsi="Arial" w:cs="Arial"/>
        </w:rPr>
        <w:t>of the scheme for working a</w:t>
      </w:r>
      <w:r w:rsidR="0084621B" w:rsidRPr="001468A1">
        <w:rPr>
          <w:rFonts w:ascii="Arial" w:hAnsi="Arial" w:cs="Arial"/>
        </w:rPr>
        <w:t xml:space="preserve">ge applicants as at 16 October 2017 </w:t>
      </w:r>
      <w:r w:rsidR="0084621B" w:rsidRPr="00E8633F">
        <w:rPr>
          <w:rFonts w:ascii="Arial" w:hAnsi="Arial" w:cs="Arial"/>
        </w:rPr>
        <w:t>is £2</w:t>
      </w:r>
      <w:r w:rsidR="00E8633F" w:rsidRPr="00E8633F">
        <w:rPr>
          <w:rFonts w:ascii="Arial" w:hAnsi="Arial" w:cs="Arial"/>
        </w:rPr>
        <w:t>,551,519.95</w:t>
      </w:r>
      <w:r w:rsidR="00E8633F">
        <w:rPr>
          <w:rFonts w:ascii="Arial" w:hAnsi="Arial" w:cs="Arial"/>
        </w:rPr>
        <w:t>.</w:t>
      </w:r>
    </w:p>
    <w:p w:rsidR="00F14D5E" w:rsidRPr="001468A1" w:rsidRDefault="00F14D5E" w:rsidP="00984106">
      <w:pPr>
        <w:pStyle w:val="ListParagraph"/>
        <w:spacing w:after="0" w:line="240" w:lineRule="auto"/>
        <w:ind w:left="567" w:hanging="567"/>
        <w:jc w:val="both"/>
        <w:rPr>
          <w:rFonts w:ascii="Arial" w:hAnsi="Arial" w:cs="Arial"/>
        </w:rPr>
      </w:pPr>
    </w:p>
    <w:p w:rsidR="00F14D5E" w:rsidRPr="001468A1" w:rsidRDefault="00F14D5E"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The average weekly entitlement to council tax reduction for a</w:t>
      </w:r>
      <w:r w:rsidR="0084621B" w:rsidRPr="001468A1">
        <w:rPr>
          <w:rFonts w:ascii="Arial" w:hAnsi="Arial" w:cs="Arial"/>
        </w:rPr>
        <w:t xml:space="preserve"> working age recipient is £19.72</w:t>
      </w:r>
      <w:r w:rsidR="009A398C">
        <w:rPr>
          <w:rFonts w:ascii="Arial" w:hAnsi="Arial" w:cs="Arial"/>
        </w:rPr>
        <w:t>.</w:t>
      </w:r>
    </w:p>
    <w:p w:rsidR="00F14D5E" w:rsidRPr="001468A1" w:rsidRDefault="00F14D5E" w:rsidP="00984106">
      <w:pPr>
        <w:pStyle w:val="ListParagraph"/>
        <w:spacing w:after="0" w:line="240" w:lineRule="auto"/>
        <w:ind w:left="567" w:hanging="567"/>
        <w:jc w:val="both"/>
        <w:rPr>
          <w:rFonts w:ascii="Arial" w:hAnsi="Arial" w:cs="Arial"/>
        </w:rPr>
      </w:pPr>
    </w:p>
    <w:p w:rsidR="00F14D5E" w:rsidRPr="001468A1" w:rsidRDefault="00F14D5E"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The table below illustrates how every £1 of council tax is apportioned between Hertfordshire County Council, Three Rivers District Council and the Police and Crime Commission. </w:t>
      </w:r>
    </w:p>
    <w:p w:rsidR="00887FA7" w:rsidRDefault="00887FA7" w:rsidP="00887FA7">
      <w:pPr>
        <w:pStyle w:val="ListParagraph"/>
        <w:spacing w:before="120" w:after="120" w:line="240" w:lineRule="auto"/>
        <w:ind w:left="0"/>
        <w:jc w:val="center"/>
        <w:rPr>
          <w:rFonts w:ascii="Arial" w:hAnsi="Arial" w:cs="Arial"/>
        </w:rPr>
      </w:pPr>
    </w:p>
    <w:tbl>
      <w:tblPr>
        <w:tblStyle w:val="TableGrid"/>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41"/>
        <w:gridCol w:w="2142"/>
        <w:gridCol w:w="2142"/>
        <w:gridCol w:w="2142"/>
      </w:tblGrid>
      <w:tr w:rsidR="00887FA7" w:rsidRPr="00887FA7" w:rsidTr="00747F48">
        <w:trPr>
          <w:trHeight w:val="792"/>
        </w:trPr>
        <w:tc>
          <w:tcPr>
            <w:tcW w:w="2141" w:type="dxa"/>
            <w:vAlign w:val="center"/>
          </w:tcPr>
          <w:p w:rsidR="00887FA7" w:rsidRPr="00887FA7" w:rsidRDefault="00887FA7" w:rsidP="00887FA7">
            <w:pPr>
              <w:pStyle w:val="ListParagraph"/>
              <w:ind w:left="0"/>
              <w:jc w:val="center"/>
              <w:rPr>
                <w:rFonts w:ascii="Arial" w:hAnsi="Arial" w:cs="Arial"/>
                <w:b/>
              </w:rPr>
            </w:pPr>
            <w:r w:rsidRPr="00887FA7">
              <w:rPr>
                <w:rFonts w:ascii="Arial" w:hAnsi="Arial" w:cs="Arial"/>
                <w:b/>
              </w:rPr>
              <w:t>Hertfordshire District Council</w:t>
            </w:r>
          </w:p>
        </w:tc>
        <w:tc>
          <w:tcPr>
            <w:tcW w:w="2142" w:type="dxa"/>
            <w:vAlign w:val="center"/>
          </w:tcPr>
          <w:p w:rsidR="00887FA7" w:rsidRPr="00887FA7" w:rsidRDefault="00887FA7" w:rsidP="00887FA7">
            <w:pPr>
              <w:pStyle w:val="ListParagraph"/>
              <w:ind w:left="0"/>
              <w:jc w:val="center"/>
              <w:rPr>
                <w:rFonts w:ascii="Arial" w:hAnsi="Arial" w:cs="Arial"/>
                <w:b/>
              </w:rPr>
            </w:pPr>
            <w:r w:rsidRPr="00887FA7">
              <w:rPr>
                <w:rFonts w:ascii="Arial" w:hAnsi="Arial" w:cs="Arial"/>
                <w:b/>
              </w:rPr>
              <w:t>Three Rivers District Council</w:t>
            </w:r>
          </w:p>
        </w:tc>
        <w:tc>
          <w:tcPr>
            <w:tcW w:w="2142" w:type="dxa"/>
            <w:vAlign w:val="center"/>
          </w:tcPr>
          <w:p w:rsidR="00887FA7" w:rsidRPr="00887FA7" w:rsidRDefault="00887FA7" w:rsidP="00887FA7">
            <w:pPr>
              <w:pStyle w:val="ListParagraph"/>
              <w:ind w:left="0"/>
              <w:jc w:val="center"/>
              <w:rPr>
                <w:rFonts w:ascii="Arial" w:hAnsi="Arial" w:cs="Arial"/>
                <w:b/>
              </w:rPr>
            </w:pPr>
            <w:r w:rsidRPr="00887FA7">
              <w:rPr>
                <w:rFonts w:ascii="Arial" w:hAnsi="Arial" w:cs="Arial"/>
                <w:b/>
              </w:rPr>
              <w:t>Police and Crime Commission</w:t>
            </w:r>
          </w:p>
        </w:tc>
        <w:tc>
          <w:tcPr>
            <w:tcW w:w="2142" w:type="dxa"/>
            <w:vAlign w:val="center"/>
          </w:tcPr>
          <w:p w:rsidR="00887FA7" w:rsidRPr="00887FA7" w:rsidRDefault="00887FA7" w:rsidP="00887FA7">
            <w:pPr>
              <w:pStyle w:val="ListParagraph"/>
              <w:ind w:left="0"/>
              <w:jc w:val="center"/>
              <w:rPr>
                <w:rFonts w:ascii="Arial" w:hAnsi="Arial" w:cs="Arial"/>
                <w:b/>
              </w:rPr>
            </w:pPr>
            <w:r w:rsidRPr="00887FA7">
              <w:rPr>
                <w:rFonts w:ascii="Arial" w:hAnsi="Arial" w:cs="Arial"/>
                <w:b/>
              </w:rPr>
              <w:t>Parish</w:t>
            </w:r>
          </w:p>
        </w:tc>
      </w:tr>
      <w:tr w:rsidR="00887FA7" w:rsidTr="00747F48">
        <w:trPr>
          <w:trHeight w:val="548"/>
        </w:trPr>
        <w:tc>
          <w:tcPr>
            <w:tcW w:w="2141" w:type="dxa"/>
            <w:vAlign w:val="center"/>
          </w:tcPr>
          <w:p w:rsidR="00887FA7" w:rsidRDefault="00887FA7" w:rsidP="00887FA7">
            <w:pPr>
              <w:pStyle w:val="ListParagraph"/>
              <w:ind w:left="0"/>
              <w:jc w:val="center"/>
              <w:rPr>
                <w:rFonts w:ascii="Arial" w:hAnsi="Arial" w:cs="Arial"/>
              </w:rPr>
            </w:pPr>
            <w:r>
              <w:rPr>
                <w:rFonts w:ascii="Arial" w:hAnsi="Arial" w:cs="Arial"/>
              </w:rPr>
              <w:t>77p</w:t>
            </w:r>
          </w:p>
        </w:tc>
        <w:tc>
          <w:tcPr>
            <w:tcW w:w="2142" w:type="dxa"/>
            <w:vAlign w:val="center"/>
          </w:tcPr>
          <w:p w:rsidR="00887FA7" w:rsidRDefault="00887FA7" w:rsidP="00887FA7">
            <w:pPr>
              <w:pStyle w:val="ListParagraph"/>
              <w:ind w:left="0"/>
              <w:jc w:val="center"/>
              <w:rPr>
                <w:rFonts w:ascii="Arial" w:hAnsi="Arial" w:cs="Arial"/>
              </w:rPr>
            </w:pPr>
            <w:r>
              <w:rPr>
                <w:rFonts w:ascii="Arial" w:hAnsi="Arial" w:cs="Arial"/>
              </w:rPr>
              <w:t>10p</w:t>
            </w:r>
          </w:p>
        </w:tc>
        <w:tc>
          <w:tcPr>
            <w:tcW w:w="2142" w:type="dxa"/>
            <w:vAlign w:val="center"/>
          </w:tcPr>
          <w:p w:rsidR="00887FA7" w:rsidRDefault="00887FA7" w:rsidP="00887FA7">
            <w:pPr>
              <w:pStyle w:val="ListParagraph"/>
              <w:ind w:left="0"/>
              <w:jc w:val="center"/>
              <w:rPr>
                <w:rFonts w:ascii="Arial" w:hAnsi="Arial" w:cs="Arial"/>
              </w:rPr>
            </w:pPr>
            <w:r>
              <w:rPr>
                <w:rFonts w:ascii="Arial" w:hAnsi="Arial" w:cs="Arial"/>
              </w:rPr>
              <w:t>10p</w:t>
            </w:r>
          </w:p>
        </w:tc>
        <w:tc>
          <w:tcPr>
            <w:tcW w:w="2142" w:type="dxa"/>
            <w:vAlign w:val="center"/>
          </w:tcPr>
          <w:p w:rsidR="00887FA7" w:rsidRDefault="00887FA7" w:rsidP="00887FA7">
            <w:pPr>
              <w:pStyle w:val="ListParagraph"/>
              <w:ind w:left="0"/>
              <w:jc w:val="center"/>
              <w:rPr>
                <w:rFonts w:ascii="Arial" w:hAnsi="Arial" w:cs="Arial"/>
              </w:rPr>
            </w:pPr>
            <w:r>
              <w:rPr>
                <w:rFonts w:ascii="Arial" w:hAnsi="Arial" w:cs="Arial"/>
              </w:rPr>
              <w:t>3p</w:t>
            </w:r>
          </w:p>
        </w:tc>
      </w:tr>
    </w:tbl>
    <w:p w:rsidR="00887FA7" w:rsidRDefault="00887FA7" w:rsidP="00F14D5E">
      <w:pPr>
        <w:pStyle w:val="ListParagraph"/>
        <w:rPr>
          <w:rFonts w:ascii="Arial" w:hAnsi="Arial" w:cs="Arial"/>
        </w:rPr>
      </w:pPr>
    </w:p>
    <w:p w:rsidR="00A563DD" w:rsidRDefault="00F14D5E"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It is clear from the apportioning of council tax collection that the County Council would financially benefit the most from any reduction in </w:t>
      </w:r>
      <w:r w:rsidR="0084621B" w:rsidRPr="001468A1">
        <w:rPr>
          <w:rFonts w:ascii="Arial" w:hAnsi="Arial" w:cs="Arial"/>
        </w:rPr>
        <w:t>L</w:t>
      </w:r>
      <w:r w:rsidR="00E8633F">
        <w:rPr>
          <w:rFonts w:ascii="Arial" w:hAnsi="Arial" w:cs="Arial"/>
        </w:rPr>
        <w:t>CTR expenditure.</w:t>
      </w:r>
    </w:p>
    <w:p w:rsidR="008D51BE" w:rsidRPr="001468A1" w:rsidRDefault="008D51BE" w:rsidP="00984106">
      <w:pPr>
        <w:pStyle w:val="ListParagraph"/>
        <w:spacing w:after="0" w:line="240" w:lineRule="auto"/>
        <w:ind w:left="567" w:hanging="567"/>
        <w:jc w:val="both"/>
        <w:rPr>
          <w:rFonts w:ascii="Arial" w:hAnsi="Arial" w:cs="Arial"/>
        </w:rPr>
      </w:pPr>
    </w:p>
    <w:p w:rsidR="00DE1EEE" w:rsidRDefault="00DE1EEE"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The data has been remodelled post consultation on each of the proposed changes and, where possible, updated impacted figures have been incorporated.  The updated modelling report can be found in Appendix 2.</w:t>
      </w:r>
    </w:p>
    <w:p w:rsidR="00E8633F" w:rsidRDefault="00E8633F" w:rsidP="00E8633F">
      <w:pPr>
        <w:pStyle w:val="ListParagraph"/>
        <w:spacing w:after="0" w:line="240" w:lineRule="auto"/>
        <w:ind w:left="567"/>
        <w:jc w:val="both"/>
        <w:rPr>
          <w:rFonts w:ascii="Arial" w:hAnsi="Arial" w:cs="Arial"/>
        </w:rPr>
      </w:pPr>
    </w:p>
    <w:p w:rsidR="005241AF" w:rsidRDefault="006068DE" w:rsidP="00E8633F">
      <w:pPr>
        <w:pStyle w:val="ListParagraph"/>
        <w:numPr>
          <w:ilvl w:val="0"/>
          <w:numId w:val="37"/>
        </w:numPr>
        <w:spacing w:after="0" w:line="240" w:lineRule="auto"/>
        <w:ind w:left="567" w:hanging="567"/>
        <w:rPr>
          <w:rFonts w:ascii="Arial" w:hAnsi="Arial" w:cs="Arial"/>
          <w:b/>
        </w:rPr>
      </w:pPr>
      <w:r w:rsidRPr="001468A1">
        <w:rPr>
          <w:rFonts w:ascii="Arial" w:hAnsi="Arial" w:cs="Arial"/>
          <w:b/>
        </w:rPr>
        <w:t xml:space="preserve">Consultation </w:t>
      </w:r>
    </w:p>
    <w:p w:rsidR="00B445F4" w:rsidRPr="001468A1" w:rsidRDefault="00B445F4" w:rsidP="00E8633F">
      <w:pPr>
        <w:pStyle w:val="ListParagraph"/>
        <w:spacing w:after="0" w:line="240" w:lineRule="auto"/>
        <w:rPr>
          <w:rFonts w:ascii="Arial" w:hAnsi="Arial" w:cs="Arial"/>
          <w:b/>
        </w:rPr>
      </w:pPr>
    </w:p>
    <w:p w:rsidR="00D86247" w:rsidRDefault="006068DE" w:rsidP="00E8633F">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 xml:space="preserve">The public consultation was open from 17 July to 8 October 2017. The survey was made available both online and in paper forms. A copy of the questionnaire is available </w:t>
      </w:r>
      <w:r w:rsidR="00B445F4">
        <w:rPr>
          <w:rFonts w:ascii="Arial" w:hAnsi="Arial" w:cs="Arial"/>
        </w:rPr>
        <w:t>in the background papers.</w:t>
      </w:r>
    </w:p>
    <w:p w:rsidR="00B445F4" w:rsidRPr="001468A1" w:rsidRDefault="00B445F4" w:rsidP="00E8633F">
      <w:pPr>
        <w:pStyle w:val="ListParagraph"/>
        <w:spacing w:after="0" w:line="240" w:lineRule="auto"/>
        <w:ind w:left="567" w:hanging="567"/>
        <w:jc w:val="both"/>
        <w:rPr>
          <w:rFonts w:ascii="Arial" w:hAnsi="Arial" w:cs="Arial"/>
        </w:rPr>
      </w:pPr>
    </w:p>
    <w:p w:rsidR="00B445F4" w:rsidRPr="00B445F4" w:rsidRDefault="0076534C" w:rsidP="00E8633F">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A consultatio</w:t>
      </w:r>
      <w:r w:rsidR="00B37617" w:rsidRPr="001468A1">
        <w:rPr>
          <w:rFonts w:ascii="Arial" w:hAnsi="Arial" w:cs="Arial"/>
        </w:rPr>
        <w:t>n letter</w:t>
      </w:r>
      <w:r w:rsidRPr="001468A1">
        <w:rPr>
          <w:rFonts w:ascii="Arial" w:hAnsi="Arial" w:cs="Arial"/>
        </w:rPr>
        <w:t xml:space="preserve"> was sent by post to all current working age LCTR recipients who were likely to be affected by the proposals inviting them to respond and give their views.</w:t>
      </w:r>
    </w:p>
    <w:p w:rsidR="00B445F4" w:rsidRDefault="00B445F4" w:rsidP="00984106">
      <w:pPr>
        <w:pStyle w:val="ListParagraph"/>
        <w:spacing w:after="0" w:line="240" w:lineRule="auto"/>
        <w:ind w:left="567" w:hanging="567"/>
        <w:jc w:val="both"/>
        <w:rPr>
          <w:rFonts w:ascii="Arial" w:hAnsi="Arial" w:cs="Arial"/>
        </w:rPr>
      </w:pPr>
    </w:p>
    <w:p w:rsidR="006068DE" w:rsidRPr="001468A1" w:rsidRDefault="0013727D"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t>Consultees were provided with 4 options, these being:-</w:t>
      </w:r>
    </w:p>
    <w:p w:rsidR="0013727D" w:rsidRPr="001468A1" w:rsidRDefault="0013727D" w:rsidP="00984106">
      <w:pPr>
        <w:pStyle w:val="ListParagraph"/>
        <w:numPr>
          <w:ilvl w:val="2"/>
          <w:numId w:val="23"/>
        </w:numPr>
        <w:spacing w:after="0" w:line="240" w:lineRule="auto"/>
        <w:ind w:left="1134" w:hanging="567"/>
        <w:jc w:val="both"/>
        <w:rPr>
          <w:rFonts w:ascii="Arial" w:hAnsi="Arial" w:cs="Arial"/>
        </w:rPr>
      </w:pPr>
      <w:r w:rsidRPr="001468A1">
        <w:rPr>
          <w:rFonts w:ascii="Arial" w:hAnsi="Arial" w:cs="Arial"/>
        </w:rPr>
        <w:t xml:space="preserve">Option 1: Adopt additional new rules for the scheme </w:t>
      </w:r>
    </w:p>
    <w:p w:rsidR="0013727D" w:rsidRPr="001468A1" w:rsidRDefault="0013727D" w:rsidP="00984106">
      <w:pPr>
        <w:pStyle w:val="ListParagraph"/>
        <w:numPr>
          <w:ilvl w:val="2"/>
          <w:numId w:val="23"/>
        </w:numPr>
        <w:spacing w:after="0" w:line="240" w:lineRule="auto"/>
        <w:ind w:left="1134" w:hanging="567"/>
        <w:jc w:val="both"/>
        <w:rPr>
          <w:rFonts w:ascii="Arial" w:hAnsi="Arial" w:cs="Arial"/>
        </w:rPr>
      </w:pPr>
      <w:r w:rsidRPr="001468A1">
        <w:rPr>
          <w:rFonts w:ascii="Arial" w:hAnsi="Arial" w:cs="Arial"/>
        </w:rPr>
        <w:t>Option 2: Do not change the scheme</w:t>
      </w:r>
    </w:p>
    <w:p w:rsidR="0013727D" w:rsidRPr="001468A1" w:rsidRDefault="0013727D" w:rsidP="00984106">
      <w:pPr>
        <w:pStyle w:val="ListParagraph"/>
        <w:numPr>
          <w:ilvl w:val="2"/>
          <w:numId w:val="23"/>
        </w:numPr>
        <w:spacing w:after="0" w:line="240" w:lineRule="auto"/>
        <w:ind w:left="1134" w:hanging="567"/>
        <w:jc w:val="both"/>
        <w:rPr>
          <w:rFonts w:ascii="Arial" w:hAnsi="Arial" w:cs="Arial"/>
        </w:rPr>
      </w:pPr>
      <w:r w:rsidRPr="001468A1">
        <w:rPr>
          <w:rFonts w:ascii="Arial" w:hAnsi="Arial" w:cs="Arial"/>
        </w:rPr>
        <w:t>Option 3: I do not have an opinion on the changes</w:t>
      </w:r>
    </w:p>
    <w:p w:rsidR="0013727D" w:rsidRPr="001468A1" w:rsidRDefault="0013727D" w:rsidP="00984106">
      <w:pPr>
        <w:pStyle w:val="ListParagraph"/>
        <w:numPr>
          <w:ilvl w:val="2"/>
          <w:numId w:val="23"/>
        </w:numPr>
        <w:spacing w:after="0" w:line="240" w:lineRule="auto"/>
        <w:ind w:left="1134" w:hanging="567"/>
        <w:jc w:val="both"/>
        <w:rPr>
          <w:rFonts w:ascii="Arial" w:hAnsi="Arial" w:cs="Arial"/>
        </w:rPr>
      </w:pPr>
      <w:r w:rsidRPr="001468A1">
        <w:rPr>
          <w:rFonts w:ascii="Arial" w:hAnsi="Arial" w:cs="Arial"/>
        </w:rPr>
        <w:t>Option 4: My alternative proposal</w:t>
      </w:r>
    </w:p>
    <w:p w:rsidR="0013727D" w:rsidRPr="001468A1" w:rsidRDefault="0076534C" w:rsidP="00984106">
      <w:pPr>
        <w:pStyle w:val="ListParagraph"/>
        <w:numPr>
          <w:ilvl w:val="1"/>
          <w:numId w:val="37"/>
        </w:numPr>
        <w:spacing w:after="0" w:line="240" w:lineRule="auto"/>
        <w:ind w:left="567" w:hanging="567"/>
        <w:jc w:val="both"/>
        <w:rPr>
          <w:rFonts w:ascii="Arial" w:hAnsi="Arial" w:cs="Arial"/>
        </w:rPr>
      </w:pPr>
      <w:r w:rsidRPr="001468A1">
        <w:rPr>
          <w:rFonts w:ascii="Arial" w:hAnsi="Arial" w:cs="Arial"/>
        </w:rPr>
        <w:lastRenderedPageBreak/>
        <w:t>Additional information regarding Option 1’s new rules was provided for consultees to consider.  The new rules could incorporate:-</w:t>
      </w:r>
    </w:p>
    <w:p w:rsidR="0076534C" w:rsidRPr="001468A1" w:rsidRDefault="0076534C" w:rsidP="00984106">
      <w:pPr>
        <w:pStyle w:val="ListParagraph"/>
        <w:spacing w:after="0" w:line="240" w:lineRule="auto"/>
        <w:jc w:val="both"/>
        <w:rPr>
          <w:rFonts w:ascii="Arial" w:hAnsi="Arial" w:cs="Arial"/>
        </w:rPr>
      </w:pPr>
    </w:p>
    <w:p w:rsidR="0076534C" w:rsidRPr="001468A1" w:rsidRDefault="0076534C" w:rsidP="00984106">
      <w:pPr>
        <w:pStyle w:val="ListParagraph"/>
        <w:numPr>
          <w:ilvl w:val="1"/>
          <w:numId w:val="21"/>
        </w:numPr>
        <w:spacing w:after="0" w:line="240" w:lineRule="auto"/>
        <w:ind w:left="1134" w:hanging="567"/>
        <w:rPr>
          <w:rFonts w:ascii="Arial" w:hAnsi="Arial" w:cs="Arial"/>
          <w:bCs/>
        </w:rPr>
      </w:pPr>
      <w:r w:rsidRPr="001468A1">
        <w:rPr>
          <w:rFonts w:ascii="Arial" w:hAnsi="Arial" w:cs="Arial"/>
          <w:bCs/>
        </w:rPr>
        <w:t>Introduce a fixed assessment period</w:t>
      </w:r>
    </w:p>
    <w:p w:rsidR="0076534C" w:rsidRPr="001468A1" w:rsidRDefault="0076534C" w:rsidP="00984106">
      <w:pPr>
        <w:pStyle w:val="ListParagraph"/>
        <w:numPr>
          <w:ilvl w:val="1"/>
          <w:numId w:val="21"/>
        </w:numPr>
        <w:spacing w:after="0" w:line="240" w:lineRule="auto"/>
        <w:ind w:left="1134" w:hanging="567"/>
        <w:rPr>
          <w:rFonts w:ascii="Arial" w:hAnsi="Arial" w:cs="Arial"/>
          <w:bCs/>
        </w:rPr>
      </w:pPr>
      <w:r w:rsidRPr="001468A1">
        <w:rPr>
          <w:rFonts w:ascii="Arial" w:hAnsi="Arial" w:cs="Arial"/>
          <w:bCs/>
        </w:rPr>
        <w:t>Mirror changes that have been made to Housing Benefit. These are as follows:</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Remove the Family Premium</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Only backdate claims for 1 month</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Freeze applicable amounts in line with Housing Benefit</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Withdraw Council Tax Reduction if a person leaves the UK for 1 month or more</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Limit the number of dependents’ additions to a maximum of two for all cases where dependents are born on or after 1 April 2018</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Remove the Employment and Support Allowance (ESA) Work-Related Activity Component from applicants</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Disregard Post-Graduate Master’s Degree Loan and Special Support Loans (for student living expenses)</w:t>
      </w:r>
    </w:p>
    <w:p w:rsidR="0076534C" w:rsidRPr="001468A1" w:rsidRDefault="0076534C" w:rsidP="00984106">
      <w:pPr>
        <w:pStyle w:val="ListParagraph"/>
        <w:numPr>
          <w:ilvl w:val="2"/>
          <w:numId w:val="21"/>
        </w:numPr>
        <w:spacing w:after="0" w:line="240" w:lineRule="auto"/>
        <w:ind w:left="1701" w:hanging="567"/>
        <w:rPr>
          <w:rFonts w:ascii="Arial" w:hAnsi="Arial" w:cs="Arial"/>
          <w:bCs/>
        </w:rPr>
      </w:pPr>
      <w:r w:rsidRPr="001468A1">
        <w:rPr>
          <w:rFonts w:ascii="Arial" w:hAnsi="Arial" w:cs="Arial"/>
          <w:bCs/>
        </w:rPr>
        <w:t>Disregard in full any Bereavement Payments</w:t>
      </w:r>
    </w:p>
    <w:p w:rsidR="0076534C" w:rsidRPr="001468A1" w:rsidRDefault="0076534C" w:rsidP="00984106">
      <w:pPr>
        <w:pStyle w:val="ListParagraph"/>
        <w:numPr>
          <w:ilvl w:val="1"/>
          <w:numId w:val="21"/>
        </w:numPr>
        <w:spacing w:after="0" w:line="240" w:lineRule="auto"/>
        <w:ind w:left="1134" w:hanging="567"/>
        <w:rPr>
          <w:rFonts w:ascii="Arial" w:hAnsi="Arial" w:cs="Arial"/>
          <w:bCs/>
        </w:rPr>
      </w:pPr>
      <w:r w:rsidRPr="001468A1">
        <w:rPr>
          <w:rFonts w:ascii="Arial" w:hAnsi="Arial" w:cs="Arial"/>
          <w:bCs/>
        </w:rPr>
        <w:t xml:space="preserve">Minimum Income Floor </w:t>
      </w:r>
    </w:p>
    <w:p w:rsidR="00B04C0B" w:rsidRPr="001468A1" w:rsidRDefault="00B04C0B" w:rsidP="00984106">
      <w:pPr>
        <w:pStyle w:val="ListParagraph"/>
        <w:spacing w:after="0" w:line="240" w:lineRule="auto"/>
        <w:ind w:left="1440"/>
        <w:rPr>
          <w:rFonts w:ascii="Arial" w:hAnsi="Arial" w:cs="Arial"/>
          <w:bCs/>
        </w:rPr>
      </w:pPr>
    </w:p>
    <w:p w:rsidR="0076534C" w:rsidRPr="00E8633F" w:rsidRDefault="007E6EA6" w:rsidP="00984106">
      <w:pPr>
        <w:pStyle w:val="ListParagraph"/>
        <w:numPr>
          <w:ilvl w:val="1"/>
          <w:numId w:val="38"/>
        </w:numPr>
        <w:spacing w:after="0" w:line="240" w:lineRule="auto"/>
        <w:ind w:left="567" w:hanging="567"/>
        <w:jc w:val="both"/>
        <w:rPr>
          <w:rFonts w:ascii="Arial" w:hAnsi="Arial" w:cs="Arial"/>
          <w:bCs/>
        </w:rPr>
      </w:pPr>
      <w:r w:rsidRPr="001468A1">
        <w:rPr>
          <w:rFonts w:ascii="Arial" w:hAnsi="Arial" w:cs="Arial"/>
        </w:rPr>
        <w:t>D</w:t>
      </w:r>
      <w:r w:rsidR="00D50FB5" w:rsidRPr="001468A1">
        <w:rPr>
          <w:rFonts w:ascii="Arial" w:hAnsi="Arial" w:cs="Arial"/>
        </w:rPr>
        <w:t xml:space="preserve">etails of </w:t>
      </w:r>
      <w:r w:rsidR="009C577B" w:rsidRPr="001468A1">
        <w:rPr>
          <w:rFonts w:ascii="Arial" w:hAnsi="Arial" w:cs="Arial"/>
        </w:rPr>
        <w:t>additional comments made by responders</w:t>
      </w:r>
      <w:r w:rsidRPr="001468A1">
        <w:rPr>
          <w:rFonts w:ascii="Arial" w:hAnsi="Arial" w:cs="Arial"/>
        </w:rPr>
        <w:t xml:space="preserve"> can be found in the consultation summary report.</w:t>
      </w:r>
    </w:p>
    <w:p w:rsidR="00E8633F" w:rsidRPr="001468A1" w:rsidRDefault="00E8633F" w:rsidP="00E8633F">
      <w:pPr>
        <w:pStyle w:val="ListParagraph"/>
        <w:spacing w:after="0" w:line="240" w:lineRule="auto"/>
        <w:ind w:left="567"/>
        <w:jc w:val="both"/>
        <w:rPr>
          <w:rFonts w:ascii="Arial" w:hAnsi="Arial" w:cs="Arial"/>
          <w:bCs/>
        </w:rPr>
      </w:pPr>
    </w:p>
    <w:p w:rsidR="0030369E" w:rsidRDefault="001468A1" w:rsidP="00984106">
      <w:pPr>
        <w:pStyle w:val="listno"/>
        <w:numPr>
          <w:ilvl w:val="1"/>
          <w:numId w:val="38"/>
        </w:numPr>
        <w:spacing w:after="0"/>
        <w:ind w:left="567" w:hanging="567"/>
        <w:jc w:val="both"/>
        <w:rPr>
          <w:rFonts w:cs="Arial"/>
          <w:sz w:val="22"/>
          <w:szCs w:val="22"/>
        </w:rPr>
      </w:pPr>
      <w:r w:rsidRPr="001468A1">
        <w:rPr>
          <w:rFonts w:cs="Arial"/>
          <w:sz w:val="22"/>
          <w:szCs w:val="22"/>
        </w:rPr>
        <w:t>I</w:t>
      </w:r>
      <w:r w:rsidR="0030369E" w:rsidRPr="001468A1">
        <w:rPr>
          <w:rFonts w:cs="Arial"/>
          <w:sz w:val="22"/>
          <w:szCs w:val="22"/>
        </w:rPr>
        <w:t xml:space="preserve">n total 340 survey responses were received of which 7 were by post. </w:t>
      </w:r>
      <w:r w:rsidR="00530604" w:rsidRPr="001468A1">
        <w:rPr>
          <w:rFonts w:cs="Arial"/>
          <w:sz w:val="22"/>
          <w:szCs w:val="22"/>
        </w:rPr>
        <w:t xml:space="preserve">Of the 340 responses 73% </w:t>
      </w:r>
      <w:r w:rsidR="0030369E" w:rsidRPr="001468A1">
        <w:rPr>
          <w:rFonts w:cs="Arial"/>
          <w:sz w:val="22"/>
          <w:szCs w:val="22"/>
        </w:rPr>
        <w:t xml:space="preserve">completed the equalities monitoring information.  The responses to the options consulted on and described in paragraph </w:t>
      </w:r>
      <w:r w:rsidR="00530604" w:rsidRPr="001468A1">
        <w:rPr>
          <w:rFonts w:cs="Arial"/>
          <w:sz w:val="22"/>
          <w:szCs w:val="22"/>
        </w:rPr>
        <w:t>15</w:t>
      </w:r>
      <w:r w:rsidR="0030369E" w:rsidRPr="001468A1">
        <w:rPr>
          <w:rFonts w:cs="Arial"/>
          <w:sz w:val="22"/>
          <w:szCs w:val="22"/>
        </w:rPr>
        <w:t xml:space="preserve"> above are detailed in the table below.</w:t>
      </w:r>
    </w:p>
    <w:p w:rsidR="003E378D" w:rsidRPr="001468A1" w:rsidRDefault="003E378D" w:rsidP="00984106">
      <w:pPr>
        <w:pStyle w:val="listno"/>
        <w:numPr>
          <w:ilvl w:val="0"/>
          <w:numId w:val="0"/>
        </w:numPr>
        <w:spacing w:after="0"/>
        <w:ind w:left="1134"/>
        <w:jc w:val="both"/>
        <w:rPr>
          <w:rFonts w:cs="Arial"/>
          <w:sz w:val="22"/>
          <w:szCs w:val="22"/>
        </w:rPr>
      </w:pPr>
    </w:p>
    <w:p w:rsidR="00D86247" w:rsidRPr="001468A1" w:rsidRDefault="00F14BB5" w:rsidP="00D86247">
      <w:pPr>
        <w:pStyle w:val="ListParagraph"/>
        <w:jc w:val="both"/>
        <w:rPr>
          <w:rFonts w:ascii="Arial" w:hAnsi="Arial" w:cs="Arial"/>
          <w:noProof/>
          <w:lang w:eastAsia="en-GB"/>
        </w:rPr>
      </w:pPr>
      <w:r w:rsidRPr="001468A1">
        <w:rPr>
          <w:rFonts w:ascii="Arial" w:hAnsi="Arial" w:cs="Arial"/>
          <w:noProof/>
          <w:lang w:eastAsia="en-GB"/>
        </w:rPr>
        <w:drawing>
          <wp:inline distT="0" distB="0" distL="0" distR="0" wp14:anchorId="7599C5CF" wp14:editId="27468C23">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711A" w:rsidRPr="001468A1" w:rsidRDefault="0063711A" w:rsidP="00D86247">
      <w:pPr>
        <w:pStyle w:val="ListParagraph"/>
        <w:jc w:val="both"/>
        <w:rPr>
          <w:rFonts w:ascii="Arial" w:hAnsi="Arial" w:cs="Arial"/>
          <w:noProof/>
          <w:lang w:eastAsia="en-GB"/>
        </w:rPr>
      </w:pPr>
    </w:p>
    <w:p w:rsidR="00EB3772" w:rsidRDefault="00F14BB5" w:rsidP="00984106">
      <w:pPr>
        <w:pStyle w:val="ListParagraph"/>
        <w:numPr>
          <w:ilvl w:val="1"/>
          <w:numId w:val="38"/>
        </w:numPr>
        <w:spacing w:after="0" w:line="240" w:lineRule="auto"/>
        <w:ind w:left="567" w:hanging="567"/>
        <w:rPr>
          <w:rFonts w:ascii="Arial" w:hAnsi="Arial" w:cs="Arial"/>
          <w:lang w:eastAsia="en-GB"/>
        </w:rPr>
      </w:pPr>
      <w:r w:rsidRPr="001468A1">
        <w:rPr>
          <w:rFonts w:ascii="Arial" w:hAnsi="Arial" w:cs="Arial"/>
        </w:rPr>
        <w:t xml:space="preserve">Of the </w:t>
      </w:r>
      <w:r w:rsidR="00DA58C6" w:rsidRPr="001468A1">
        <w:rPr>
          <w:rFonts w:ascii="Arial" w:hAnsi="Arial" w:cs="Arial"/>
        </w:rPr>
        <w:t xml:space="preserve">330 respondents who completed the above question on the consultation document, </w:t>
      </w:r>
      <w:r w:rsidRPr="001468A1">
        <w:rPr>
          <w:rFonts w:ascii="Arial" w:hAnsi="Arial" w:cs="Arial"/>
        </w:rPr>
        <w:t xml:space="preserve">159 (48%) </w:t>
      </w:r>
      <w:r w:rsidR="00DA58C6" w:rsidRPr="001468A1">
        <w:rPr>
          <w:rFonts w:ascii="Arial" w:hAnsi="Arial" w:cs="Arial"/>
        </w:rPr>
        <w:t xml:space="preserve">identified Option 1: Adopt new rules as their preferred option. </w:t>
      </w:r>
    </w:p>
    <w:p w:rsidR="00E8633F" w:rsidRPr="001468A1" w:rsidRDefault="00E8633F" w:rsidP="00E8633F">
      <w:pPr>
        <w:pStyle w:val="ListParagraph"/>
        <w:spacing w:after="0" w:line="240" w:lineRule="auto"/>
        <w:ind w:left="567"/>
        <w:rPr>
          <w:rFonts w:ascii="Arial" w:hAnsi="Arial" w:cs="Arial"/>
          <w:lang w:eastAsia="en-GB"/>
        </w:rPr>
      </w:pPr>
    </w:p>
    <w:p w:rsidR="00EB3772" w:rsidRPr="001468A1" w:rsidRDefault="00EB3772" w:rsidP="00984106">
      <w:pPr>
        <w:pStyle w:val="ListParagraph"/>
        <w:numPr>
          <w:ilvl w:val="1"/>
          <w:numId w:val="38"/>
        </w:numPr>
        <w:spacing w:after="0" w:line="240" w:lineRule="auto"/>
        <w:ind w:left="567" w:hanging="567"/>
        <w:rPr>
          <w:rFonts w:ascii="Arial" w:hAnsi="Arial" w:cs="Arial"/>
          <w:lang w:eastAsia="en-GB"/>
        </w:rPr>
      </w:pPr>
      <w:r w:rsidRPr="001468A1">
        <w:rPr>
          <w:rFonts w:ascii="Arial" w:hAnsi="Arial" w:cs="Arial"/>
          <w:lang w:eastAsia="en-GB"/>
        </w:rPr>
        <w:t>Four percent (13) of respondents made an alternative suggestion to the options provided. These suggestions focused on:</w:t>
      </w:r>
    </w:p>
    <w:p w:rsidR="00EB3772" w:rsidRPr="001468A1" w:rsidRDefault="00EB3772" w:rsidP="00984106">
      <w:pPr>
        <w:pStyle w:val="BodyText"/>
        <w:numPr>
          <w:ilvl w:val="0"/>
          <w:numId w:val="30"/>
        </w:numPr>
        <w:spacing w:after="0" w:line="240" w:lineRule="auto"/>
        <w:ind w:left="1134" w:hanging="567"/>
        <w:jc w:val="left"/>
        <w:rPr>
          <w:rFonts w:cs="Arial"/>
          <w:spacing w:val="0"/>
          <w:sz w:val="22"/>
          <w:szCs w:val="22"/>
          <w:lang w:eastAsia="en-GB"/>
        </w:rPr>
      </w:pPr>
      <w:r w:rsidRPr="001468A1">
        <w:rPr>
          <w:rFonts w:cs="Arial"/>
          <w:spacing w:val="0"/>
          <w:sz w:val="22"/>
          <w:szCs w:val="22"/>
          <w:lang w:eastAsia="en-GB"/>
        </w:rPr>
        <w:t>Charging people who can afford it, more</w:t>
      </w:r>
    </w:p>
    <w:p w:rsidR="00EB3772" w:rsidRPr="001468A1" w:rsidRDefault="00EB3772" w:rsidP="00984106">
      <w:pPr>
        <w:numPr>
          <w:ilvl w:val="0"/>
          <w:numId w:val="30"/>
        </w:numPr>
        <w:spacing w:after="0" w:line="240" w:lineRule="auto"/>
        <w:ind w:left="1134" w:hanging="567"/>
        <w:rPr>
          <w:rFonts w:ascii="Arial" w:hAnsi="Arial" w:cs="Arial"/>
          <w:lang w:eastAsia="en-GB"/>
        </w:rPr>
      </w:pPr>
      <w:r w:rsidRPr="001468A1">
        <w:rPr>
          <w:rFonts w:ascii="Arial" w:hAnsi="Arial" w:cs="Arial"/>
          <w:lang w:eastAsia="en-GB"/>
        </w:rPr>
        <w:t>Reduce complexity of the scheme.</w:t>
      </w:r>
    </w:p>
    <w:p w:rsidR="00EB3772" w:rsidRPr="001468A1" w:rsidRDefault="00EB3772" w:rsidP="00984106">
      <w:pPr>
        <w:numPr>
          <w:ilvl w:val="0"/>
          <w:numId w:val="30"/>
        </w:numPr>
        <w:spacing w:after="0" w:line="240" w:lineRule="auto"/>
        <w:ind w:left="1134" w:hanging="567"/>
        <w:rPr>
          <w:rFonts w:ascii="Arial" w:hAnsi="Arial" w:cs="Arial"/>
          <w:lang w:eastAsia="en-GB"/>
        </w:rPr>
      </w:pPr>
      <w:r w:rsidRPr="001468A1">
        <w:rPr>
          <w:rFonts w:ascii="Arial" w:hAnsi="Arial" w:cs="Arial"/>
          <w:lang w:eastAsia="en-GB"/>
        </w:rPr>
        <w:t>Revaluation of Bands.</w:t>
      </w:r>
    </w:p>
    <w:p w:rsidR="00EB3772" w:rsidRPr="001468A1" w:rsidRDefault="00EB3772" w:rsidP="00984106">
      <w:pPr>
        <w:numPr>
          <w:ilvl w:val="0"/>
          <w:numId w:val="30"/>
        </w:numPr>
        <w:spacing w:after="0" w:line="240" w:lineRule="auto"/>
        <w:ind w:left="1134" w:hanging="567"/>
        <w:rPr>
          <w:rFonts w:ascii="Arial" w:hAnsi="Arial" w:cs="Arial"/>
          <w:lang w:eastAsia="en-GB"/>
        </w:rPr>
      </w:pPr>
      <w:r w:rsidRPr="001468A1">
        <w:rPr>
          <w:rFonts w:ascii="Arial" w:hAnsi="Arial" w:cs="Arial"/>
          <w:lang w:eastAsia="en-GB"/>
        </w:rPr>
        <w:t>Make everyone contribute at least 10%.</w:t>
      </w:r>
    </w:p>
    <w:p w:rsidR="00EE6F8F" w:rsidRPr="001468A1" w:rsidRDefault="00EE6F8F"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lastRenderedPageBreak/>
        <w:t>In response to the question which of the Housing Benefit rules should be adopted of the 302 people who responded to this question 35% stated ‘all of them’ as their preferred option whilst 30% answered ‘none of them’.</w:t>
      </w:r>
    </w:p>
    <w:p w:rsidR="00DA58C6" w:rsidRPr="001468A1" w:rsidRDefault="00DA58C6" w:rsidP="00984106">
      <w:pPr>
        <w:pStyle w:val="ListParagraph"/>
        <w:spacing w:after="0" w:line="240" w:lineRule="auto"/>
        <w:ind w:left="567" w:hanging="567"/>
        <w:jc w:val="both"/>
        <w:rPr>
          <w:rFonts w:ascii="Arial" w:hAnsi="Arial" w:cs="Arial"/>
        </w:rPr>
      </w:pPr>
    </w:p>
    <w:p w:rsidR="0089630F" w:rsidRPr="001468A1" w:rsidRDefault="0089630F"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t>The consultation summary document provides Members with a complete breakdown of each question</w:t>
      </w:r>
      <w:r w:rsidR="001E1CB1" w:rsidRPr="001468A1">
        <w:rPr>
          <w:rFonts w:ascii="Arial" w:hAnsi="Arial" w:cs="Arial"/>
        </w:rPr>
        <w:t xml:space="preserve">, </w:t>
      </w:r>
      <w:r w:rsidRPr="001468A1">
        <w:rPr>
          <w:rFonts w:ascii="Arial" w:hAnsi="Arial" w:cs="Arial"/>
        </w:rPr>
        <w:t>summarises the comments</w:t>
      </w:r>
      <w:r w:rsidR="007E6EA6" w:rsidRPr="001468A1">
        <w:rPr>
          <w:rFonts w:ascii="Arial" w:hAnsi="Arial" w:cs="Arial"/>
        </w:rPr>
        <w:t xml:space="preserve"> made by respondents</w:t>
      </w:r>
      <w:r w:rsidR="001E1CB1" w:rsidRPr="001468A1">
        <w:rPr>
          <w:rFonts w:ascii="Arial" w:hAnsi="Arial" w:cs="Arial"/>
        </w:rPr>
        <w:t xml:space="preserve">. </w:t>
      </w:r>
    </w:p>
    <w:p w:rsidR="0089630F" w:rsidRPr="001468A1" w:rsidRDefault="0089630F" w:rsidP="00984106">
      <w:pPr>
        <w:pStyle w:val="ListParagraph"/>
        <w:spacing w:after="0" w:line="240" w:lineRule="auto"/>
        <w:ind w:left="567" w:hanging="567"/>
        <w:rPr>
          <w:rFonts w:ascii="Arial" w:hAnsi="Arial" w:cs="Arial"/>
        </w:rPr>
      </w:pPr>
    </w:p>
    <w:p w:rsidR="007E6EA6" w:rsidRPr="001468A1" w:rsidRDefault="007E6EA6"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t>In deciding whether to adopt any changes to the CTR scheme from April 2018 Members should also consider if a ‘transitional’ hardship scheme should be developed to reduce the impact of any changes on those affected.</w:t>
      </w:r>
    </w:p>
    <w:p w:rsidR="007E6EA6" w:rsidRPr="001468A1" w:rsidRDefault="007E6EA6" w:rsidP="00984106">
      <w:pPr>
        <w:pStyle w:val="ListParagraph"/>
        <w:spacing w:after="0" w:line="240" w:lineRule="auto"/>
        <w:ind w:left="567" w:hanging="567"/>
        <w:rPr>
          <w:rFonts w:ascii="Arial" w:hAnsi="Arial" w:cs="Arial"/>
        </w:rPr>
      </w:pPr>
    </w:p>
    <w:p w:rsidR="007E6EA6" w:rsidRPr="001468A1" w:rsidRDefault="007E6EA6"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t xml:space="preserve">Any transitional hardship scheme would be funded from Three Rivers District Council’s budget. </w:t>
      </w:r>
    </w:p>
    <w:p w:rsidR="00333A85" w:rsidRPr="001468A1" w:rsidRDefault="00333A85" w:rsidP="00984106">
      <w:pPr>
        <w:pStyle w:val="ListParagraph"/>
        <w:spacing w:after="0" w:line="240" w:lineRule="auto"/>
        <w:ind w:left="567" w:hanging="567"/>
        <w:rPr>
          <w:rFonts w:ascii="Arial" w:hAnsi="Arial" w:cs="Arial"/>
        </w:rPr>
      </w:pPr>
    </w:p>
    <w:p w:rsidR="00A30BB7" w:rsidRPr="001468A1" w:rsidRDefault="00A30BB7"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t>Members are reminded of their statutory duty, in the exercise of their functions to have due regard to the need to</w:t>
      </w:r>
      <w:r w:rsidR="003E378D">
        <w:rPr>
          <w:rFonts w:ascii="Arial" w:hAnsi="Arial" w:cs="Arial"/>
        </w:rPr>
        <w:t>:</w:t>
      </w:r>
      <w:r w:rsidRPr="001468A1">
        <w:rPr>
          <w:rFonts w:ascii="Arial" w:hAnsi="Arial" w:cs="Arial"/>
        </w:rPr>
        <w:t xml:space="preserve"> </w:t>
      </w:r>
    </w:p>
    <w:p w:rsidR="003E378D" w:rsidRDefault="003E378D" w:rsidP="00984106">
      <w:pPr>
        <w:pStyle w:val="ListParagraph"/>
        <w:spacing w:after="0" w:line="240" w:lineRule="auto"/>
        <w:ind w:left="1701"/>
        <w:rPr>
          <w:rFonts w:ascii="Arial" w:eastAsia="Times New Roman" w:hAnsi="Arial" w:cs="Arial"/>
          <w:lang w:val="en" w:eastAsia="en-GB"/>
        </w:rPr>
      </w:pPr>
    </w:p>
    <w:p w:rsidR="00A30BB7" w:rsidRPr="001468A1" w:rsidRDefault="00A30BB7" w:rsidP="00984106">
      <w:pPr>
        <w:pStyle w:val="ListParagraph"/>
        <w:numPr>
          <w:ilvl w:val="1"/>
          <w:numId w:val="30"/>
        </w:numPr>
        <w:spacing w:after="0" w:line="240" w:lineRule="auto"/>
        <w:ind w:left="1134" w:hanging="567"/>
        <w:rPr>
          <w:rFonts w:ascii="Arial" w:eastAsia="Times New Roman" w:hAnsi="Arial" w:cs="Arial"/>
          <w:lang w:val="en" w:eastAsia="en-GB"/>
        </w:rPr>
      </w:pPr>
      <w:r w:rsidRPr="001468A1">
        <w:rPr>
          <w:rFonts w:ascii="Arial" w:eastAsia="Times New Roman" w:hAnsi="Arial" w:cs="Arial"/>
          <w:lang w:val="en" w:eastAsia="en-GB"/>
        </w:rPr>
        <w:t xml:space="preserve">Eliminate discrimination, harassment, </w:t>
      </w:r>
      <w:proofErr w:type="spellStart"/>
      <w:r w:rsidRPr="001468A1">
        <w:rPr>
          <w:rFonts w:ascii="Arial" w:eastAsia="Times New Roman" w:hAnsi="Arial" w:cs="Arial"/>
          <w:lang w:val="en" w:eastAsia="en-GB"/>
        </w:rPr>
        <w:t>victimisation</w:t>
      </w:r>
      <w:proofErr w:type="spellEnd"/>
      <w:r w:rsidRPr="001468A1">
        <w:rPr>
          <w:rFonts w:ascii="Arial" w:eastAsia="Times New Roman" w:hAnsi="Arial" w:cs="Arial"/>
          <w:lang w:val="en" w:eastAsia="en-GB"/>
        </w:rPr>
        <w:t xml:space="preserve"> and any other conduct that is prohibited by the Equality Act 2010;</w:t>
      </w:r>
    </w:p>
    <w:p w:rsidR="00A30BB7" w:rsidRPr="001468A1" w:rsidRDefault="00A30BB7" w:rsidP="009D7EE1">
      <w:pPr>
        <w:spacing w:after="0" w:line="240" w:lineRule="auto"/>
        <w:ind w:left="1134" w:hanging="567"/>
        <w:rPr>
          <w:rFonts w:ascii="Arial" w:eastAsia="Times New Roman" w:hAnsi="Arial" w:cs="Arial"/>
          <w:lang w:val="en" w:eastAsia="en-GB"/>
        </w:rPr>
      </w:pPr>
    </w:p>
    <w:p w:rsidR="00F06C66" w:rsidRPr="001468A1" w:rsidRDefault="00A30BB7" w:rsidP="00984106">
      <w:pPr>
        <w:pStyle w:val="ListParagraph"/>
        <w:numPr>
          <w:ilvl w:val="1"/>
          <w:numId w:val="30"/>
        </w:numPr>
        <w:spacing w:after="0" w:line="240" w:lineRule="auto"/>
        <w:ind w:left="1134" w:hanging="567"/>
        <w:jc w:val="both"/>
        <w:rPr>
          <w:rFonts w:ascii="Arial" w:hAnsi="Arial" w:cs="Arial"/>
        </w:rPr>
      </w:pPr>
      <w:r w:rsidRPr="001468A1">
        <w:rPr>
          <w:rFonts w:ascii="Arial" w:eastAsia="Times New Roman" w:hAnsi="Arial" w:cs="Arial"/>
          <w:lang w:val="en" w:eastAsia="en-GB"/>
        </w:rPr>
        <w:t>Advance equality of opportunity between persons who share a protected characteristic and persons who do not share it;</w:t>
      </w:r>
      <w:r w:rsidR="00F06C66" w:rsidRPr="001468A1">
        <w:rPr>
          <w:rFonts w:ascii="Arial" w:hAnsi="Arial" w:cs="Arial"/>
        </w:rPr>
        <w:t xml:space="preserve"> </w:t>
      </w:r>
    </w:p>
    <w:p w:rsidR="003E378D" w:rsidRPr="003E378D" w:rsidRDefault="003E378D" w:rsidP="00984106">
      <w:pPr>
        <w:pStyle w:val="ListParagraph"/>
        <w:spacing w:after="0" w:line="240" w:lineRule="auto"/>
        <w:ind w:left="1080"/>
        <w:jc w:val="both"/>
        <w:rPr>
          <w:rFonts w:ascii="Arial" w:hAnsi="Arial" w:cs="Arial"/>
        </w:rPr>
      </w:pPr>
    </w:p>
    <w:p w:rsidR="008D0AF1" w:rsidRPr="001468A1" w:rsidRDefault="008D0AF1"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lang w:val="en" w:eastAsia="en-GB"/>
        </w:rPr>
        <w:t xml:space="preserve">The </w:t>
      </w:r>
      <w:r w:rsidR="008D51BE">
        <w:rPr>
          <w:rFonts w:ascii="Arial" w:hAnsi="Arial" w:cs="Arial"/>
          <w:lang w:val="en" w:eastAsia="en-GB"/>
        </w:rPr>
        <w:t xml:space="preserve">Equality Act </w:t>
      </w:r>
      <w:r w:rsidRPr="001468A1">
        <w:rPr>
          <w:rFonts w:ascii="Arial" w:hAnsi="Arial" w:cs="Arial"/>
          <w:lang w:eastAsia="en-GB"/>
        </w:rPr>
        <w:t>h</w:t>
      </w:r>
      <w:r w:rsidRPr="001468A1">
        <w:rPr>
          <w:rFonts w:ascii="Arial" w:hAnsi="Arial" w:cs="Arial"/>
        </w:rPr>
        <w:t xml:space="preserve">as identified negative impact </w:t>
      </w:r>
      <w:r w:rsidR="0044163B" w:rsidRPr="001468A1">
        <w:rPr>
          <w:rFonts w:ascii="Arial" w:hAnsi="Arial" w:cs="Arial"/>
        </w:rPr>
        <w:t>in relation to the majority of p</w:t>
      </w:r>
      <w:r w:rsidRPr="001468A1">
        <w:rPr>
          <w:rFonts w:ascii="Arial" w:hAnsi="Arial" w:cs="Arial"/>
        </w:rPr>
        <w:t>rotected</w:t>
      </w:r>
      <w:r w:rsidR="0044163B" w:rsidRPr="001468A1">
        <w:rPr>
          <w:rFonts w:ascii="Arial" w:hAnsi="Arial" w:cs="Arial"/>
        </w:rPr>
        <w:t xml:space="preserve"> c</w:t>
      </w:r>
      <w:r w:rsidRPr="001468A1">
        <w:rPr>
          <w:rFonts w:ascii="Arial" w:hAnsi="Arial" w:cs="Arial"/>
        </w:rPr>
        <w:t>haracteristic groups.  This is because the changes would</w:t>
      </w:r>
      <w:r w:rsidR="00EB3772" w:rsidRPr="001468A1">
        <w:rPr>
          <w:rFonts w:ascii="Arial" w:hAnsi="Arial" w:cs="Arial"/>
        </w:rPr>
        <w:t>, in most cases,</w:t>
      </w:r>
      <w:r w:rsidRPr="001468A1">
        <w:rPr>
          <w:rFonts w:ascii="Arial" w:hAnsi="Arial" w:cs="Arial"/>
        </w:rPr>
        <w:t xml:space="preserve"> reduce entitlements.</w:t>
      </w:r>
    </w:p>
    <w:p w:rsidR="008D0AF1" w:rsidRPr="001468A1" w:rsidRDefault="008D0AF1" w:rsidP="00984106">
      <w:pPr>
        <w:spacing w:after="0" w:line="240" w:lineRule="auto"/>
        <w:ind w:left="567" w:hanging="567"/>
        <w:jc w:val="both"/>
        <w:rPr>
          <w:rFonts w:ascii="Arial" w:hAnsi="Arial" w:cs="Arial"/>
          <w:color w:val="000000"/>
        </w:rPr>
      </w:pPr>
    </w:p>
    <w:p w:rsidR="008D0AF1" w:rsidRPr="001468A1" w:rsidRDefault="008D0AF1" w:rsidP="00984106">
      <w:pPr>
        <w:pStyle w:val="ListParagraph"/>
        <w:numPr>
          <w:ilvl w:val="1"/>
          <w:numId w:val="38"/>
        </w:numPr>
        <w:spacing w:after="0" w:line="240" w:lineRule="auto"/>
        <w:ind w:left="567" w:hanging="567"/>
        <w:jc w:val="both"/>
        <w:rPr>
          <w:rFonts w:ascii="Arial" w:hAnsi="Arial" w:cs="Arial"/>
          <w:color w:val="000000"/>
        </w:rPr>
      </w:pPr>
      <w:r w:rsidRPr="001468A1">
        <w:rPr>
          <w:rFonts w:ascii="Arial" w:hAnsi="Arial" w:cs="Arial"/>
        </w:rPr>
        <w:t xml:space="preserve">This negative impact </w:t>
      </w:r>
      <w:r w:rsidR="0044163B" w:rsidRPr="001468A1">
        <w:rPr>
          <w:rFonts w:ascii="Arial" w:hAnsi="Arial" w:cs="Arial"/>
        </w:rPr>
        <w:t>will be greater for f</w:t>
      </w:r>
      <w:r w:rsidRPr="001468A1">
        <w:rPr>
          <w:rFonts w:ascii="Arial" w:hAnsi="Arial" w:cs="Arial"/>
        </w:rPr>
        <w:t>emales as the demographic of th</w:t>
      </w:r>
      <w:r w:rsidR="0044163B" w:rsidRPr="001468A1">
        <w:rPr>
          <w:rFonts w:ascii="Arial" w:hAnsi="Arial" w:cs="Arial"/>
        </w:rPr>
        <w:t>e current case load shows more females than m</w:t>
      </w:r>
      <w:r w:rsidRPr="001468A1">
        <w:rPr>
          <w:rFonts w:ascii="Arial" w:hAnsi="Arial" w:cs="Arial"/>
        </w:rPr>
        <w:t>ales i.e. 68% of the current case load are women.</w:t>
      </w:r>
    </w:p>
    <w:p w:rsidR="00F06C66" w:rsidRPr="001468A1" w:rsidRDefault="00F06C66" w:rsidP="00984106">
      <w:pPr>
        <w:pStyle w:val="ListParagraph"/>
        <w:spacing w:after="0" w:line="240" w:lineRule="auto"/>
        <w:ind w:left="567" w:hanging="567"/>
        <w:jc w:val="both"/>
        <w:rPr>
          <w:rFonts w:ascii="Arial" w:hAnsi="Arial" w:cs="Arial"/>
        </w:rPr>
      </w:pPr>
    </w:p>
    <w:p w:rsidR="00F06C66" w:rsidRPr="001468A1" w:rsidRDefault="00F06C66" w:rsidP="00984106">
      <w:pPr>
        <w:pStyle w:val="ListParagraph"/>
        <w:numPr>
          <w:ilvl w:val="1"/>
          <w:numId w:val="38"/>
        </w:numPr>
        <w:spacing w:after="0" w:line="240" w:lineRule="auto"/>
        <w:ind w:left="567" w:hanging="567"/>
        <w:jc w:val="both"/>
        <w:rPr>
          <w:rFonts w:ascii="Arial" w:hAnsi="Arial" w:cs="Arial"/>
        </w:rPr>
      </w:pPr>
      <w:r w:rsidRPr="001468A1">
        <w:rPr>
          <w:rFonts w:ascii="Arial" w:hAnsi="Arial" w:cs="Arial"/>
        </w:rPr>
        <w:t>A full equalities impact assessment has been undertaken and can be found in Appendix 3.</w:t>
      </w:r>
    </w:p>
    <w:p w:rsidR="003E378D" w:rsidRDefault="003E378D" w:rsidP="00984106">
      <w:pPr>
        <w:pStyle w:val="ListParagraph"/>
        <w:spacing w:after="0" w:line="240" w:lineRule="auto"/>
        <w:rPr>
          <w:rFonts w:ascii="Arial" w:hAnsi="Arial" w:cs="Arial"/>
          <w:b/>
        </w:rPr>
      </w:pPr>
    </w:p>
    <w:p w:rsidR="00A16616" w:rsidRPr="001468A1" w:rsidRDefault="003E378D" w:rsidP="00984106">
      <w:pPr>
        <w:pStyle w:val="ListParagraph"/>
        <w:numPr>
          <w:ilvl w:val="0"/>
          <w:numId w:val="37"/>
        </w:numPr>
        <w:spacing w:after="0" w:line="240" w:lineRule="auto"/>
        <w:ind w:left="567" w:hanging="567"/>
        <w:rPr>
          <w:rFonts w:ascii="Arial" w:hAnsi="Arial" w:cs="Arial"/>
          <w:b/>
        </w:rPr>
      </w:pPr>
      <w:r>
        <w:rPr>
          <w:rFonts w:ascii="Arial" w:hAnsi="Arial" w:cs="Arial"/>
          <w:b/>
        </w:rPr>
        <w:t>Recommendations</w:t>
      </w:r>
    </w:p>
    <w:p w:rsidR="003E378D" w:rsidRDefault="003E378D" w:rsidP="00984106">
      <w:pPr>
        <w:pStyle w:val="ListParagraph"/>
        <w:spacing w:after="0" w:line="240" w:lineRule="auto"/>
        <w:jc w:val="both"/>
        <w:rPr>
          <w:rFonts w:ascii="Arial" w:hAnsi="Arial" w:cs="Arial"/>
        </w:rPr>
      </w:pPr>
    </w:p>
    <w:p w:rsidR="006C1648" w:rsidRPr="003E378D" w:rsidRDefault="008D51BE" w:rsidP="00984106">
      <w:pPr>
        <w:pStyle w:val="ListParagraph"/>
        <w:numPr>
          <w:ilvl w:val="1"/>
          <w:numId w:val="37"/>
        </w:numPr>
        <w:spacing w:after="0" w:line="240" w:lineRule="auto"/>
        <w:ind w:left="567" w:hanging="567"/>
        <w:jc w:val="both"/>
        <w:rPr>
          <w:rFonts w:ascii="Arial" w:hAnsi="Arial" w:cs="Arial"/>
        </w:rPr>
      </w:pPr>
      <w:r>
        <w:rPr>
          <w:rFonts w:ascii="Arial" w:hAnsi="Arial" w:cs="Arial"/>
        </w:rPr>
        <w:t>F</w:t>
      </w:r>
      <w:r w:rsidR="004B123E" w:rsidRPr="001468A1">
        <w:rPr>
          <w:rFonts w:ascii="Arial" w:hAnsi="Arial" w:cs="Arial"/>
        </w:rPr>
        <w:t xml:space="preserve">ollowing consideration of all the information </w:t>
      </w:r>
      <w:r>
        <w:rPr>
          <w:rFonts w:ascii="Arial" w:hAnsi="Arial" w:cs="Arial"/>
        </w:rPr>
        <w:t xml:space="preserve">Members can </w:t>
      </w:r>
      <w:r w:rsidR="00576C57" w:rsidRPr="001468A1">
        <w:rPr>
          <w:rFonts w:ascii="Arial" w:hAnsi="Arial" w:cs="Arial"/>
        </w:rPr>
        <w:t>make any of the following decisions:</w:t>
      </w:r>
    </w:p>
    <w:p w:rsidR="00576C57" w:rsidRPr="001468A1" w:rsidRDefault="006F248C" w:rsidP="00984106">
      <w:pPr>
        <w:pStyle w:val="ListParagraph"/>
        <w:numPr>
          <w:ilvl w:val="0"/>
          <w:numId w:val="12"/>
        </w:numPr>
        <w:spacing w:after="0" w:line="240" w:lineRule="auto"/>
        <w:ind w:left="1134" w:hanging="567"/>
        <w:rPr>
          <w:rFonts w:ascii="Arial" w:hAnsi="Arial" w:cs="Arial"/>
        </w:rPr>
      </w:pPr>
      <w:r w:rsidRPr="001468A1">
        <w:rPr>
          <w:rFonts w:ascii="Arial" w:hAnsi="Arial" w:cs="Arial"/>
        </w:rPr>
        <w:t xml:space="preserve">maintain the current scheme, </w:t>
      </w:r>
      <w:r w:rsidR="00F14D5E" w:rsidRPr="001468A1">
        <w:rPr>
          <w:rFonts w:ascii="Arial" w:hAnsi="Arial" w:cs="Arial"/>
        </w:rPr>
        <w:t xml:space="preserve"> not make any changes</w:t>
      </w:r>
      <w:r w:rsidRPr="001468A1">
        <w:rPr>
          <w:rFonts w:ascii="Arial" w:hAnsi="Arial" w:cs="Arial"/>
        </w:rPr>
        <w:t xml:space="preserve"> and instruct officers to prepare a report for Council </w:t>
      </w:r>
      <w:r w:rsidR="00B04C0B" w:rsidRPr="001468A1">
        <w:rPr>
          <w:rFonts w:ascii="Arial" w:hAnsi="Arial" w:cs="Arial"/>
        </w:rPr>
        <w:t>to this effect</w:t>
      </w:r>
    </w:p>
    <w:p w:rsidR="0009651A" w:rsidRPr="001468A1" w:rsidRDefault="006F248C" w:rsidP="00984106">
      <w:pPr>
        <w:pStyle w:val="ListParagraph"/>
        <w:numPr>
          <w:ilvl w:val="0"/>
          <w:numId w:val="12"/>
        </w:numPr>
        <w:spacing w:after="0" w:line="240" w:lineRule="auto"/>
        <w:ind w:left="1134" w:hanging="567"/>
        <w:rPr>
          <w:rFonts w:ascii="Arial" w:hAnsi="Arial" w:cs="Arial"/>
        </w:rPr>
      </w:pPr>
      <w:r w:rsidRPr="001468A1">
        <w:rPr>
          <w:rFonts w:ascii="Arial" w:hAnsi="Arial" w:cs="Arial"/>
        </w:rPr>
        <w:t>change the current scheme, adopt all the proposed changes  and instruct officers to prepare a report for Council</w:t>
      </w:r>
      <w:r w:rsidR="00B04C0B" w:rsidRPr="001468A1">
        <w:rPr>
          <w:rFonts w:ascii="Arial" w:hAnsi="Arial" w:cs="Arial"/>
        </w:rPr>
        <w:t xml:space="preserve"> to this effect</w:t>
      </w:r>
    </w:p>
    <w:p w:rsidR="006F248C" w:rsidRPr="001468A1" w:rsidRDefault="006F248C" w:rsidP="00984106">
      <w:pPr>
        <w:pStyle w:val="ListParagraph"/>
        <w:numPr>
          <w:ilvl w:val="0"/>
          <w:numId w:val="12"/>
        </w:numPr>
        <w:spacing w:after="0" w:line="240" w:lineRule="auto"/>
        <w:ind w:left="1134" w:hanging="567"/>
        <w:rPr>
          <w:rFonts w:ascii="Arial" w:hAnsi="Arial" w:cs="Arial"/>
        </w:rPr>
      </w:pPr>
      <w:r w:rsidRPr="001468A1">
        <w:rPr>
          <w:rFonts w:ascii="Arial" w:hAnsi="Arial" w:cs="Arial"/>
        </w:rPr>
        <w:t xml:space="preserve">change the current scheme, adopt </w:t>
      </w:r>
      <w:r w:rsidR="00B04C0B" w:rsidRPr="001468A1">
        <w:rPr>
          <w:rFonts w:ascii="Arial" w:hAnsi="Arial" w:cs="Arial"/>
        </w:rPr>
        <w:t xml:space="preserve">some of the </w:t>
      </w:r>
      <w:r w:rsidR="004F6F12" w:rsidRPr="001468A1">
        <w:rPr>
          <w:rFonts w:ascii="Arial" w:hAnsi="Arial" w:cs="Arial"/>
        </w:rPr>
        <w:t xml:space="preserve">proposed </w:t>
      </w:r>
      <w:r w:rsidR="00B04C0B" w:rsidRPr="001468A1">
        <w:rPr>
          <w:rFonts w:ascii="Arial" w:hAnsi="Arial" w:cs="Arial"/>
        </w:rPr>
        <w:t>changes and instruct officers to prepare a report for council to this effect</w:t>
      </w:r>
    </w:p>
    <w:p w:rsidR="00654C20" w:rsidRPr="00654C20" w:rsidRDefault="00654C20" w:rsidP="00654C20">
      <w:pPr>
        <w:rPr>
          <w:rFonts w:ascii="Arial" w:hAnsi="Arial" w:cs="Arial"/>
        </w:rPr>
      </w:pPr>
    </w:p>
    <w:p w:rsidR="00782CC0" w:rsidRPr="001468A1" w:rsidRDefault="00782CC0" w:rsidP="00782CC0">
      <w:pPr>
        <w:tabs>
          <w:tab w:val="left" w:pos="1260"/>
          <w:tab w:val="left" w:pos="1980"/>
          <w:tab w:val="left" w:pos="2700"/>
          <w:tab w:val="left" w:pos="3420"/>
        </w:tabs>
        <w:spacing w:after="0" w:line="240" w:lineRule="auto"/>
        <w:jc w:val="both"/>
        <w:rPr>
          <w:rFonts w:ascii="Arial" w:eastAsia="Times New Roman" w:hAnsi="Arial" w:cs="Arial"/>
          <w:b/>
          <w:i/>
          <w:color w:val="FF0000"/>
          <w:lang w:eastAsia="en-GB"/>
        </w:rPr>
      </w:pPr>
      <w:r w:rsidRPr="001468A1">
        <w:rPr>
          <w:rFonts w:ascii="Arial" w:eastAsia="Times New Roman" w:hAnsi="Arial" w:cs="Arial"/>
          <w:lang w:eastAsia="en-GB"/>
        </w:rPr>
        <w:t>Report prepared by</w:t>
      </w:r>
      <w:r w:rsidRPr="001468A1">
        <w:rPr>
          <w:rFonts w:ascii="Arial" w:eastAsia="Times New Roman" w:hAnsi="Arial" w:cs="Arial"/>
          <w:lang w:eastAsia="en-GB"/>
        </w:rPr>
        <w:tab/>
      </w:r>
      <w:r w:rsidRPr="001468A1">
        <w:rPr>
          <w:rFonts w:ascii="Arial" w:eastAsia="Times New Roman" w:hAnsi="Arial" w:cs="Arial"/>
          <w:lang w:eastAsia="en-GB"/>
        </w:rPr>
        <w:tab/>
      </w:r>
      <w:r w:rsidR="004C3F27" w:rsidRPr="001468A1">
        <w:rPr>
          <w:rFonts w:ascii="Arial" w:eastAsia="Times New Roman" w:hAnsi="Arial" w:cs="Arial"/>
          <w:lang w:eastAsia="en-GB"/>
        </w:rPr>
        <w:t>Jude Green</w:t>
      </w:r>
      <w:r w:rsidRPr="001468A1">
        <w:rPr>
          <w:rFonts w:ascii="Arial" w:eastAsia="Times New Roman" w:hAnsi="Arial" w:cs="Arial"/>
          <w:color w:val="FF0000"/>
          <w:lang w:eastAsia="en-GB"/>
        </w:rPr>
        <w:fldChar w:fldCharType="begin"/>
      </w:r>
      <w:r w:rsidRPr="001468A1">
        <w:rPr>
          <w:rFonts w:ascii="Arial" w:eastAsia="Times New Roman" w:hAnsi="Arial" w:cs="Arial"/>
          <w:color w:val="FF0000"/>
          <w:lang w:eastAsia="en-GB"/>
        </w:rPr>
        <w:instrText xml:space="preserve">  </w:instrText>
      </w:r>
      <w:r w:rsidRPr="001468A1">
        <w:rPr>
          <w:rFonts w:ascii="Arial" w:eastAsia="Times New Roman" w:hAnsi="Arial" w:cs="Arial"/>
          <w:color w:val="FF0000"/>
          <w:lang w:eastAsia="en-GB"/>
        </w:rPr>
        <w:fldChar w:fldCharType="end"/>
      </w:r>
    </w:p>
    <w:p w:rsidR="00782CC0" w:rsidRPr="001468A1" w:rsidRDefault="00782CC0" w:rsidP="00E8633F">
      <w:pPr>
        <w:tabs>
          <w:tab w:val="left" w:pos="1260"/>
          <w:tab w:val="left" w:pos="1980"/>
          <w:tab w:val="left" w:pos="2700"/>
          <w:tab w:val="left" w:pos="3420"/>
        </w:tabs>
        <w:spacing w:after="0" w:line="240" w:lineRule="auto"/>
        <w:ind w:left="1253" w:hanging="1253"/>
        <w:jc w:val="both"/>
        <w:rPr>
          <w:rFonts w:ascii="Arial" w:eastAsia="Times New Roman" w:hAnsi="Arial" w:cs="Arial"/>
          <w:color w:val="FF0000"/>
          <w:lang w:eastAsia="en-GB"/>
        </w:rPr>
      </w:pPr>
      <w:r w:rsidRPr="001468A1">
        <w:rPr>
          <w:rFonts w:ascii="Arial" w:eastAsia="Times New Roman" w:hAnsi="Arial" w:cs="Arial"/>
          <w:lang w:eastAsia="en-GB"/>
        </w:rPr>
        <w:t>Data checked by</w:t>
      </w:r>
      <w:r w:rsidRPr="001468A1">
        <w:rPr>
          <w:rFonts w:ascii="Arial" w:eastAsia="Times New Roman" w:hAnsi="Arial" w:cs="Arial"/>
          <w:lang w:eastAsia="en-GB"/>
        </w:rPr>
        <w:tab/>
      </w:r>
      <w:r w:rsidRPr="001468A1">
        <w:rPr>
          <w:rFonts w:ascii="Arial" w:eastAsia="Times New Roman" w:hAnsi="Arial" w:cs="Arial"/>
          <w:lang w:eastAsia="en-GB"/>
        </w:rPr>
        <w:tab/>
      </w:r>
      <w:r w:rsidR="00AD0D5E" w:rsidRPr="001468A1">
        <w:rPr>
          <w:rFonts w:ascii="Arial" w:eastAsia="Times New Roman" w:hAnsi="Arial" w:cs="Arial"/>
          <w:lang w:eastAsia="en-GB"/>
        </w:rPr>
        <w:t>Joanne Wagstaffe</w:t>
      </w:r>
      <w:r w:rsidR="000D2871" w:rsidRPr="001468A1">
        <w:rPr>
          <w:rFonts w:ascii="Arial" w:eastAsia="Times New Roman" w:hAnsi="Arial" w:cs="Arial"/>
          <w:lang w:eastAsia="en-GB"/>
        </w:rPr>
        <w:t xml:space="preserve"> </w:t>
      </w:r>
      <w:r w:rsidR="00AD0D5E" w:rsidRPr="001468A1">
        <w:rPr>
          <w:rFonts w:ascii="Arial" w:eastAsia="Times New Roman" w:hAnsi="Arial" w:cs="Arial"/>
          <w:lang w:eastAsia="en-GB"/>
        </w:rPr>
        <w:t xml:space="preserve"> </w:t>
      </w:r>
    </w:p>
    <w:p w:rsidR="00782CC0" w:rsidRPr="001468A1" w:rsidRDefault="00782CC0" w:rsidP="00E8633F">
      <w:pPr>
        <w:tabs>
          <w:tab w:val="left" w:pos="1260"/>
          <w:tab w:val="left" w:pos="1980"/>
          <w:tab w:val="left" w:pos="2700"/>
          <w:tab w:val="left" w:pos="3420"/>
        </w:tabs>
        <w:spacing w:after="0" w:line="240" w:lineRule="auto"/>
        <w:ind w:left="1260" w:hanging="1260"/>
        <w:jc w:val="both"/>
        <w:rPr>
          <w:rFonts w:ascii="Arial" w:eastAsia="Times New Roman" w:hAnsi="Arial" w:cs="Arial"/>
          <w:b/>
          <w:i/>
          <w:color w:val="008000"/>
          <w:lang w:eastAsia="en-GB"/>
        </w:rPr>
      </w:pPr>
      <w:r w:rsidRPr="001468A1">
        <w:rPr>
          <w:rFonts w:ascii="Arial" w:eastAsia="Times New Roman" w:hAnsi="Arial" w:cs="Arial"/>
          <w:b/>
          <w:i/>
          <w:lang w:eastAsia="en-GB"/>
        </w:rPr>
        <w:tab/>
      </w:r>
    </w:p>
    <w:p w:rsidR="00782CC0" w:rsidRPr="001468A1" w:rsidRDefault="00DE1EEE" w:rsidP="00E8633F">
      <w:pPr>
        <w:tabs>
          <w:tab w:val="left" w:pos="1260"/>
          <w:tab w:val="left" w:pos="1980"/>
          <w:tab w:val="left" w:pos="2700"/>
          <w:tab w:val="left" w:pos="3420"/>
        </w:tabs>
        <w:spacing w:after="0" w:line="240" w:lineRule="auto"/>
        <w:ind w:left="1260" w:hanging="1260"/>
        <w:jc w:val="both"/>
        <w:rPr>
          <w:rFonts w:ascii="Arial" w:eastAsia="Times New Roman" w:hAnsi="Arial" w:cs="Arial"/>
          <w:b/>
          <w:lang w:eastAsia="en-GB"/>
        </w:rPr>
      </w:pPr>
      <w:r w:rsidRPr="001468A1">
        <w:rPr>
          <w:rFonts w:ascii="Arial" w:eastAsia="Times New Roman" w:hAnsi="Arial" w:cs="Arial"/>
          <w:b/>
          <w:lang w:eastAsia="en-GB"/>
        </w:rPr>
        <w:t>Appendices</w:t>
      </w:r>
    </w:p>
    <w:p w:rsidR="00782CC0" w:rsidRPr="001468A1" w:rsidRDefault="00782CC0" w:rsidP="00782CC0">
      <w:pPr>
        <w:tabs>
          <w:tab w:val="left" w:pos="1260"/>
          <w:tab w:val="left" w:pos="1980"/>
          <w:tab w:val="left" w:pos="2700"/>
          <w:tab w:val="left" w:pos="3420"/>
        </w:tabs>
        <w:spacing w:after="0" w:line="240" w:lineRule="auto"/>
        <w:jc w:val="both"/>
        <w:rPr>
          <w:rFonts w:ascii="Arial" w:eastAsia="Times New Roman" w:hAnsi="Arial" w:cs="Arial"/>
          <w:lang w:eastAsia="en-GB"/>
        </w:rPr>
      </w:pPr>
      <w:r w:rsidRPr="001468A1">
        <w:rPr>
          <w:rFonts w:ascii="Arial" w:eastAsia="Times New Roman" w:hAnsi="Arial" w:cs="Arial"/>
          <w:lang w:eastAsia="en-GB"/>
        </w:rPr>
        <w:t>Appendix 1</w:t>
      </w:r>
      <w:r w:rsidRPr="001468A1">
        <w:rPr>
          <w:rFonts w:ascii="Arial" w:eastAsia="Times New Roman" w:hAnsi="Arial" w:cs="Arial"/>
          <w:lang w:eastAsia="en-GB"/>
        </w:rPr>
        <w:tab/>
        <w:t>-</w:t>
      </w:r>
      <w:r w:rsidRPr="001468A1">
        <w:rPr>
          <w:rFonts w:ascii="Arial" w:eastAsia="Times New Roman" w:hAnsi="Arial" w:cs="Arial"/>
          <w:lang w:eastAsia="en-GB"/>
        </w:rPr>
        <w:tab/>
      </w:r>
      <w:r w:rsidR="0089630F" w:rsidRPr="001468A1">
        <w:rPr>
          <w:rFonts w:ascii="Arial" w:eastAsia="Times New Roman" w:hAnsi="Arial" w:cs="Arial"/>
          <w:lang w:eastAsia="en-GB"/>
        </w:rPr>
        <w:t>Consultation summary report</w:t>
      </w:r>
    </w:p>
    <w:p w:rsidR="00DE1EEE" w:rsidRPr="001468A1" w:rsidRDefault="00DE1EEE" w:rsidP="00782CC0">
      <w:pPr>
        <w:tabs>
          <w:tab w:val="left" w:pos="1260"/>
          <w:tab w:val="left" w:pos="1980"/>
          <w:tab w:val="left" w:pos="2700"/>
          <w:tab w:val="left" w:pos="3420"/>
        </w:tabs>
        <w:spacing w:after="0" w:line="240" w:lineRule="auto"/>
        <w:jc w:val="both"/>
        <w:rPr>
          <w:rFonts w:ascii="Arial" w:eastAsia="Times New Roman" w:hAnsi="Arial" w:cs="Arial"/>
          <w:lang w:eastAsia="en-GB"/>
        </w:rPr>
      </w:pPr>
      <w:r w:rsidRPr="001468A1">
        <w:rPr>
          <w:rFonts w:ascii="Arial" w:eastAsia="Times New Roman" w:hAnsi="Arial" w:cs="Arial"/>
          <w:lang w:eastAsia="en-GB"/>
        </w:rPr>
        <w:t>Appendix 2</w:t>
      </w:r>
      <w:r w:rsidRPr="001468A1">
        <w:rPr>
          <w:rFonts w:ascii="Arial" w:eastAsia="Times New Roman" w:hAnsi="Arial" w:cs="Arial"/>
          <w:lang w:eastAsia="en-GB"/>
        </w:rPr>
        <w:tab/>
        <w:t>-</w:t>
      </w:r>
      <w:r w:rsidRPr="001468A1">
        <w:rPr>
          <w:rFonts w:ascii="Arial" w:eastAsia="Times New Roman" w:hAnsi="Arial" w:cs="Arial"/>
          <w:lang w:eastAsia="en-GB"/>
        </w:rPr>
        <w:tab/>
        <w:t>Modelling report</w:t>
      </w:r>
    </w:p>
    <w:p w:rsidR="006F248C" w:rsidRPr="001468A1" w:rsidRDefault="007E6EA6" w:rsidP="00782CC0">
      <w:pPr>
        <w:tabs>
          <w:tab w:val="left" w:pos="1260"/>
          <w:tab w:val="left" w:pos="1980"/>
          <w:tab w:val="left" w:pos="2700"/>
          <w:tab w:val="left" w:pos="3420"/>
        </w:tabs>
        <w:spacing w:after="0" w:line="240" w:lineRule="auto"/>
        <w:jc w:val="both"/>
        <w:rPr>
          <w:rFonts w:ascii="Arial" w:eastAsia="Times New Roman" w:hAnsi="Arial" w:cs="Arial"/>
          <w:lang w:eastAsia="en-GB"/>
        </w:rPr>
      </w:pPr>
      <w:r w:rsidRPr="001468A1">
        <w:rPr>
          <w:rFonts w:ascii="Arial" w:eastAsia="Times New Roman" w:hAnsi="Arial" w:cs="Arial"/>
          <w:lang w:eastAsia="en-GB"/>
        </w:rPr>
        <w:t>Appendix 3</w:t>
      </w:r>
      <w:r w:rsidR="006F248C" w:rsidRPr="001468A1">
        <w:rPr>
          <w:rFonts w:ascii="Arial" w:eastAsia="Times New Roman" w:hAnsi="Arial" w:cs="Arial"/>
          <w:lang w:eastAsia="en-GB"/>
        </w:rPr>
        <w:t xml:space="preserve"> </w:t>
      </w:r>
      <w:r w:rsidR="006F248C" w:rsidRPr="001468A1">
        <w:rPr>
          <w:rFonts w:ascii="Arial" w:eastAsia="Times New Roman" w:hAnsi="Arial" w:cs="Arial"/>
          <w:lang w:eastAsia="en-GB"/>
        </w:rPr>
        <w:tab/>
        <w:t xml:space="preserve">- </w:t>
      </w:r>
      <w:r w:rsidR="006F248C" w:rsidRPr="001468A1">
        <w:rPr>
          <w:rFonts w:ascii="Arial" w:eastAsia="Times New Roman" w:hAnsi="Arial" w:cs="Arial"/>
          <w:lang w:eastAsia="en-GB"/>
        </w:rPr>
        <w:tab/>
      </w:r>
      <w:r w:rsidR="00D50FB5" w:rsidRPr="001468A1">
        <w:rPr>
          <w:rFonts w:ascii="Arial" w:eastAsia="Times New Roman" w:hAnsi="Arial" w:cs="Arial"/>
          <w:lang w:eastAsia="en-GB"/>
        </w:rPr>
        <w:t>Equalities Impact Assessment</w:t>
      </w:r>
    </w:p>
    <w:p w:rsidR="00782CC0" w:rsidRPr="001468A1" w:rsidRDefault="007E6EA6" w:rsidP="00E8633F">
      <w:pPr>
        <w:tabs>
          <w:tab w:val="left" w:pos="1260"/>
          <w:tab w:val="left" w:pos="1980"/>
          <w:tab w:val="left" w:pos="2700"/>
          <w:tab w:val="left" w:pos="3420"/>
        </w:tabs>
        <w:spacing w:before="120" w:after="120" w:line="240" w:lineRule="auto"/>
        <w:jc w:val="both"/>
        <w:rPr>
          <w:rFonts w:ascii="Arial" w:hAnsi="Arial" w:cs="Arial"/>
        </w:rPr>
      </w:pPr>
      <w:r w:rsidRPr="001468A1">
        <w:rPr>
          <w:rFonts w:ascii="Arial" w:eastAsia="Times New Roman" w:hAnsi="Arial" w:cs="Arial"/>
          <w:b/>
          <w:lang w:eastAsia="en-GB"/>
        </w:rPr>
        <w:t>Background Papers</w:t>
      </w:r>
      <w:r w:rsidR="00E8633F">
        <w:rPr>
          <w:rFonts w:ascii="Arial" w:eastAsia="Times New Roman" w:hAnsi="Arial" w:cs="Arial"/>
          <w:b/>
          <w:lang w:eastAsia="en-GB"/>
        </w:rPr>
        <w:t xml:space="preserve"> - </w:t>
      </w:r>
      <w:r w:rsidRPr="001468A1">
        <w:rPr>
          <w:rFonts w:ascii="Arial" w:eastAsia="Times New Roman" w:hAnsi="Arial" w:cs="Arial"/>
          <w:lang w:eastAsia="en-GB"/>
        </w:rPr>
        <w:t>Consultation document</w:t>
      </w:r>
      <w:bookmarkStart w:id="0" w:name="_GoBack"/>
      <w:bookmarkEnd w:id="0"/>
    </w:p>
    <w:sectPr w:rsidR="00782CC0" w:rsidRPr="00146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D89"/>
    <w:multiLevelType w:val="hybridMultilevel"/>
    <w:tmpl w:val="CA26D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960CED"/>
    <w:multiLevelType w:val="multilevel"/>
    <w:tmpl w:val="2F30C73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B85121"/>
    <w:multiLevelType w:val="multilevel"/>
    <w:tmpl w:val="57CC98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E64F70"/>
    <w:multiLevelType w:val="hybridMultilevel"/>
    <w:tmpl w:val="A14A1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013919"/>
    <w:multiLevelType w:val="multilevel"/>
    <w:tmpl w:val="2C4E0B6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55DAF"/>
    <w:multiLevelType w:val="hybridMultilevel"/>
    <w:tmpl w:val="AEF20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3D4532"/>
    <w:multiLevelType w:val="hybridMultilevel"/>
    <w:tmpl w:val="A56461E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7CB0248"/>
    <w:multiLevelType w:val="hybridMultilevel"/>
    <w:tmpl w:val="8B026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C02DB"/>
    <w:multiLevelType w:val="singleLevel"/>
    <w:tmpl w:val="68143066"/>
    <w:lvl w:ilvl="0">
      <w:start w:val="1"/>
      <w:numFmt w:val="decimal"/>
      <w:pStyle w:val="listno"/>
      <w:lvlText w:val="%1"/>
      <w:lvlJc w:val="left"/>
      <w:pPr>
        <w:tabs>
          <w:tab w:val="num" w:pos="360"/>
        </w:tabs>
        <w:ind w:left="360" w:hanging="360"/>
      </w:pPr>
    </w:lvl>
  </w:abstractNum>
  <w:abstractNum w:abstractNumId="9">
    <w:nsid w:val="1ECB7F59"/>
    <w:multiLevelType w:val="hybridMultilevel"/>
    <w:tmpl w:val="BB4E13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C5044C"/>
    <w:multiLevelType w:val="hybridMultilevel"/>
    <w:tmpl w:val="03A65FC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E970181"/>
    <w:multiLevelType w:val="hybridMultilevel"/>
    <w:tmpl w:val="B534296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ED559CC"/>
    <w:multiLevelType w:val="hybridMultilevel"/>
    <w:tmpl w:val="25F0D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271273"/>
    <w:multiLevelType w:val="hybridMultilevel"/>
    <w:tmpl w:val="FF3AF2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353214"/>
    <w:multiLevelType w:val="hybridMultilevel"/>
    <w:tmpl w:val="C4C0B4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D662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EA248E"/>
    <w:multiLevelType w:val="hybridMultilevel"/>
    <w:tmpl w:val="3A4E453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1C571D6"/>
    <w:multiLevelType w:val="multilevel"/>
    <w:tmpl w:val="F2961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CC265F"/>
    <w:multiLevelType w:val="multilevel"/>
    <w:tmpl w:val="E29CFA5C"/>
    <w:lvl w:ilvl="0">
      <w:start w:val="2"/>
      <w:numFmt w:val="none"/>
      <w:lvlText w:val="3.5"/>
      <w:lvlJc w:val="left"/>
      <w:pPr>
        <w:ind w:left="1211" w:hanging="360"/>
      </w:pPr>
      <w:rPr>
        <w:rFonts w:hint="default"/>
      </w:rPr>
    </w:lvl>
    <w:lvl w:ilvl="1">
      <w:start w:val="1"/>
      <w:numFmt w:val="decimal"/>
      <w:lvlText w:val="%2%1.4.3"/>
      <w:lvlJc w:val="left"/>
      <w:pPr>
        <w:ind w:left="792" w:hanging="432"/>
      </w:pPr>
      <w:rPr>
        <w:rFonts w:hint="default"/>
      </w:rPr>
    </w:lvl>
    <w:lvl w:ilvl="2">
      <w:start w:val="1"/>
      <w:numFmt w:val="decimal"/>
      <w:lvlText w:val="%13.4.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F64DE2"/>
    <w:multiLevelType w:val="multilevel"/>
    <w:tmpl w:val="048A5B68"/>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FB81A02"/>
    <w:multiLevelType w:val="hybridMultilevel"/>
    <w:tmpl w:val="FA763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C40267"/>
    <w:multiLevelType w:val="hybridMultilevel"/>
    <w:tmpl w:val="9EA6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6D4068"/>
    <w:multiLevelType w:val="hybridMultilevel"/>
    <w:tmpl w:val="4D3095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74519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D392977"/>
    <w:multiLevelType w:val="hybridMultilevel"/>
    <w:tmpl w:val="C6DA1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B0C07"/>
    <w:multiLevelType w:val="hybridMultilevel"/>
    <w:tmpl w:val="3E443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565DA3"/>
    <w:multiLevelType w:val="multilevel"/>
    <w:tmpl w:val="0AA0180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F7256FF"/>
    <w:multiLevelType w:val="hybridMultilevel"/>
    <w:tmpl w:val="7218A0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4507E2"/>
    <w:multiLevelType w:val="multilevel"/>
    <w:tmpl w:val="BA8AB796"/>
    <w:lvl w:ilvl="0">
      <w:start w:val="2"/>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B25E46"/>
    <w:multiLevelType w:val="hybridMultilevel"/>
    <w:tmpl w:val="D5C69C7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E8946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B02B4D"/>
    <w:multiLevelType w:val="multilevel"/>
    <w:tmpl w:val="DDB2B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1C2C1E"/>
    <w:multiLevelType w:val="hybridMultilevel"/>
    <w:tmpl w:val="5A1E8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F33A0B"/>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1A6D25"/>
    <w:multiLevelType w:val="hybridMultilevel"/>
    <w:tmpl w:val="D8A4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AC4D13"/>
    <w:multiLevelType w:val="hybridMultilevel"/>
    <w:tmpl w:val="261449A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1"/>
  </w:num>
  <w:num w:numId="3">
    <w:abstractNumId w:val="3"/>
  </w:num>
  <w:num w:numId="4">
    <w:abstractNumId w:val="0"/>
  </w:num>
  <w:num w:numId="5">
    <w:abstractNumId w:val="2"/>
  </w:num>
  <w:num w:numId="6">
    <w:abstractNumId w:val="34"/>
  </w:num>
  <w:num w:numId="7">
    <w:abstractNumId w:val="26"/>
  </w:num>
  <w:num w:numId="8">
    <w:abstractNumId w:val="28"/>
  </w:num>
  <w:num w:numId="9">
    <w:abstractNumId w:val="24"/>
  </w:num>
  <w:num w:numId="10">
    <w:abstractNumId w:val="5"/>
  </w:num>
  <w:num w:numId="11">
    <w:abstractNumId w:val="32"/>
  </w:num>
  <w:num w:numId="12">
    <w:abstractNumId w:val="25"/>
  </w:num>
  <w:num w:numId="13">
    <w:abstractNumId w:val="14"/>
  </w:num>
  <w:num w:numId="14">
    <w:abstractNumId w:val="9"/>
  </w:num>
  <w:num w:numId="15">
    <w:abstractNumId w:val="20"/>
  </w:num>
  <w:num w:numId="16">
    <w:abstractNumId w:val="29"/>
  </w:num>
  <w:num w:numId="17">
    <w:abstractNumId w:val="35"/>
  </w:num>
  <w:num w:numId="18">
    <w:abstractNumId w:val="13"/>
  </w:num>
  <w:num w:numId="19">
    <w:abstractNumId w:val="22"/>
  </w:num>
  <w:num w:numId="20">
    <w:abstractNumId w:val="27"/>
  </w:num>
  <w:num w:numId="21">
    <w:abstractNumId w:val="10"/>
  </w:num>
  <w:num w:numId="22">
    <w:abstractNumId w:val="6"/>
  </w:num>
  <w:num w:numId="23">
    <w:abstractNumId w:val="21"/>
  </w:num>
  <w:num w:numId="24">
    <w:abstractNumId w:val="8"/>
  </w:num>
  <w:num w:numId="25">
    <w:abstractNumId w:val="16"/>
  </w:num>
  <w:num w:numId="26">
    <w:abstractNumId w:val="8"/>
    <w:lvlOverride w:ilvl="0">
      <w:startOverride w:val="1"/>
    </w:lvlOverride>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9"/>
  </w:num>
  <w:num w:numId="30">
    <w:abstractNumId w:val="11"/>
  </w:num>
  <w:num w:numId="31">
    <w:abstractNumId w:val="30"/>
  </w:num>
  <w:num w:numId="32">
    <w:abstractNumId w:val="15"/>
  </w:num>
  <w:num w:numId="33">
    <w:abstractNumId w:val="33"/>
  </w:num>
  <w:num w:numId="34">
    <w:abstractNumId w:val="4"/>
  </w:num>
  <w:num w:numId="35">
    <w:abstractNumId w:val="23"/>
  </w:num>
  <w:num w:numId="36">
    <w:abstractNumId w:val="18"/>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6E"/>
    <w:rsid w:val="00070BE6"/>
    <w:rsid w:val="0009651A"/>
    <w:rsid w:val="000B529C"/>
    <w:rsid w:val="000D2871"/>
    <w:rsid w:val="000D2975"/>
    <w:rsid w:val="000F5E35"/>
    <w:rsid w:val="000F766E"/>
    <w:rsid w:val="00135981"/>
    <w:rsid w:val="0013727D"/>
    <w:rsid w:val="001468A1"/>
    <w:rsid w:val="001634F4"/>
    <w:rsid w:val="0017039B"/>
    <w:rsid w:val="001D3049"/>
    <w:rsid w:val="001E1CB1"/>
    <w:rsid w:val="00203FC1"/>
    <w:rsid w:val="0020577D"/>
    <w:rsid w:val="00230761"/>
    <w:rsid w:val="00252BC3"/>
    <w:rsid w:val="002C34CB"/>
    <w:rsid w:val="002C65B1"/>
    <w:rsid w:val="0030369E"/>
    <w:rsid w:val="00333A85"/>
    <w:rsid w:val="00380F68"/>
    <w:rsid w:val="003832FB"/>
    <w:rsid w:val="003C3256"/>
    <w:rsid w:val="003E2D7A"/>
    <w:rsid w:val="003E378D"/>
    <w:rsid w:val="0044163B"/>
    <w:rsid w:val="004B123E"/>
    <w:rsid w:val="004B4DAB"/>
    <w:rsid w:val="004C3F27"/>
    <w:rsid w:val="004C51ED"/>
    <w:rsid w:val="004F6F12"/>
    <w:rsid w:val="00502D89"/>
    <w:rsid w:val="005241AF"/>
    <w:rsid w:val="00530604"/>
    <w:rsid w:val="00563AB0"/>
    <w:rsid w:val="0057301E"/>
    <w:rsid w:val="00576C57"/>
    <w:rsid w:val="00577F8D"/>
    <w:rsid w:val="005836DB"/>
    <w:rsid w:val="005845A1"/>
    <w:rsid w:val="005908B4"/>
    <w:rsid w:val="005A5225"/>
    <w:rsid w:val="005B378A"/>
    <w:rsid w:val="005C0FE3"/>
    <w:rsid w:val="006068DE"/>
    <w:rsid w:val="0063711A"/>
    <w:rsid w:val="00654C20"/>
    <w:rsid w:val="006B043C"/>
    <w:rsid w:val="006C1648"/>
    <w:rsid w:val="006F248C"/>
    <w:rsid w:val="00732CA6"/>
    <w:rsid w:val="00747F48"/>
    <w:rsid w:val="0076534C"/>
    <w:rsid w:val="00782CC0"/>
    <w:rsid w:val="007E2818"/>
    <w:rsid w:val="007E301F"/>
    <w:rsid w:val="007E5602"/>
    <w:rsid w:val="007E6EA6"/>
    <w:rsid w:val="007F7DC8"/>
    <w:rsid w:val="0084621B"/>
    <w:rsid w:val="00856636"/>
    <w:rsid w:val="00882B29"/>
    <w:rsid w:val="00887FA7"/>
    <w:rsid w:val="00893775"/>
    <w:rsid w:val="0089630F"/>
    <w:rsid w:val="008D0AF1"/>
    <w:rsid w:val="008D51BE"/>
    <w:rsid w:val="00961A9B"/>
    <w:rsid w:val="00984106"/>
    <w:rsid w:val="009A398C"/>
    <w:rsid w:val="009C577B"/>
    <w:rsid w:val="009C783C"/>
    <w:rsid w:val="009D7AC6"/>
    <w:rsid w:val="009D7EE1"/>
    <w:rsid w:val="00A0187D"/>
    <w:rsid w:val="00A16616"/>
    <w:rsid w:val="00A30BB7"/>
    <w:rsid w:val="00A563DD"/>
    <w:rsid w:val="00A70581"/>
    <w:rsid w:val="00A93A5D"/>
    <w:rsid w:val="00AD0D5E"/>
    <w:rsid w:val="00B01A1B"/>
    <w:rsid w:val="00B04903"/>
    <w:rsid w:val="00B04C0B"/>
    <w:rsid w:val="00B07A0C"/>
    <w:rsid w:val="00B221BC"/>
    <w:rsid w:val="00B37617"/>
    <w:rsid w:val="00B445F4"/>
    <w:rsid w:val="00B7667B"/>
    <w:rsid w:val="00BA5831"/>
    <w:rsid w:val="00BC2863"/>
    <w:rsid w:val="00BC28A8"/>
    <w:rsid w:val="00BE0F2C"/>
    <w:rsid w:val="00BF0072"/>
    <w:rsid w:val="00C10FA4"/>
    <w:rsid w:val="00C2305F"/>
    <w:rsid w:val="00C43BF3"/>
    <w:rsid w:val="00C75041"/>
    <w:rsid w:val="00C935E5"/>
    <w:rsid w:val="00CA18DB"/>
    <w:rsid w:val="00CB0E27"/>
    <w:rsid w:val="00D14A25"/>
    <w:rsid w:val="00D50FB5"/>
    <w:rsid w:val="00D766BB"/>
    <w:rsid w:val="00D86247"/>
    <w:rsid w:val="00DA5473"/>
    <w:rsid w:val="00DA58C6"/>
    <w:rsid w:val="00DE1EEE"/>
    <w:rsid w:val="00E0243D"/>
    <w:rsid w:val="00E06CB2"/>
    <w:rsid w:val="00E41E12"/>
    <w:rsid w:val="00E560BD"/>
    <w:rsid w:val="00E8633F"/>
    <w:rsid w:val="00EB3772"/>
    <w:rsid w:val="00EE6F8F"/>
    <w:rsid w:val="00F04D71"/>
    <w:rsid w:val="00F06C66"/>
    <w:rsid w:val="00F14BB5"/>
    <w:rsid w:val="00F14D5E"/>
    <w:rsid w:val="00F74C43"/>
    <w:rsid w:val="00F902EF"/>
    <w:rsid w:val="00FD40C2"/>
    <w:rsid w:val="00FF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6E"/>
    <w:pPr>
      <w:ind w:left="720"/>
      <w:contextualSpacing/>
    </w:pPr>
  </w:style>
  <w:style w:type="table" w:styleId="TableGrid">
    <w:name w:val="Table Grid"/>
    <w:basedOn w:val="TableNormal"/>
    <w:uiPriority w:val="59"/>
    <w:rsid w:val="00A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C"/>
    <w:rPr>
      <w:rFonts w:ascii="Tahoma" w:hAnsi="Tahoma" w:cs="Tahoma"/>
      <w:sz w:val="16"/>
      <w:szCs w:val="16"/>
    </w:rPr>
  </w:style>
  <w:style w:type="paragraph" w:customStyle="1" w:styleId="listno">
    <w:name w:val="list no"/>
    <w:basedOn w:val="Normal"/>
    <w:rsid w:val="0076534C"/>
    <w:pPr>
      <w:numPr>
        <w:numId w:val="24"/>
      </w:numPr>
      <w:tabs>
        <w:tab w:val="clear" w:pos="360"/>
        <w:tab w:val="left" w:pos="709"/>
      </w:tabs>
      <w:spacing w:after="240" w:line="240" w:lineRule="auto"/>
      <w:ind w:left="0" w:firstLine="0"/>
    </w:pPr>
    <w:rPr>
      <w:rFonts w:ascii="Arial" w:eastAsia="Times New Roman" w:hAnsi="Arial" w:cs="Times New Roman"/>
      <w:sz w:val="24"/>
      <w:szCs w:val="20"/>
    </w:rPr>
  </w:style>
  <w:style w:type="character" w:customStyle="1" w:styleId="Bold">
    <w:name w:val="Bold"/>
    <w:rsid w:val="00DA58C6"/>
    <w:rPr>
      <w:rFonts w:ascii="Arial" w:hAnsi="Arial" w:cs="Arial" w:hint="default"/>
      <w:b/>
      <w:bCs w:val="0"/>
      <w:color w:val="auto"/>
      <w:sz w:val="24"/>
    </w:rPr>
  </w:style>
  <w:style w:type="paragraph" w:styleId="BodyText">
    <w:name w:val="Body Text"/>
    <w:basedOn w:val="Normal"/>
    <w:link w:val="BodyTextChar"/>
    <w:rsid w:val="00EB377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B3772"/>
    <w:rPr>
      <w:rFonts w:ascii="Arial" w:eastAsia="Times New Roman" w:hAnsi="Arial" w:cs="Times New Roman"/>
      <w:spacing w:val="-5"/>
      <w:sz w:val="20"/>
      <w:szCs w:val="20"/>
    </w:rPr>
  </w:style>
  <w:style w:type="numbering" w:customStyle="1" w:styleId="Style1">
    <w:name w:val="Style1"/>
    <w:uiPriority w:val="99"/>
    <w:rsid w:val="00070BE6"/>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6E"/>
    <w:pPr>
      <w:ind w:left="720"/>
      <w:contextualSpacing/>
    </w:pPr>
  </w:style>
  <w:style w:type="table" w:styleId="TableGrid">
    <w:name w:val="Table Grid"/>
    <w:basedOn w:val="TableNormal"/>
    <w:uiPriority w:val="59"/>
    <w:rsid w:val="00A1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0C"/>
    <w:rPr>
      <w:rFonts w:ascii="Tahoma" w:hAnsi="Tahoma" w:cs="Tahoma"/>
      <w:sz w:val="16"/>
      <w:szCs w:val="16"/>
    </w:rPr>
  </w:style>
  <w:style w:type="paragraph" w:customStyle="1" w:styleId="listno">
    <w:name w:val="list no"/>
    <w:basedOn w:val="Normal"/>
    <w:rsid w:val="0076534C"/>
    <w:pPr>
      <w:numPr>
        <w:numId w:val="24"/>
      </w:numPr>
      <w:tabs>
        <w:tab w:val="clear" w:pos="360"/>
        <w:tab w:val="left" w:pos="709"/>
      </w:tabs>
      <w:spacing w:after="240" w:line="240" w:lineRule="auto"/>
      <w:ind w:left="0" w:firstLine="0"/>
    </w:pPr>
    <w:rPr>
      <w:rFonts w:ascii="Arial" w:eastAsia="Times New Roman" w:hAnsi="Arial" w:cs="Times New Roman"/>
      <w:sz w:val="24"/>
      <w:szCs w:val="20"/>
    </w:rPr>
  </w:style>
  <w:style w:type="character" w:customStyle="1" w:styleId="Bold">
    <w:name w:val="Bold"/>
    <w:rsid w:val="00DA58C6"/>
    <w:rPr>
      <w:rFonts w:ascii="Arial" w:hAnsi="Arial" w:cs="Arial" w:hint="default"/>
      <w:b/>
      <w:bCs w:val="0"/>
      <w:color w:val="auto"/>
      <w:sz w:val="24"/>
    </w:rPr>
  </w:style>
  <w:style w:type="paragraph" w:styleId="BodyText">
    <w:name w:val="Body Text"/>
    <w:basedOn w:val="Normal"/>
    <w:link w:val="BodyTextChar"/>
    <w:rsid w:val="00EB3772"/>
    <w:pPr>
      <w:spacing w:after="240" w:line="240" w:lineRule="atLeast"/>
      <w:ind w:left="1080"/>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B3772"/>
    <w:rPr>
      <w:rFonts w:ascii="Arial" w:eastAsia="Times New Roman" w:hAnsi="Arial" w:cs="Times New Roman"/>
      <w:spacing w:val="-5"/>
      <w:sz w:val="20"/>
      <w:szCs w:val="20"/>
    </w:rPr>
  </w:style>
  <w:style w:type="numbering" w:customStyle="1" w:styleId="Style1">
    <w:name w:val="Style1"/>
    <w:uiPriority w:val="99"/>
    <w:rsid w:val="00070BE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8848">
      <w:bodyDiv w:val="1"/>
      <w:marLeft w:val="0"/>
      <w:marRight w:val="0"/>
      <w:marTop w:val="0"/>
      <w:marBottom w:val="0"/>
      <w:divBdr>
        <w:top w:val="none" w:sz="0" w:space="0" w:color="auto"/>
        <w:left w:val="none" w:sz="0" w:space="0" w:color="auto"/>
        <w:bottom w:val="none" w:sz="0" w:space="0" w:color="auto"/>
        <w:right w:val="none" w:sz="0" w:space="0" w:color="auto"/>
      </w:divBdr>
    </w:div>
    <w:div w:id="14648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Sheet1!$A$2:$A$5</c:f>
              <c:strCache>
                <c:ptCount val="4"/>
                <c:pt idx="0">
                  <c:v>Adopt new rules</c:v>
                </c:pt>
                <c:pt idx="1">
                  <c:v>No change</c:v>
                </c:pt>
                <c:pt idx="2">
                  <c:v>No opinion</c:v>
                </c:pt>
                <c:pt idx="3">
                  <c:v>Alternative</c:v>
                </c:pt>
              </c:strCache>
            </c:strRef>
          </c:cat>
          <c:val>
            <c:numRef>
              <c:f>Sheet1!$B$2:$B$5</c:f>
              <c:numCache>
                <c:formatCode>0%</c:formatCode>
                <c:ptCount val="4"/>
                <c:pt idx="0">
                  <c:v>0.48</c:v>
                </c:pt>
                <c:pt idx="1">
                  <c:v>0.36</c:v>
                </c:pt>
                <c:pt idx="2">
                  <c:v>0.12</c:v>
                </c:pt>
                <c:pt idx="3">
                  <c:v>0.04</c:v>
                </c:pt>
              </c:numCache>
            </c:numRef>
          </c:val>
        </c:ser>
        <c:dLbls>
          <c:showLegendKey val="0"/>
          <c:showVal val="0"/>
          <c:showCatName val="0"/>
          <c:showSerName val="0"/>
          <c:showPercent val="0"/>
          <c:showBubbleSize val="0"/>
        </c:dLbls>
        <c:gapWidth val="150"/>
        <c:axId val="123693056"/>
        <c:axId val="125060224"/>
      </c:barChart>
      <c:catAx>
        <c:axId val="123693056"/>
        <c:scaling>
          <c:orientation val="minMax"/>
        </c:scaling>
        <c:delete val="0"/>
        <c:axPos val="b"/>
        <c:majorTickMark val="out"/>
        <c:minorTickMark val="none"/>
        <c:tickLblPos val="nextTo"/>
        <c:crossAx val="125060224"/>
        <c:crosses val="autoZero"/>
        <c:auto val="1"/>
        <c:lblAlgn val="ctr"/>
        <c:lblOffset val="100"/>
        <c:noMultiLvlLbl val="0"/>
      </c:catAx>
      <c:valAx>
        <c:axId val="125060224"/>
        <c:scaling>
          <c:orientation val="minMax"/>
        </c:scaling>
        <c:delete val="0"/>
        <c:axPos val="l"/>
        <c:majorGridlines>
          <c:spPr>
            <a:ln>
              <a:noFill/>
            </a:ln>
          </c:spPr>
        </c:majorGridlines>
        <c:numFmt formatCode="0%" sourceLinked="1"/>
        <c:majorTickMark val="out"/>
        <c:minorTickMark val="none"/>
        <c:tickLblPos val="nextTo"/>
        <c:crossAx val="1236930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F5A3-9534-43DA-A6CE-C8172B4D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Della-Sala</dc:creator>
  <cp:lastModifiedBy>Sarah Haythorpe</cp:lastModifiedBy>
  <cp:revision>42</cp:revision>
  <cp:lastPrinted>2017-10-27T09:04:00Z</cp:lastPrinted>
  <dcterms:created xsi:type="dcterms:W3CDTF">2017-10-17T09:26:00Z</dcterms:created>
  <dcterms:modified xsi:type="dcterms:W3CDTF">2017-10-27T12:44:00Z</dcterms:modified>
</cp:coreProperties>
</file>