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A1" w:rsidRPr="006D6CE9" w:rsidRDefault="009C43A1" w:rsidP="009C43A1">
      <w:pPr>
        <w:jc w:val="center"/>
        <w:rPr>
          <w:rFonts w:cs="Arial"/>
          <w:b/>
          <w:szCs w:val="22"/>
        </w:rPr>
      </w:pPr>
      <w:r w:rsidRPr="006D6CE9">
        <w:rPr>
          <w:rFonts w:cs="Arial"/>
          <w:b/>
          <w:szCs w:val="22"/>
        </w:rPr>
        <w:t>LEISURE, WELLBEING AND HEALTH COMMITTEE</w:t>
      </w:r>
    </w:p>
    <w:p w:rsidR="009C43A1" w:rsidRPr="006D6CE9" w:rsidRDefault="009C43A1" w:rsidP="009C43A1">
      <w:pPr>
        <w:jc w:val="left"/>
        <w:rPr>
          <w:rFonts w:cs="Arial"/>
          <w:b/>
          <w:szCs w:val="22"/>
        </w:rPr>
      </w:pPr>
    </w:p>
    <w:p w:rsidR="009C43A1" w:rsidRPr="006D6CE9" w:rsidRDefault="009C43A1" w:rsidP="009C43A1">
      <w:pPr>
        <w:jc w:val="center"/>
        <w:rPr>
          <w:rFonts w:cs="Arial"/>
          <w:b/>
          <w:i/>
          <w:szCs w:val="22"/>
        </w:rPr>
      </w:pP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r>
        <w:rPr>
          <w:rFonts w:cs="Arial"/>
          <w:b/>
          <w:szCs w:val="22"/>
        </w:rPr>
        <w:t>6 SEPTEMBER 2017</w:t>
      </w:r>
    </w:p>
    <w:p w:rsidR="009C43A1" w:rsidRPr="006D6CE9" w:rsidRDefault="009C43A1" w:rsidP="009C43A1">
      <w:pPr>
        <w:jc w:val="center"/>
        <w:rPr>
          <w:rFonts w:cs="Arial"/>
          <w:szCs w:val="22"/>
        </w:rPr>
      </w:pPr>
    </w:p>
    <w:p w:rsidR="009C43A1" w:rsidRPr="006D6CE9" w:rsidRDefault="009C43A1" w:rsidP="009C43A1">
      <w:pPr>
        <w:jc w:val="center"/>
        <w:rPr>
          <w:rFonts w:cs="Arial"/>
          <w:b/>
          <w:szCs w:val="22"/>
        </w:rPr>
      </w:pPr>
      <w:r w:rsidRPr="006D6CE9">
        <w:rPr>
          <w:rFonts w:cs="Arial"/>
          <w:b/>
          <w:szCs w:val="22"/>
        </w:rPr>
        <w:t xml:space="preserve">PART </w:t>
      </w: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r w:rsidRPr="006D6CE9">
        <w:rPr>
          <w:rFonts w:cs="Arial"/>
          <w:b/>
          <w:szCs w:val="22"/>
        </w:rPr>
        <w:t xml:space="preserve">I - </w:t>
      </w: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r w:rsidRPr="006D6CE9">
        <w:rPr>
          <w:rFonts w:cs="Arial"/>
          <w:b/>
          <w:szCs w:val="22"/>
        </w:rPr>
        <w:t xml:space="preserve">DELEGATED </w:t>
      </w:r>
      <w:r w:rsidRPr="006D6CE9">
        <w:rPr>
          <w:rFonts w:cs="Arial"/>
          <w:b/>
          <w:szCs w:val="22"/>
        </w:rPr>
        <w:fldChar w:fldCharType="begin"/>
      </w:r>
      <w:r w:rsidRPr="006D6CE9">
        <w:rPr>
          <w:rFonts w:cs="Arial"/>
          <w:b/>
          <w:szCs w:val="22"/>
        </w:rPr>
        <w:instrText xml:space="preserve">  </w:instrText>
      </w:r>
      <w:r w:rsidRPr="006D6CE9">
        <w:rPr>
          <w:rFonts w:cs="Arial"/>
          <w:b/>
          <w:szCs w:val="22"/>
        </w:rPr>
        <w:fldChar w:fldCharType="end"/>
      </w:r>
    </w:p>
    <w:p w:rsidR="009C43A1" w:rsidRPr="006D6CE9" w:rsidRDefault="009C43A1" w:rsidP="009C43A1">
      <w:pPr>
        <w:jc w:val="center"/>
        <w:rPr>
          <w:rFonts w:cs="Arial"/>
          <w:szCs w:val="22"/>
        </w:rPr>
      </w:pPr>
    </w:p>
    <w:p w:rsidR="009C43A1" w:rsidRPr="00B131DB" w:rsidRDefault="00FC14F2" w:rsidP="009C43A1">
      <w:pPr>
        <w:keepNext/>
        <w:ind w:left="1267" w:hanging="1267"/>
        <w:rPr>
          <w:rFonts w:cs="Arial"/>
          <w:b/>
          <w:szCs w:val="22"/>
        </w:rPr>
      </w:pPr>
      <w:r>
        <w:rPr>
          <w:rFonts w:cs="Arial"/>
          <w:b/>
          <w:szCs w:val="22"/>
        </w:rPr>
        <w:t>8.</w:t>
      </w:r>
      <w:r w:rsidR="009C43A1" w:rsidRPr="00B131DB">
        <w:rPr>
          <w:rFonts w:cs="Arial"/>
          <w:b/>
          <w:szCs w:val="22"/>
        </w:rPr>
        <w:fldChar w:fldCharType="begin"/>
      </w:r>
      <w:r w:rsidR="009C43A1" w:rsidRPr="00B131DB">
        <w:rPr>
          <w:rFonts w:cs="Arial"/>
          <w:b/>
          <w:szCs w:val="22"/>
        </w:rPr>
        <w:instrText xml:space="preserve">  </w:instrText>
      </w:r>
      <w:r w:rsidR="009C43A1" w:rsidRPr="00B131DB">
        <w:rPr>
          <w:rFonts w:cs="Arial"/>
          <w:b/>
          <w:szCs w:val="22"/>
        </w:rPr>
        <w:fldChar w:fldCharType="end"/>
      </w:r>
      <w:r w:rsidR="009C43A1" w:rsidRPr="00B131DB">
        <w:rPr>
          <w:rFonts w:cs="Arial"/>
          <w:b/>
          <w:szCs w:val="22"/>
        </w:rPr>
        <w:tab/>
      </w:r>
      <w:r w:rsidR="009C43A1" w:rsidRPr="00B131DB">
        <w:rPr>
          <w:rFonts w:cs="Arial"/>
          <w:b/>
          <w:szCs w:val="22"/>
        </w:rPr>
        <w:fldChar w:fldCharType="begin"/>
      </w:r>
      <w:r w:rsidR="009C43A1" w:rsidRPr="00B131DB">
        <w:rPr>
          <w:rFonts w:cs="Arial"/>
          <w:b/>
          <w:szCs w:val="22"/>
        </w:rPr>
        <w:instrText xml:space="preserve">  </w:instrText>
      </w:r>
      <w:r w:rsidR="009C43A1" w:rsidRPr="00B131DB">
        <w:rPr>
          <w:rFonts w:cs="Arial"/>
          <w:b/>
          <w:szCs w:val="22"/>
        </w:rPr>
        <w:fldChar w:fldCharType="end"/>
      </w:r>
      <w:r w:rsidR="009C43A1" w:rsidRPr="00B131DB">
        <w:rPr>
          <w:rFonts w:cs="Arial"/>
          <w:b/>
          <w:szCs w:val="22"/>
        </w:rPr>
        <w:t>FUTURE SMALL LEISURE CAPITAL FACILITIES PROGRAMME FOR 2017 – 202</w:t>
      </w:r>
      <w:r w:rsidR="00FC1E0E">
        <w:rPr>
          <w:rFonts w:cs="Arial"/>
          <w:b/>
          <w:szCs w:val="22"/>
        </w:rPr>
        <w:t>4</w:t>
      </w:r>
    </w:p>
    <w:p w:rsidR="009C43A1" w:rsidRPr="004433D0" w:rsidRDefault="009C43A1" w:rsidP="009C43A1">
      <w:pPr>
        <w:keepNext/>
        <w:ind w:left="1267" w:hanging="1267"/>
        <w:rPr>
          <w:rFonts w:cs="Arial"/>
          <w:szCs w:val="22"/>
        </w:rPr>
      </w:pPr>
      <w:r w:rsidRPr="00B131DB">
        <w:rPr>
          <w:rFonts w:cs="Arial"/>
          <w:b/>
          <w:szCs w:val="22"/>
        </w:rPr>
        <w:tab/>
      </w:r>
      <w:r w:rsidRPr="00B131DB">
        <w:rPr>
          <w:rFonts w:cs="Arial"/>
          <w:szCs w:val="22"/>
        </w:rPr>
        <w:t>(DCES)</w:t>
      </w:r>
    </w:p>
    <w:p w:rsidR="009C43A1" w:rsidRPr="006D6CE9" w:rsidRDefault="009C43A1" w:rsidP="009C43A1">
      <w:pPr>
        <w:ind w:left="1267" w:hanging="1267"/>
        <w:rPr>
          <w:rFonts w:cs="Arial"/>
          <w:szCs w:val="22"/>
        </w:rPr>
      </w:pPr>
    </w:p>
    <w:p w:rsidR="009C43A1" w:rsidRPr="006D6CE9" w:rsidRDefault="009C43A1" w:rsidP="009C43A1">
      <w:pPr>
        <w:keepNext/>
        <w:ind w:left="1267" w:hanging="1267"/>
        <w:rPr>
          <w:rFonts w:cs="Arial"/>
          <w:szCs w:val="22"/>
        </w:rPr>
      </w:pPr>
      <w:r w:rsidRPr="006D6CE9">
        <w:rPr>
          <w:rFonts w:cs="Arial"/>
          <w:szCs w:val="22"/>
        </w:rPr>
        <w:t>1.</w:t>
      </w:r>
      <w:r w:rsidRPr="006D6CE9">
        <w:rPr>
          <w:rFonts w:cs="Arial"/>
          <w:szCs w:val="22"/>
        </w:rPr>
        <w:tab/>
      </w:r>
      <w:r w:rsidRPr="006D6CE9">
        <w:rPr>
          <w:rFonts w:cs="Arial"/>
          <w:b/>
          <w:szCs w:val="22"/>
        </w:rPr>
        <w:t>Summary</w:t>
      </w:r>
    </w:p>
    <w:p w:rsidR="009C43A1" w:rsidRPr="006D6CE9" w:rsidRDefault="009C43A1" w:rsidP="009C43A1">
      <w:pPr>
        <w:keepNext/>
        <w:ind w:left="1267" w:hanging="1267"/>
        <w:rPr>
          <w:rFonts w:cs="Arial"/>
          <w:szCs w:val="22"/>
        </w:rPr>
      </w:pPr>
    </w:p>
    <w:p w:rsidR="009C43A1" w:rsidRPr="006D6CE9" w:rsidRDefault="009C43A1" w:rsidP="009C43A1">
      <w:pPr>
        <w:ind w:left="1267" w:hanging="1267"/>
        <w:rPr>
          <w:rFonts w:cs="Arial"/>
          <w:szCs w:val="22"/>
        </w:rPr>
      </w:pPr>
      <w:r w:rsidRPr="006D6CE9">
        <w:rPr>
          <w:rFonts w:cs="Arial"/>
          <w:szCs w:val="22"/>
        </w:rPr>
        <w:t>1.1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The purpose of this report is to provide Members with proposals for the future priority order for upgrading and refurbishing small leisure capital facilities in the District.</w:t>
      </w:r>
    </w:p>
    <w:p w:rsidR="009C43A1" w:rsidRPr="006D6CE9" w:rsidRDefault="009C43A1" w:rsidP="009C43A1">
      <w:pPr>
        <w:ind w:left="1267" w:hanging="1267"/>
        <w:rPr>
          <w:rFonts w:cs="Arial"/>
          <w:szCs w:val="22"/>
        </w:rPr>
      </w:pPr>
    </w:p>
    <w:p w:rsidR="009C43A1" w:rsidRPr="006D6CE9" w:rsidRDefault="009C43A1" w:rsidP="009C43A1">
      <w:pPr>
        <w:keepNext/>
        <w:ind w:left="1267" w:hanging="1267"/>
        <w:rPr>
          <w:rFonts w:cs="Arial"/>
          <w:b/>
          <w:szCs w:val="22"/>
        </w:rPr>
      </w:pPr>
      <w:r w:rsidRPr="006D6CE9">
        <w:rPr>
          <w:rFonts w:cs="Arial"/>
          <w:szCs w:val="22"/>
        </w:rPr>
        <w:t>2.</w:t>
      </w:r>
      <w:r w:rsidRPr="006D6CE9">
        <w:rPr>
          <w:rFonts w:cs="Arial"/>
          <w:szCs w:val="22"/>
        </w:rPr>
        <w:tab/>
      </w:r>
      <w:r w:rsidRPr="006D6CE9">
        <w:rPr>
          <w:rFonts w:cs="Arial"/>
          <w:b/>
          <w:szCs w:val="22"/>
        </w:rPr>
        <w:t>Details</w:t>
      </w:r>
    </w:p>
    <w:p w:rsidR="009C43A1" w:rsidRPr="006D6CE9" w:rsidRDefault="009C43A1" w:rsidP="009C43A1">
      <w:pPr>
        <w:keepNext/>
        <w:ind w:left="1267" w:hanging="1267"/>
        <w:rPr>
          <w:rFonts w:cs="Arial"/>
          <w:b/>
          <w:szCs w:val="22"/>
          <w:u w:val="single"/>
        </w:rPr>
      </w:pPr>
    </w:p>
    <w:p w:rsidR="009C43A1" w:rsidRPr="006D6CE9" w:rsidRDefault="009C43A1" w:rsidP="00E71A2E">
      <w:pPr>
        <w:ind w:left="1267" w:hanging="1267"/>
        <w:rPr>
          <w:rFonts w:cs="Arial"/>
          <w:szCs w:val="22"/>
        </w:rPr>
      </w:pPr>
      <w:r w:rsidRPr="006D6CE9">
        <w:rPr>
          <w:rFonts w:cs="Arial"/>
          <w:szCs w:val="22"/>
        </w:rPr>
        <w:t>2.1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 xml:space="preserve">Members have previously agreed a capital upgrade programme </w:t>
      </w:r>
      <w:r>
        <w:rPr>
          <w:rFonts w:cs="Arial"/>
          <w:szCs w:val="22"/>
        </w:rPr>
        <w:t>for Leisure facilities from 2017</w:t>
      </w:r>
      <w:r w:rsidRPr="006D6CE9">
        <w:rPr>
          <w:rFonts w:cs="Arial"/>
          <w:szCs w:val="22"/>
        </w:rPr>
        <w:t xml:space="preserve"> - 2020 at the </w:t>
      </w:r>
      <w:r w:rsidR="00876653">
        <w:rPr>
          <w:rFonts w:cs="Arial"/>
          <w:szCs w:val="22"/>
        </w:rPr>
        <w:t>Leisure, Wellbeing and Health C</w:t>
      </w:r>
      <w:r w:rsidRPr="006D6CE9">
        <w:rPr>
          <w:rFonts w:cs="Arial"/>
          <w:szCs w:val="22"/>
        </w:rPr>
        <w:t>ommittee meeting of 1</w:t>
      </w:r>
      <w:r>
        <w:rPr>
          <w:rFonts w:cs="Arial"/>
          <w:szCs w:val="22"/>
        </w:rPr>
        <w:t>4 September 2016</w:t>
      </w:r>
      <w:r w:rsidR="002F4C48">
        <w:rPr>
          <w:rFonts w:cs="Arial"/>
          <w:szCs w:val="22"/>
        </w:rPr>
        <w:t xml:space="preserve"> (minute note: LW19/16)</w:t>
      </w:r>
      <w:r w:rsidR="00E71A2E">
        <w:rPr>
          <w:rFonts w:cs="Arial"/>
          <w:szCs w:val="22"/>
        </w:rPr>
        <w:t xml:space="preserve">. </w:t>
      </w:r>
      <w:r>
        <w:rPr>
          <w:rFonts w:cs="Arial"/>
          <w:szCs w:val="22"/>
        </w:rPr>
        <w:t xml:space="preserve">This report details the proposals for the </w:t>
      </w:r>
      <w:r w:rsidR="00AE2851">
        <w:rPr>
          <w:rFonts w:cs="Arial"/>
          <w:szCs w:val="22"/>
        </w:rPr>
        <w:t>subsequent</w:t>
      </w:r>
      <w:r>
        <w:rPr>
          <w:rFonts w:cs="Arial"/>
          <w:szCs w:val="22"/>
        </w:rPr>
        <w:t xml:space="preserve"> </w:t>
      </w:r>
      <w:r w:rsidR="00FC1E0E">
        <w:rPr>
          <w:rFonts w:cs="Arial"/>
          <w:szCs w:val="22"/>
        </w:rPr>
        <w:t>4 years up until 2024</w:t>
      </w:r>
      <w:r>
        <w:rPr>
          <w:rFonts w:cs="Arial"/>
          <w:szCs w:val="22"/>
        </w:rPr>
        <w:t>.</w:t>
      </w:r>
    </w:p>
    <w:p w:rsidR="009C43A1" w:rsidRPr="006D6CE9" w:rsidRDefault="009C43A1" w:rsidP="009C43A1">
      <w:pPr>
        <w:ind w:left="1267" w:hanging="1267"/>
        <w:rPr>
          <w:rFonts w:cs="Arial"/>
          <w:szCs w:val="22"/>
        </w:rPr>
      </w:pPr>
    </w:p>
    <w:p w:rsidR="009C43A1" w:rsidRPr="006D6CE9" w:rsidRDefault="009C43A1" w:rsidP="009C43A1">
      <w:pPr>
        <w:ind w:left="1267" w:hanging="1267"/>
        <w:rPr>
          <w:rFonts w:cs="Arial"/>
          <w:szCs w:val="22"/>
        </w:rPr>
      </w:pPr>
      <w:r w:rsidRPr="006D6CE9">
        <w:rPr>
          <w:rFonts w:cs="Arial"/>
          <w:szCs w:val="22"/>
        </w:rPr>
        <w:t>2.2</w:t>
      </w:r>
      <w:r w:rsidRPr="006D6CE9">
        <w:rPr>
          <w:rFonts w:cs="Arial"/>
          <w:szCs w:val="22"/>
        </w:rPr>
        <w:tab/>
        <w:t xml:space="preserve">The following table shows the previously </w:t>
      </w:r>
      <w:r w:rsidR="004A58FB">
        <w:rPr>
          <w:rFonts w:cs="Arial"/>
          <w:szCs w:val="22"/>
        </w:rPr>
        <w:t>agreed programme for the play area and skate park schemes over the forthcoming 3 year period</w:t>
      </w:r>
      <w:r w:rsidRPr="006D6CE9">
        <w:rPr>
          <w:rFonts w:cs="Arial"/>
          <w:szCs w:val="22"/>
        </w:rPr>
        <w:t>:</w:t>
      </w:r>
    </w:p>
    <w:p w:rsidR="00097B00" w:rsidRPr="006D6CE9" w:rsidRDefault="00097B00" w:rsidP="00097B00">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79"/>
        <w:gridCol w:w="2503"/>
        <w:gridCol w:w="2520"/>
      </w:tblGrid>
      <w:tr w:rsidR="00097B00" w:rsidRPr="006D6CE9" w:rsidTr="00334159">
        <w:tc>
          <w:tcPr>
            <w:tcW w:w="1532" w:type="dxa"/>
            <w:shd w:val="clear" w:color="auto" w:fill="auto"/>
          </w:tcPr>
          <w:p w:rsidR="00097B00" w:rsidRPr="006D6CE9" w:rsidRDefault="00097B00" w:rsidP="00334159">
            <w:pPr>
              <w:rPr>
                <w:rFonts w:cs="Arial"/>
                <w:b/>
                <w:szCs w:val="22"/>
              </w:rPr>
            </w:pPr>
            <w:r w:rsidRPr="006D6CE9">
              <w:rPr>
                <w:rFonts w:cs="Arial"/>
                <w:b/>
                <w:szCs w:val="22"/>
              </w:rPr>
              <w:t>Year</w:t>
            </w:r>
          </w:p>
        </w:tc>
        <w:tc>
          <w:tcPr>
            <w:tcW w:w="2579" w:type="dxa"/>
            <w:shd w:val="clear" w:color="auto" w:fill="auto"/>
          </w:tcPr>
          <w:p w:rsidR="00097B00" w:rsidRPr="006D6CE9" w:rsidRDefault="00097B00" w:rsidP="00334159">
            <w:pPr>
              <w:rPr>
                <w:rFonts w:cs="Arial"/>
                <w:b/>
                <w:szCs w:val="22"/>
              </w:rPr>
            </w:pPr>
            <w:r w:rsidRPr="006D6CE9">
              <w:rPr>
                <w:rFonts w:cs="Arial"/>
                <w:b/>
                <w:szCs w:val="22"/>
              </w:rPr>
              <w:t>Project</w:t>
            </w:r>
          </w:p>
        </w:tc>
        <w:tc>
          <w:tcPr>
            <w:tcW w:w="2503" w:type="dxa"/>
            <w:shd w:val="clear" w:color="auto" w:fill="auto"/>
          </w:tcPr>
          <w:p w:rsidR="00097B00" w:rsidRPr="006D6CE9" w:rsidRDefault="00097B00" w:rsidP="00334159">
            <w:pPr>
              <w:rPr>
                <w:rFonts w:cs="Arial"/>
                <w:b/>
                <w:szCs w:val="22"/>
              </w:rPr>
            </w:pPr>
            <w:r w:rsidRPr="006D6CE9">
              <w:rPr>
                <w:rFonts w:cs="Arial"/>
                <w:b/>
                <w:szCs w:val="22"/>
              </w:rPr>
              <w:t>Budget</w:t>
            </w:r>
          </w:p>
        </w:tc>
        <w:tc>
          <w:tcPr>
            <w:tcW w:w="2520" w:type="dxa"/>
            <w:shd w:val="clear" w:color="auto" w:fill="auto"/>
          </w:tcPr>
          <w:p w:rsidR="00097B00" w:rsidRPr="006D6CE9" w:rsidRDefault="00097B00" w:rsidP="00334159">
            <w:pPr>
              <w:rPr>
                <w:rFonts w:cs="Arial"/>
                <w:b/>
                <w:szCs w:val="22"/>
              </w:rPr>
            </w:pPr>
            <w:r w:rsidRPr="006D6CE9">
              <w:rPr>
                <w:rFonts w:cs="Arial"/>
                <w:b/>
                <w:szCs w:val="22"/>
              </w:rPr>
              <w:t>Notes</w:t>
            </w:r>
          </w:p>
        </w:tc>
      </w:tr>
      <w:tr w:rsidR="00097B00" w:rsidRPr="006D6CE9" w:rsidTr="00334159">
        <w:tc>
          <w:tcPr>
            <w:tcW w:w="1532" w:type="dxa"/>
            <w:vMerge w:val="restart"/>
            <w:shd w:val="clear" w:color="auto" w:fill="auto"/>
          </w:tcPr>
          <w:p w:rsidR="00097B00" w:rsidRPr="006D6CE9" w:rsidRDefault="00097B00" w:rsidP="00334159">
            <w:pPr>
              <w:jc w:val="left"/>
              <w:rPr>
                <w:rFonts w:cs="Arial"/>
                <w:szCs w:val="22"/>
              </w:rPr>
            </w:pPr>
            <w:r w:rsidRPr="006D6CE9">
              <w:rPr>
                <w:rFonts w:cs="Arial"/>
                <w:szCs w:val="22"/>
              </w:rPr>
              <w:t>2017/18</w:t>
            </w:r>
          </w:p>
        </w:tc>
        <w:tc>
          <w:tcPr>
            <w:tcW w:w="2579" w:type="dxa"/>
            <w:shd w:val="clear" w:color="auto" w:fill="auto"/>
          </w:tcPr>
          <w:p w:rsidR="00097B00" w:rsidRPr="006D6CE9" w:rsidRDefault="00097B00" w:rsidP="00334159">
            <w:pPr>
              <w:jc w:val="left"/>
              <w:rPr>
                <w:rFonts w:cs="Arial"/>
                <w:szCs w:val="22"/>
              </w:rPr>
            </w:pPr>
            <w:r w:rsidRPr="006D6CE9">
              <w:rPr>
                <w:rFonts w:cs="Arial"/>
                <w:szCs w:val="22"/>
              </w:rPr>
              <w:t>Improve play area – future scheme</w:t>
            </w:r>
          </w:p>
        </w:tc>
        <w:tc>
          <w:tcPr>
            <w:tcW w:w="2503" w:type="dxa"/>
            <w:shd w:val="clear" w:color="auto" w:fill="auto"/>
          </w:tcPr>
          <w:p w:rsidR="00097B00" w:rsidRPr="006D6CE9" w:rsidRDefault="00097B00" w:rsidP="00334159">
            <w:pPr>
              <w:jc w:val="left"/>
              <w:rPr>
                <w:rFonts w:cs="Arial"/>
                <w:szCs w:val="22"/>
              </w:rPr>
            </w:pPr>
            <w:r w:rsidRPr="006D6CE9">
              <w:rPr>
                <w:rFonts w:cs="Arial"/>
                <w:szCs w:val="22"/>
              </w:rPr>
              <w:t>£100,000</w:t>
            </w:r>
          </w:p>
        </w:tc>
        <w:tc>
          <w:tcPr>
            <w:tcW w:w="2520" w:type="dxa"/>
            <w:shd w:val="clear" w:color="auto" w:fill="auto"/>
          </w:tcPr>
          <w:p w:rsidR="00097B00" w:rsidRPr="006D6CE9" w:rsidRDefault="00097B00" w:rsidP="00334159">
            <w:pPr>
              <w:jc w:val="left"/>
              <w:rPr>
                <w:rFonts w:cs="Arial"/>
                <w:szCs w:val="22"/>
              </w:rPr>
            </w:pPr>
            <w:r w:rsidRPr="006D6CE9">
              <w:rPr>
                <w:rFonts w:cs="Arial"/>
                <w:szCs w:val="22"/>
              </w:rPr>
              <w:t>To be used for Croxley Green Skate Park in 2018/19 as previously agreed</w:t>
            </w:r>
          </w:p>
        </w:tc>
      </w:tr>
      <w:tr w:rsidR="00097B00" w:rsidRPr="006D6CE9" w:rsidTr="00334159">
        <w:tc>
          <w:tcPr>
            <w:tcW w:w="1532" w:type="dxa"/>
            <w:vMerge/>
            <w:shd w:val="clear" w:color="auto" w:fill="auto"/>
          </w:tcPr>
          <w:p w:rsidR="00097B00" w:rsidRPr="006D6CE9" w:rsidRDefault="00097B00" w:rsidP="00334159">
            <w:pPr>
              <w:jc w:val="left"/>
              <w:rPr>
                <w:rFonts w:cs="Arial"/>
                <w:szCs w:val="22"/>
              </w:rPr>
            </w:pPr>
          </w:p>
        </w:tc>
        <w:tc>
          <w:tcPr>
            <w:tcW w:w="2579" w:type="dxa"/>
            <w:shd w:val="clear" w:color="auto" w:fill="auto"/>
          </w:tcPr>
          <w:p w:rsidR="00097B00" w:rsidRPr="006D6CE9" w:rsidRDefault="00097B00" w:rsidP="00334159">
            <w:pPr>
              <w:jc w:val="left"/>
              <w:rPr>
                <w:rFonts w:cs="Arial"/>
                <w:szCs w:val="22"/>
              </w:rPr>
            </w:pPr>
            <w:r w:rsidRPr="006D6CE9">
              <w:rPr>
                <w:rFonts w:cs="Arial"/>
                <w:szCs w:val="22"/>
              </w:rPr>
              <w:t>Skidmore Way, Rickmansworth</w:t>
            </w:r>
          </w:p>
        </w:tc>
        <w:tc>
          <w:tcPr>
            <w:tcW w:w="2503" w:type="dxa"/>
            <w:shd w:val="clear" w:color="auto" w:fill="auto"/>
          </w:tcPr>
          <w:p w:rsidR="00097B00" w:rsidRPr="006D6CE9" w:rsidRDefault="00097B00" w:rsidP="00334159">
            <w:pPr>
              <w:jc w:val="left"/>
              <w:rPr>
                <w:rFonts w:cs="Arial"/>
                <w:szCs w:val="22"/>
              </w:rPr>
            </w:pPr>
            <w:r w:rsidRPr="006D6CE9">
              <w:rPr>
                <w:rFonts w:cs="Arial"/>
                <w:szCs w:val="22"/>
              </w:rPr>
              <w:t>£50,000</w:t>
            </w:r>
          </w:p>
        </w:tc>
        <w:tc>
          <w:tcPr>
            <w:tcW w:w="2520" w:type="dxa"/>
            <w:shd w:val="clear" w:color="auto" w:fill="auto"/>
          </w:tcPr>
          <w:p w:rsidR="00097B00" w:rsidRPr="006D6CE9" w:rsidRDefault="00097B00" w:rsidP="00334159">
            <w:pPr>
              <w:jc w:val="left"/>
              <w:rPr>
                <w:rFonts w:cs="Arial"/>
                <w:szCs w:val="22"/>
              </w:rPr>
            </w:pPr>
          </w:p>
        </w:tc>
      </w:tr>
      <w:tr w:rsidR="00097B00" w:rsidRPr="006D6CE9" w:rsidTr="00334159">
        <w:tc>
          <w:tcPr>
            <w:tcW w:w="1532" w:type="dxa"/>
            <w:vMerge w:val="restart"/>
            <w:shd w:val="clear" w:color="auto" w:fill="auto"/>
          </w:tcPr>
          <w:p w:rsidR="00097B00" w:rsidRPr="006D6CE9" w:rsidRDefault="00097B00" w:rsidP="00334159">
            <w:pPr>
              <w:jc w:val="left"/>
              <w:rPr>
                <w:rFonts w:cs="Arial"/>
                <w:szCs w:val="22"/>
              </w:rPr>
            </w:pPr>
            <w:r w:rsidRPr="006D6CE9">
              <w:rPr>
                <w:rFonts w:cs="Arial"/>
                <w:szCs w:val="22"/>
              </w:rPr>
              <w:t>2018/19</w:t>
            </w:r>
          </w:p>
        </w:tc>
        <w:tc>
          <w:tcPr>
            <w:tcW w:w="2579" w:type="dxa"/>
            <w:shd w:val="clear" w:color="auto" w:fill="auto"/>
          </w:tcPr>
          <w:p w:rsidR="00097B00" w:rsidRPr="006D6CE9" w:rsidRDefault="00097B00" w:rsidP="00334159">
            <w:pPr>
              <w:jc w:val="left"/>
              <w:rPr>
                <w:rFonts w:cs="Arial"/>
                <w:szCs w:val="22"/>
              </w:rPr>
            </w:pPr>
            <w:r w:rsidRPr="006D6CE9">
              <w:rPr>
                <w:rFonts w:cs="Arial"/>
                <w:szCs w:val="22"/>
              </w:rPr>
              <w:t xml:space="preserve">Croxley Green Skate Park – removal of existing park and creation of new skate area </w:t>
            </w:r>
          </w:p>
        </w:tc>
        <w:tc>
          <w:tcPr>
            <w:tcW w:w="2503" w:type="dxa"/>
            <w:shd w:val="clear" w:color="auto" w:fill="auto"/>
          </w:tcPr>
          <w:p w:rsidR="00097B00" w:rsidRPr="006D6CE9" w:rsidRDefault="00097B00" w:rsidP="00334159">
            <w:pPr>
              <w:jc w:val="left"/>
              <w:rPr>
                <w:rFonts w:cs="Arial"/>
                <w:szCs w:val="22"/>
              </w:rPr>
            </w:pPr>
            <w:r w:rsidRPr="006D6CE9">
              <w:rPr>
                <w:rFonts w:cs="Arial"/>
                <w:szCs w:val="22"/>
              </w:rPr>
              <w:t>£200,000 Plus additional external funding for a total project cost of £315,000</w:t>
            </w:r>
          </w:p>
        </w:tc>
        <w:tc>
          <w:tcPr>
            <w:tcW w:w="2520" w:type="dxa"/>
            <w:shd w:val="clear" w:color="auto" w:fill="auto"/>
          </w:tcPr>
          <w:p w:rsidR="00097B00" w:rsidRPr="006D6CE9" w:rsidRDefault="00097B00" w:rsidP="00334159">
            <w:pPr>
              <w:jc w:val="left"/>
              <w:rPr>
                <w:rFonts w:cs="Arial"/>
                <w:szCs w:val="22"/>
              </w:rPr>
            </w:pPr>
            <w:r w:rsidRPr="006D6CE9">
              <w:rPr>
                <w:rFonts w:cs="Arial"/>
                <w:szCs w:val="22"/>
              </w:rPr>
              <w:t xml:space="preserve">Agreed capital funding of £100k carried forward from 2017/18 and £100k from 2018/19 and assumed external funding  </w:t>
            </w:r>
          </w:p>
        </w:tc>
      </w:tr>
      <w:tr w:rsidR="00097B00" w:rsidRPr="006D6CE9" w:rsidTr="00334159">
        <w:tc>
          <w:tcPr>
            <w:tcW w:w="1532" w:type="dxa"/>
            <w:vMerge/>
            <w:shd w:val="clear" w:color="auto" w:fill="auto"/>
          </w:tcPr>
          <w:p w:rsidR="00097B00" w:rsidRPr="006D6CE9" w:rsidRDefault="00097B00" w:rsidP="00334159">
            <w:pPr>
              <w:jc w:val="left"/>
              <w:rPr>
                <w:rFonts w:cs="Arial"/>
                <w:szCs w:val="22"/>
              </w:rPr>
            </w:pPr>
          </w:p>
        </w:tc>
        <w:tc>
          <w:tcPr>
            <w:tcW w:w="2579" w:type="dxa"/>
            <w:shd w:val="clear" w:color="auto" w:fill="auto"/>
          </w:tcPr>
          <w:p w:rsidR="00097B00" w:rsidRPr="006D6CE9" w:rsidRDefault="00097B00" w:rsidP="00334159">
            <w:pPr>
              <w:jc w:val="left"/>
              <w:rPr>
                <w:rFonts w:cs="Arial"/>
                <w:szCs w:val="22"/>
              </w:rPr>
            </w:pPr>
            <w:r w:rsidRPr="006D6CE9">
              <w:rPr>
                <w:rFonts w:cs="Arial"/>
                <w:szCs w:val="22"/>
              </w:rPr>
              <w:t>Chorleywood Play Area</w:t>
            </w:r>
          </w:p>
          <w:p w:rsidR="00097B00" w:rsidRPr="006D6CE9" w:rsidRDefault="00097B00" w:rsidP="00334159">
            <w:pPr>
              <w:jc w:val="left"/>
              <w:rPr>
                <w:rFonts w:cs="Arial"/>
                <w:szCs w:val="22"/>
              </w:rPr>
            </w:pPr>
          </w:p>
        </w:tc>
        <w:tc>
          <w:tcPr>
            <w:tcW w:w="2503" w:type="dxa"/>
            <w:shd w:val="clear" w:color="auto" w:fill="auto"/>
          </w:tcPr>
          <w:p w:rsidR="00097B00" w:rsidRPr="006D6CE9" w:rsidRDefault="00097B00" w:rsidP="00334159">
            <w:pPr>
              <w:jc w:val="left"/>
              <w:rPr>
                <w:rFonts w:cs="Arial"/>
                <w:szCs w:val="22"/>
              </w:rPr>
            </w:pPr>
            <w:r w:rsidRPr="006D6CE9">
              <w:rPr>
                <w:rFonts w:cs="Arial"/>
                <w:szCs w:val="22"/>
              </w:rPr>
              <w:t>£102,320</w:t>
            </w:r>
          </w:p>
        </w:tc>
        <w:tc>
          <w:tcPr>
            <w:tcW w:w="2520" w:type="dxa"/>
            <w:shd w:val="clear" w:color="auto" w:fill="auto"/>
          </w:tcPr>
          <w:p w:rsidR="00097B00" w:rsidRPr="006D6CE9" w:rsidRDefault="00097B00" w:rsidP="00334159">
            <w:pPr>
              <w:jc w:val="left"/>
              <w:rPr>
                <w:rFonts w:cs="Arial"/>
                <w:szCs w:val="22"/>
              </w:rPr>
            </w:pPr>
            <w:r w:rsidRPr="006D6CE9">
              <w:rPr>
                <w:rFonts w:cs="Arial"/>
                <w:szCs w:val="22"/>
              </w:rPr>
              <w:t>This is an estimate time based on planning approval, Section 38 approval, Parish Council approval</w:t>
            </w:r>
          </w:p>
        </w:tc>
      </w:tr>
      <w:tr w:rsidR="00097B00" w:rsidRPr="006D6CE9" w:rsidTr="00334159">
        <w:tc>
          <w:tcPr>
            <w:tcW w:w="1532" w:type="dxa"/>
            <w:vMerge w:val="restart"/>
            <w:shd w:val="clear" w:color="auto" w:fill="auto"/>
          </w:tcPr>
          <w:p w:rsidR="00097B00" w:rsidRPr="006D6CE9" w:rsidRDefault="00097B00" w:rsidP="00334159">
            <w:pPr>
              <w:jc w:val="left"/>
              <w:rPr>
                <w:rFonts w:cs="Arial"/>
                <w:szCs w:val="22"/>
              </w:rPr>
            </w:pPr>
            <w:r w:rsidRPr="006D6CE9">
              <w:rPr>
                <w:rFonts w:cs="Arial"/>
                <w:szCs w:val="22"/>
              </w:rPr>
              <w:t>2019/20</w:t>
            </w:r>
          </w:p>
        </w:tc>
        <w:tc>
          <w:tcPr>
            <w:tcW w:w="2579" w:type="dxa"/>
            <w:shd w:val="clear" w:color="auto" w:fill="auto"/>
          </w:tcPr>
          <w:p w:rsidR="00097B00" w:rsidRPr="006D6CE9" w:rsidRDefault="00097B00" w:rsidP="00334159">
            <w:pPr>
              <w:jc w:val="left"/>
              <w:rPr>
                <w:rFonts w:cs="Arial"/>
                <w:szCs w:val="22"/>
              </w:rPr>
            </w:pPr>
            <w:r w:rsidRPr="006D6CE9">
              <w:rPr>
                <w:rFonts w:cs="Arial"/>
                <w:szCs w:val="22"/>
              </w:rPr>
              <w:t>Denham Way, Maple Cross</w:t>
            </w:r>
          </w:p>
        </w:tc>
        <w:tc>
          <w:tcPr>
            <w:tcW w:w="2503" w:type="dxa"/>
            <w:shd w:val="clear" w:color="auto" w:fill="auto"/>
          </w:tcPr>
          <w:p w:rsidR="00097B00" w:rsidRPr="006D6CE9" w:rsidRDefault="00097B00" w:rsidP="00334159">
            <w:pPr>
              <w:jc w:val="left"/>
              <w:rPr>
                <w:rFonts w:cs="Arial"/>
                <w:szCs w:val="22"/>
              </w:rPr>
            </w:pPr>
            <w:r w:rsidRPr="006D6CE9">
              <w:rPr>
                <w:rFonts w:cs="Arial"/>
                <w:szCs w:val="22"/>
              </w:rPr>
              <w:t>£50,000</w:t>
            </w:r>
          </w:p>
        </w:tc>
        <w:tc>
          <w:tcPr>
            <w:tcW w:w="2520" w:type="dxa"/>
            <w:shd w:val="clear" w:color="auto" w:fill="auto"/>
          </w:tcPr>
          <w:p w:rsidR="00097B00" w:rsidRPr="006D6CE9" w:rsidRDefault="00097B00" w:rsidP="00334159">
            <w:pPr>
              <w:jc w:val="left"/>
              <w:rPr>
                <w:rFonts w:cs="Arial"/>
                <w:szCs w:val="22"/>
              </w:rPr>
            </w:pPr>
            <w:r w:rsidRPr="006D6CE9">
              <w:rPr>
                <w:rFonts w:cs="Arial"/>
                <w:szCs w:val="22"/>
              </w:rPr>
              <w:t>Very small play area – toddler equipment</w:t>
            </w:r>
          </w:p>
        </w:tc>
      </w:tr>
      <w:tr w:rsidR="00097B00" w:rsidRPr="006D6CE9" w:rsidTr="00334159">
        <w:tc>
          <w:tcPr>
            <w:tcW w:w="1532" w:type="dxa"/>
            <w:vMerge/>
            <w:shd w:val="clear" w:color="auto" w:fill="auto"/>
          </w:tcPr>
          <w:p w:rsidR="00097B00" w:rsidRPr="006D6CE9" w:rsidRDefault="00097B00" w:rsidP="00334159">
            <w:pPr>
              <w:jc w:val="left"/>
              <w:rPr>
                <w:rFonts w:cs="Arial"/>
                <w:szCs w:val="22"/>
              </w:rPr>
            </w:pPr>
          </w:p>
        </w:tc>
        <w:tc>
          <w:tcPr>
            <w:tcW w:w="2579" w:type="dxa"/>
            <w:shd w:val="clear" w:color="auto" w:fill="auto"/>
          </w:tcPr>
          <w:p w:rsidR="00097B00" w:rsidRPr="006D6CE9" w:rsidRDefault="00097B00" w:rsidP="00334159">
            <w:pPr>
              <w:jc w:val="left"/>
              <w:rPr>
                <w:rFonts w:cs="Arial"/>
                <w:szCs w:val="22"/>
              </w:rPr>
            </w:pPr>
            <w:r w:rsidRPr="006D6CE9">
              <w:rPr>
                <w:rFonts w:cs="Arial"/>
                <w:szCs w:val="22"/>
              </w:rPr>
              <w:t xml:space="preserve">The </w:t>
            </w:r>
            <w:proofErr w:type="spellStart"/>
            <w:r w:rsidRPr="006D6CE9">
              <w:rPr>
                <w:rFonts w:cs="Arial"/>
                <w:szCs w:val="22"/>
              </w:rPr>
              <w:t>Swillet</w:t>
            </w:r>
            <w:proofErr w:type="spellEnd"/>
            <w:r w:rsidRPr="006D6CE9">
              <w:rPr>
                <w:rFonts w:cs="Arial"/>
                <w:szCs w:val="22"/>
              </w:rPr>
              <w:t xml:space="preserve">, Chorleywood </w:t>
            </w:r>
          </w:p>
        </w:tc>
        <w:tc>
          <w:tcPr>
            <w:tcW w:w="2503" w:type="dxa"/>
            <w:shd w:val="clear" w:color="auto" w:fill="auto"/>
          </w:tcPr>
          <w:p w:rsidR="00097B00" w:rsidRPr="006D6CE9" w:rsidRDefault="00097B00" w:rsidP="00334159">
            <w:pPr>
              <w:jc w:val="left"/>
              <w:rPr>
                <w:rFonts w:cs="Arial"/>
                <w:szCs w:val="22"/>
              </w:rPr>
            </w:pPr>
            <w:r w:rsidRPr="006D6CE9">
              <w:rPr>
                <w:rFonts w:cs="Arial"/>
                <w:szCs w:val="22"/>
              </w:rPr>
              <w:t>£50,000</w:t>
            </w:r>
          </w:p>
        </w:tc>
        <w:tc>
          <w:tcPr>
            <w:tcW w:w="2520" w:type="dxa"/>
            <w:shd w:val="clear" w:color="auto" w:fill="auto"/>
          </w:tcPr>
          <w:p w:rsidR="00097B00" w:rsidRPr="006D6CE9" w:rsidRDefault="00097B00" w:rsidP="00334159">
            <w:pPr>
              <w:jc w:val="left"/>
              <w:rPr>
                <w:rFonts w:cs="Arial"/>
                <w:szCs w:val="22"/>
              </w:rPr>
            </w:pPr>
            <w:r w:rsidRPr="006D6CE9">
              <w:rPr>
                <w:rFonts w:cs="Arial"/>
                <w:szCs w:val="22"/>
              </w:rPr>
              <w:t>As agreed by Members in June 2016</w:t>
            </w:r>
          </w:p>
        </w:tc>
      </w:tr>
    </w:tbl>
    <w:p w:rsidR="009C43A1" w:rsidRDefault="009C43A1" w:rsidP="009C43A1">
      <w:pPr>
        <w:ind w:left="1267" w:hanging="1267"/>
        <w:rPr>
          <w:rFonts w:cs="Arial"/>
          <w:szCs w:val="22"/>
        </w:rPr>
      </w:pPr>
    </w:p>
    <w:p w:rsidR="00DF6191" w:rsidRDefault="00DF6191" w:rsidP="009C43A1">
      <w:pPr>
        <w:ind w:left="1267" w:hanging="1267"/>
        <w:rPr>
          <w:rFonts w:cs="Arial"/>
          <w:szCs w:val="22"/>
        </w:rPr>
      </w:pPr>
      <w:r>
        <w:rPr>
          <w:rFonts w:cs="Arial"/>
          <w:szCs w:val="22"/>
        </w:rPr>
        <w:t>2.3</w:t>
      </w:r>
      <w:r>
        <w:rPr>
          <w:rFonts w:cs="Arial"/>
          <w:szCs w:val="22"/>
        </w:rPr>
        <w:tab/>
        <w:t>Currently there is a shortfall of £115,000 for the Croxley Green Skate Park project. To counteract this shortfall, Officers have identified £</w:t>
      </w:r>
      <w:r w:rsidRPr="00DF6191">
        <w:rPr>
          <w:rFonts w:cs="Arial"/>
          <w:szCs w:val="22"/>
        </w:rPr>
        <w:t>32</w:t>
      </w:r>
      <w:r>
        <w:rPr>
          <w:rFonts w:cs="Arial"/>
          <w:szCs w:val="22"/>
        </w:rPr>
        <w:t>,</w:t>
      </w:r>
      <w:r w:rsidR="004A58FB">
        <w:rPr>
          <w:rFonts w:cs="Arial"/>
          <w:szCs w:val="22"/>
        </w:rPr>
        <w:t>871</w:t>
      </w:r>
      <w:r>
        <w:rPr>
          <w:rFonts w:cs="Arial"/>
          <w:szCs w:val="22"/>
        </w:rPr>
        <w:t xml:space="preserve"> S</w:t>
      </w:r>
      <w:r w:rsidR="00771EEF">
        <w:rPr>
          <w:rFonts w:cs="Arial"/>
          <w:szCs w:val="22"/>
        </w:rPr>
        <w:t xml:space="preserve">ection </w:t>
      </w:r>
      <w:r>
        <w:rPr>
          <w:rFonts w:cs="Arial"/>
          <w:szCs w:val="22"/>
        </w:rPr>
        <w:t xml:space="preserve">106 funding available from the </w:t>
      </w:r>
      <w:r w:rsidRPr="00DF6191">
        <w:rPr>
          <w:rFonts w:cs="Arial"/>
          <w:szCs w:val="22"/>
        </w:rPr>
        <w:t>Tesco development, 189 -191 Watford Road, Croxley Green</w:t>
      </w:r>
      <w:r>
        <w:rPr>
          <w:rFonts w:cs="Arial"/>
          <w:szCs w:val="22"/>
        </w:rPr>
        <w:t>, which could be utilised towards this scheme. If agreed, this would leave a shortfall of £82,</w:t>
      </w:r>
      <w:r w:rsidR="004A58FB">
        <w:rPr>
          <w:rFonts w:cs="Arial"/>
          <w:szCs w:val="22"/>
        </w:rPr>
        <w:t>129</w:t>
      </w:r>
      <w:r>
        <w:rPr>
          <w:rFonts w:cs="Arial"/>
          <w:szCs w:val="22"/>
        </w:rPr>
        <w:t>, which would need to be sourced externally.</w:t>
      </w:r>
    </w:p>
    <w:p w:rsidR="00DF6191" w:rsidRDefault="00DF6191" w:rsidP="00DF6191">
      <w:pPr>
        <w:rPr>
          <w:rFonts w:cs="Arial"/>
          <w:szCs w:val="22"/>
        </w:rPr>
      </w:pPr>
    </w:p>
    <w:p w:rsidR="009C43A1" w:rsidRDefault="00DF6191" w:rsidP="00097B00">
      <w:pPr>
        <w:ind w:left="1267" w:hanging="1267"/>
        <w:rPr>
          <w:rFonts w:cs="Arial"/>
          <w:szCs w:val="22"/>
        </w:rPr>
      </w:pPr>
      <w:r>
        <w:rPr>
          <w:rFonts w:cs="Arial"/>
          <w:szCs w:val="22"/>
        </w:rPr>
        <w:t>2.4</w:t>
      </w:r>
      <w:r w:rsidR="009C43A1" w:rsidRPr="006D6CE9">
        <w:rPr>
          <w:rFonts w:cs="Arial"/>
          <w:szCs w:val="22"/>
        </w:rPr>
        <w:tab/>
        <w:t>The following table shows the proposed capital programme for 2020</w:t>
      </w:r>
      <w:r w:rsidR="00097B00">
        <w:rPr>
          <w:rFonts w:cs="Arial"/>
          <w:szCs w:val="22"/>
        </w:rPr>
        <w:t xml:space="preserve"> – 202</w:t>
      </w:r>
      <w:r>
        <w:rPr>
          <w:rFonts w:cs="Arial"/>
          <w:szCs w:val="22"/>
        </w:rPr>
        <w:t>4</w:t>
      </w:r>
      <w:r w:rsidR="00097B00">
        <w:rPr>
          <w:rFonts w:cs="Arial"/>
          <w:szCs w:val="22"/>
        </w:rPr>
        <w:t>:</w:t>
      </w:r>
      <w:r w:rsidR="009C43A1" w:rsidRPr="006D6CE9">
        <w:rPr>
          <w:rFonts w:cs="Arial"/>
          <w:szCs w:val="22"/>
        </w:rPr>
        <w:t xml:space="preserve"> </w:t>
      </w:r>
    </w:p>
    <w:p w:rsidR="005679EB" w:rsidRDefault="005679EB" w:rsidP="00097B00">
      <w:pPr>
        <w:ind w:left="1267" w:hanging="1267"/>
        <w:rPr>
          <w:rFonts w:cs="Arial"/>
          <w:szCs w:val="22"/>
        </w:rPr>
      </w:pPr>
    </w:p>
    <w:p w:rsidR="005679EB" w:rsidRDefault="005679EB" w:rsidP="00097B00">
      <w:pPr>
        <w:ind w:left="1267" w:hanging="1267"/>
        <w:rPr>
          <w:rFonts w:cs="Arial"/>
          <w:szCs w:val="22"/>
        </w:rPr>
      </w:pPr>
    </w:p>
    <w:p w:rsidR="00DF6191" w:rsidRDefault="00DF6191" w:rsidP="00097B00">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578"/>
        <w:gridCol w:w="2509"/>
        <w:gridCol w:w="2513"/>
      </w:tblGrid>
      <w:tr w:rsidR="00097B00" w:rsidRPr="006D6CE9" w:rsidTr="00334159">
        <w:tc>
          <w:tcPr>
            <w:tcW w:w="1534" w:type="dxa"/>
            <w:shd w:val="clear" w:color="auto" w:fill="auto"/>
          </w:tcPr>
          <w:p w:rsidR="00097B00" w:rsidRPr="006D6CE9" w:rsidRDefault="00097B00" w:rsidP="00334159">
            <w:pPr>
              <w:rPr>
                <w:rFonts w:cs="Arial"/>
                <w:b/>
                <w:szCs w:val="22"/>
              </w:rPr>
            </w:pPr>
            <w:r w:rsidRPr="006D6CE9">
              <w:rPr>
                <w:rFonts w:cs="Arial"/>
                <w:b/>
                <w:szCs w:val="22"/>
              </w:rPr>
              <w:lastRenderedPageBreak/>
              <w:t>Year</w:t>
            </w:r>
          </w:p>
        </w:tc>
        <w:tc>
          <w:tcPr>
            <w:tcW w:w="2578" w:type="dxa"/>
            <w:shd w:val="clear" w:color="auto" w:fill="auto"/>
          </w:tcPr>
          <w:p w:rsidR="00097B00" w:rsidRPr="006D6CE9" w:rsidRDefault="00097B00" w:rsidP="00334159">
            <w:pPr>
              <w:rPr>
                <w:rFonts w:cs="Arial"/>
                <w:b/>
                <w:szCs w:val="22"/>
              </w:rPr>
            </w:pPr>
            <w:r w:rsidRPr="006D6CE9">
              <w:rPr>
                <w:rFonts w:cs="Arial"/>
                <w:b/>
                <w:szCs w:val="22"/>
              </w:rPr>
              <w:t>Project</w:t>
            </w:r>
          </w:p>
        </w:tc>
        <w:tc>
          <w:tcPr>
            <w:tcW w:w="2509" w:type="dxa"/>
            <w:shd w:val="clear" w:color="auto" w:fill="auto"/>
          </w:tcPr>
          <w:p w:rsidR="00097B00" w:rsidRPr="006D6CE9" w:rsidRDefault="00097B00" w:rsidP="00334159">
            <w:pPr>
              <w:rPr>
                <w:rFonts w:cs="Arial"/>
                <w:b/>
                <w:szCs w:val="22"/>
              </w:rPr>
            </w:pPr>
            <w:r w:rsidRPr="006D6CE9">
              <w:rPr>
                <w:rFonts w:cs="Arial"/>
                <w:b/>
                <w:szCs w:val="22"/>
              </w:rPr>
              <w:t>Budget</w:t>
            </w:r>
          </w:p>
        </w:tc>
        <w:tc>
          <w:tcPr>
            <w:tcW w:w="2513" w:type="dxa"/>
            <w:shd w:val="clear" w:color="auto" w:fill="auto"/>
          </w:tcPr>
          <w:p w:rsidR="00097B00" w:rsidRPr="006D6CE9" w:rsidRDefault="00097B00" w:rsidP="00334159">
            <w:pPr>
              <w:rPr>
                <w:rFonts w:cs="Arial"/>
                <w:b/>
                <w:szCs w:val="22"/>
              </w:rPr>
            </w:pPr>
            <w:r w:rsidRPr="006D6CE9">
              <w:rPr>
                <w:rFonts w:cs="Arial"/>
                <w:b/>
                <w:szCs w:val="22"/>
              </w:rPr>
              <w:t>Notes</w:t>
            </w:r>
          </w:p>
        </w:tc>
      </w:tr>
      <w:tr w:rsidR="00097B00" w:rsidRPr="006D6CE9" w:rsidTr="00334159">
        <w:tc>
          <w:tcPr>
            <w:tcW w:w="1534" w:type="dxa"/>
            <w:shd w:val="clear" w:color="auto" w:fill="auto"/>
          </w:tcPr>
          <w:p w:rsidR="00097B00" w:rsidRPr="00F95D57" w:rsidRDefault="00097B00" w:rsidP="00334159">
            <w:pPr>
              <w:jc w:val="left"/>
              <w:rPr>
                <w:rFonts w:cs="Arial"/>
                <w:szCs w:val="22"/>
              </w:rPr>
            </w:pPr>
            <w:r w:rsidRPr="00F95D57">
              <w:rPr>
                <w:rFonts w:cs="Arial"/>
                <w:szCs w:val="22"/>
              </w:rPr>
              <w:t>2020/21</w:t>
            </w:r>
          </w:p>
        </w:tc>
        <w:tc>
          <w:tcPr>
            <w:tcW w:w="2578" w:type="dxa"/>
            <w:shd w:val="clear" w:color="auto" w:fill="auto"/>
          </w:tcPr>
          <w:p w:rsidR="00097B00" w:rsidRPr="00F95D57" w:rsidRDefault="00097B00" w:rsidP="00334159">
            <w:pPr>
              <w:jc w:val="left"/>
              <w:rPr>
                <w:rFonts w:cs="Arial"/>
                <w:szCs w:val="22"/>
              </w:rPr>
            </w:pPr>
            <w:r w:rsidRPr="00F95D57">
              <w:rPr>
                <w:rFonts w:cs="Arial"/>
                <w:szCs w:val="22"/>
              </w:rPr>
              <w:t>Leavesden Country Park</w:t>
            </w:r>
          </w:p>
        </w:tc>
        <w:tc>
          <w:tcPr>
            <w:tcW w:w="2509" w:type="dxa"/>
            <w:shd w:val="clear" w:color="auto" w:fill="auto"/>
          </w:tcPr>
          <w:p w:rsidR="00097B00" w:rsidRPr="00F95D57" w:rsidRDefault="00097B00" w:rsidP="00334159">
            <w:pPr>
              <w:jc w:val="left"/>
              <w:rPr>
                <w:rFonts w:cs="Arial"/>
                <w:szCs w:val="22"/>
              </w:rPr>
            </w:pPr>
            <w:r w:rsidRPr="00F95D57">
              <w:rPr>
                <w:rFonts w:cs="Arial"/>
                <w:szCs w:val="22"/>
              </w:rPr>
              <w:t>£100,000</w:t>
            </w:r>
          </w:p>
        </w:tc>
        <w:tc>
          <w:tcPr>
            <w:tcW w:w="2513" w:type="dxa"/>
            <w:shd w:val="clear" w:color="auto" w:fill="auto"/>
          </w:tcPr>
          <w:p w:rsidR="00097B00" w:rsidRPr="00F95D57" w:rsidRDefault="00097B00" w:rsidP="00334159">
            <w:pPr>
              <w:jc w:val="left"/>
              <w:rPr>
                <w:rFonts w:cs="Arial"/>
                <w:szCs w:val="22"/>
              </w:rPr>
            </w:pPr>
            <w:r w:rsidRPr="00F95D57">
              <w:rPr>
                <w:rFonts w:cs="Arial"/>
                <w:szCs w:val="22"/>
              </w:rPr>
              <w:t>Upgrade existing play area</w:t>
            </w:r>
          </w:p>
        </w:tc>
      </w:tr>
      <w:tr w:rsidR="00DF6191" w:rsidRPr="006D6CE9" w:rsidTr="00334159">
        <w:tc>
          <w:tcPr>
            <w:tcW w:w="1534" w:type="dxa"/>
            <w:shd w:val="clear" w:color="auto" w:fill="auto"/>
          </w:tcPr>
          <w:p w:rsidR="00DF6191" w:rsidRPr="00B131DB" w:rsidRDefault="00DF6191" w:rsidP="00DF6191">
            <w:pPr>
              <w:jc w:val="left"/>
              <w:rPr>
                <w:rFonts w:cs="Arial"/>
                <w:szCs w:val="22"/>
              </w:rPr>
            </w:pPr>
            <w:r w:rsidRPr="00B131DB">
              <w:rPr>
                <w:rFonts w:cs="Arial"/>
                <w:szCs w:val="22"/>
              </w:rPr>
              <w:t>202</w:t>
            </w:r>
            <w:r>
              <w:rPr>
                <w:rFonts w:cs="Arial"/>
                <w:szCs w:val="22"/>
              </w:rPr>
              <w:t>1/22</w:t>
            </w:r>
          </w:p>
        </w:tc>
        <w:tc>
          <w:tcPr>
            <w:tcW w:w="2578" w:type="dxa"/>
            <w:shd w:val="clear" w:color="auto" w:fill="auto"/>
          </w:tcPr>
          <w:p w:rsidR="00DF6191" w:rsidRPr="00B131DB" w:rsidRDefault="00DF6191" w:rsidP="00543885">
            <w:pPr>
              <w:jc w:val="left"/>
              <w:rPr>
                <w:rFonts w:cs="Arial"/>
                <w:szCs w:val="22"/>
              </w:rPr>
            </w:pPr>
            <w:proofErr w:type="spellStart"/>
            <w:r>
              <w:rPr>
                <w:rFonts w:cs="Arial"/>
                <w:szCs w:val="22"/>
              </w:rPr>
              <w:t>Oxhey</w:t>
            </w:r>
            <w:proofErr w:type="spellEnd"/>
            <w:r>
              <w:rPr>
                <w:rFonts w:cs="Arial"/>
                <w:szCs w:val="22"/>
              </w:rPr>
              <w:t xml:space="preserve"> Playing Fields </w:t>
            </w:r>
          </w:p>
        </w:tc>
        <w:tc>
          <w:tcPr>
            <w:tcW w:w="2509" w:type="dxa"/>
            <w:shd w:val="clear" w:color="auto" w:fill="auto"/>
          </w:tcPr>
          <w:p w:rsidR="00DF6191" w:rsidRPr="00B131DB" w:rsidRDefault="00DF6191" w:rsidP="00543885">
            <w:pPr>
              <w:jc w:val="left"/>
              <w:rPr>
                <w:rFonts w:cs="Arial"/>
                <w:szCs w:val="22"/>
              </w:rPr>
            </w:pPr>
            <w:r>
              <w:rPr>
                <w:rFonts w:cs="Arial"/>
                <w:szCs w:val="22"/>
              </w:rPr>
              <w:t>£100,000</w:t>
            </w:r>
          </w:p>
        </w:tc>
        <w:tc>
          <w:tcPr>
            <w:tcW w:w="2513" w:type="dxa"/>
            <w:shd w:val="clear" w:color="auto" w:fill="auto"/>
          </w:tcPr>
          <w:p w:rsidR="00DF6191" w:rsidRPr="00B131DB" w:rsidRDefault="00DF6191" w:rsidP="00DF6191">
            <w:pPr>
              <w:jc w:val="left"/>
              <w:rPr>
                <w:rFonts w:cs="Arial"/>
                <w:szCs w:val="22"/>
              </w:rPr>
            </w:pPr>
            <w:r>
              <w:rPr>
                <w:rFonts w:cs="Arial"/>
                <w:szCs w:val="22"/>
              </w:rPr>
              <w:t>Linked to the proposed new Management Plan and may include a new skate facility or play provision, dependent on community preference.</w:t>
            </w:r>
          </w:p>
        </w:tc>
      </w:tr>
      <w:tr w:rsidR="00DF6191" w:rsidRPr="006D6CE9" w:rsidTr="00334159">
        <w:tc>
          <w:tcPr>
            <w:tcW w:w="1534" w:type="dxa"/>
            <w:shd w:val="clear" w:color="auto" w:fill="auto"/>
          </w:tcPr>
          <w:p w:rsidR="00DF6191" w:rsidRDefault="00DF6191" w:rsidP="00DF6191">
            <w:pPr>
              <w:jc w:val="left"/>
              <w:rPr>
                <w:rFonts w:cs="Arial"/>
                <w:szCs w:val="22"/>
              </w:rPr>
            </w:pPr>
            <w:r>
              <w:rPr>
                <w:rFonts w:cs="Arial"/>
                <w:szCs w:val="22"/>
              </w:rPr>
              <w:t>2022/23</w:t>
            </w:r>
          </w:p>
        </w:tc>
        <w:tc>
          <w:tcPr>
            <w:tcW w:w="2578" w:type="dxa"/>
            <w:shd w:val="clear" w:color="auto" w:fill="auto"/>
          </w:tcPr>
          <w:p w:rsidR="00DF6191" w:rsidRPr="006D6CE9" w:rsidRDefault="00DF6191" w:rsidP="00334159">
            <w:pPr>
              <w:jc w:val="left"/>
              <w:rPr>
                <w:rFonts w:cs="Arial"/>
                <w:szCs w:val="22"/>
              </w:rPr>
            </w:pPr>
            <w:r>
              <w:rPr>
                <w:rFonts w:cs="Arial"/>
                <w:szCs w:val="22"/>
              </w:rPr>
              <w:t>General Upgrading of play areas</w:t>
            </w:r>
          </w:p>
        </w:tc>
        <w:tc>
          <w:tcPr>
            <w:tcW w:w="2509" w:type="dxa"/>
            <w:shd w:val="clear" w:color="auto" w:fill="auto"/>
          </w:tcPr>
          <w:p w:rsidR="00DF6191" w:rsidRPr="006D6CE9" w:rsidRDefault="00DF6191" w:rsidP="00334159">
            <w:pPr>
              <w:jc w:val="left"/>
              <w:rPr>
                <w:rFonts w:cs="Arial"/>
                <w:szCs w:val="22"/>
              </w:rPr>
            </w:pPr>
            <w:r>
              <w:rPr>
                <w:rFonts w:cs="Arial"/>
                <w:szCs w:val="22"/>
              </w:rPr>
              <w:t>£100,000</w:t>
            </w:r>
          </w:p>
        </w:tc>
        <w:tc>
          <w:tcPr>
            <w:tcW w:w="2513" w:type="dxa"/>
            <w:shd w:val="clear" w:color="auto" w:fill="auto"/>
          </w:tcPr>
          <w:p w:rsidR="00DF6191" w:rsidRPr="006D6CE9" w:rsidRDefault="00DF6191" w:rsidP="00334159">
            <w:pPr>
              <w:jc w:val="left"/>
              <w:rPr>
                <w:rFonts w:cs="Arial"/>
                <w:szCs w:val="22"/>
              </w:rPr>
            </w:pPr>
            <w:r>
              <w:rPr>
                <w:rFonts w:cs="Arial"/>
                <w:szCs w:val="22"/>
              </w:rPr>
              <w:t>To upgrade elements within play areas refurbished since 2008</w:t>
            </w:r>
          </w:p>
        </w:tc>
      </w:tr>
      <w:tr w:rsidR="00DF6191" w:rsidRPr="006D6CE9" w:rsidTr="00334159">
        <w:tc>
          <w:tcPr>
            <w:tcW w:w="1534" w:type="dxa"/>
            <w:shd w:val="clear" w:color="auto" w:fill="auto"/>
          </w:tcPr>
          <w:p w:rsidR="00DF6191" w:rsidRPr="00B131DB" w:rsidRDefault="00DF6191" w:rsidP="00334159">
            <w:pPr>
              <w:jc w:val="left"/>
              <w:rPr>
                <w:rFonts w:cs="Arial"/>
                <w:szCs w:val="22"/>
              </w:rPr>
            </w:pPr>
            <w:r>
              <w:rPr>
                <w:rFonts w:cs="Arial"/>
                <w:szCs w:val="22"/>
              </w:rPr>
              <w:t>2023/24</w:t>
            </w:r>
          </w:p>
        </w:tc>
        <w:tc>
          <w:tcPr>
            <w:tcW w:w="2578" w:type="dxa"/>
            <w:shd w:val="clear" w:color="auto" w:fill="auto"/>
          </w:tcPr>
          <w:p w:rsidR="00DF6191" w:rsidRPr="00B131DB" w:rsidRDefault="00DF6191" w:rsidP="00543885">
            <w:pPr>
              <w:jc w:val="left"/>
              <w:rPr>
                <w:rFonts w:cs="Arial"/>
                <w:szCs w:val="22"/>
              </w:rPr>
            </w:pPr>
            <w:r w:rsidRPr="00B131DB">
              <w:rPr>
                <w:rFonts w:cs="Arial"/>
                <w:szCs w:val="22"/>
              </w:rPr>
              <w:t>Fearney Mead, Mill End</w:t>
            </w:r>
          </w:p>
          <w:p w:rsidR="00DF6191" w:rsidRPr="00B131DB" w:rsidRDefault="00DF6191" w:rsidP="00543885">
            <w:pPr>
              <w:jc w:val="left"/>
              <w:rPr>
                <w:rFonts w:cs="Arial"/>
                <w:szCs w:val="22"/>
              </w:rPr>
            </w:pPr>
            <w:r w:rsidRPr="00B131DB">
              <w:rPr>
                <w:rFonts w:cs="Arial"/>
                <w:szCs w:val="22"/>
              </w:rPr>
              <w:t>Lincoln Drive</w:t>
            </w:r>
            <w:r>
              <w:rPr>
                <w:rFonts w:cs="Arial"/>
                <w:szCs w:val="22"/>
              </w:rPr>
              <w:t xml:space="preserve">, South </w:t>
            </w:r>
            <w:proofErr w:type="spellStart"/>
            <w:r>
              <w:rPr>
                <w:rFonts w:cs="Arial"/>
                <w:szCs w:val="22"/>
              </w:rPr>
              <w:t>Oxhey</w:t>
            </w:r>
            <w:proofErr w:type="spellEnd"/>
          </w:p>
        </w:tc>
        <w:tc>
          <w:tcPr>
            <w:tcW w:w="2509" w:type="dxa"/>
            <w:shd w:val="clear" w:color="auto" w:fill="auto"/>
          </w:tcPr>
          <w:p w:rsidR="00DF6191" w:rsidRPr="00B131DB" w:rsidRDefault="00DF6191" w:rsidP="00543885">
            <w:pPr>
              <w:jc w:val="left"/>
              <w:rPr>
                <w:rFonts w:cs="Arial"/>
                <w:szCs w:val="22"/>
              </w:rPr>
            </w:pPr>
            <w:r w:rsidRPr="00B131DB">
              <w:rPr>
                <w:rFonts w:cs="Arial"/>
                <w:szCs w:val="22"/>
              </w:rPr>
              <w:t>£50,000</w:t>
            </w:r>
          </w:p>
          <w:p w:rsidR="00DF6191" w:rsidRPr="00B131DB" w:rsidRDefault="00DF6191" w:rsidP="00543885">
            <w:pPr>
              <w:jc w:val="left"/>
              <w:rPr>
                <w:rFonts w:cs="Arial"/>
                <w:szCs w:val="22"/>
              </w:rPr>
            </w:pPr>
            <w:r w:rsidRPr="00B131DB">
              <w:rPr>
                <w:rFonts w:cs="Arial"/>
                <w:szCs w:val="22"/>
              </w:rPr>
              <w:t>£50,000</w:t>
            </w:r>
          </w:p>
        </w:tc>
        <w:tc>
          <w:tcPr>
            <w:tcW w:w="2513" w:type="dxa"/>
            <w:shd w:val="clear" w:color="auto" w:fill="auto"/>
          </w:tcPr>
          <w:p w:rsidR="00DF6191" w:rsidRPr="00B131DB" w:rsidRDefault="00DF6191" w:rsidP="00543885">
            <w:pPr>
              <w:jc w:val="left"/>
              <w:rPr>
                <w:rFonts w:cs="Arial"/>
                <w:szCs w:val="22"/>
              </w:rPr>
            </w:pPr>
            <w:r w:rsidRPr="00B131DB">
              <w:rPr>
                <w:rFonts w:cs="Arial"/>
                <w:szCs w:val="22"/>
              </w:rPr>
              <w:t>These would be smaller projects with more natural play elements.</w:t>
            </w:r>
          </w:p>
        </w:tc>
      </w:tr>
    </w:tbl>
    <w:p w:rsidR="00097B00" w:rsidRDefault="00097B00" w:rsidP="00097B00">
      <w:pPr>
        <w:ind w:left="1267" w:hanging="1267"/>
        <w:rPr>
          <w:rFonts w:cs="Arial"/>
          <w:szCs w:val="22"/>
        </w:rPr>
      </w:pPr>
    </w:p>
    <w:p w:rsidR="00E24A7D" w:rsidRDefault="00E24A7D" w:rsidP="00097B00">
      <w:pPr>
        <w:ind w:left="1267" w:hanging="1267"/>
        <w:rPr>
          <w:rFonts w:cs="Arial"/>
          <w:szCs w:val="22"/>
        </w:rPr>
      </w:pPr>
      <w:r>
        <w:rPr>
          <w:rFonts w:cs="Arial"/>
          <w:szCs w:val="22"/>
        </w:rPr>
        <w:t>2.</w:t>
      </w:r>
      <w:r w:rsidR="000F08A7">
        <w:rPr>
          <w:rFonts w:cs="Arial"/>
          <w:szCs w:val="22"/>
        </w:rPr>
        <w:t>5</w:t>
      </w:r>
      <w:r>
        <w:rPr>
          <w:rFonts w:cs="Arial"/>
          <w:szCs w:val="22"/>
        </w:rPr>
        <w:tab/>
      </w:r>
      <w:r w:rsidR="000F08A7">
        <w:rPr>
          <w:rFonts w:cs="Arial"/>
          <w:szCs w:val="22"/>
        </w:rPr>
        <w:t>In addition to the proposed programme of works detailed at point 2.4,</w:t>
      </w:r>
      <w:r>
        <w:rPr>
          <w:rFonts w:cs="Arial"/>
          <w:szCs w:val="22"/>
        </w:rPr>
        <w:t xml:space="preserve"> Cassiobridge play area is in need of upgrading and is currently scheduled to be </w:t>
      </w:r>
      <w:r w:rsidR="000F08A7">
        <w:rPr>
          <w:rFonts w:cs="Arial"/>
          <w:szCs w:val="22"/>
        </w:rPr>
        <w:t>refurbished</w:t>
      </w:r>
      <w:r>
        <w:rPr>
          <w:rFonts w:cs="Arial"/>
          <w:szCs w:val="22"/>
        </w:rPr>
        <w:t xml:space="preserve"> as part of the Croxley Rail Link project. Officers propose that should anything change with th</w:t>
      </w:r>
      <w:r w:rsidR="000F08A7">
        <w:rPr>
          <w:rFonts w:cs="Arial"/>
          <w:szCs w:val="22"/>
        </w:rPr>
        <w:t>is</w:t>
      </w:r>
      <w:r>
        <w:rPr>
          <w:rFonts w:cs="Arial"/>
          <w:szCs w:val="22"/>
        </w:rPr>
        <w:t xml:space="preserve"> project, then Cassiobridge play area </w:t>
      </w:r>
      <w:r w:rsidR="00FC1E0E">
        <w:rPr>
          <w:rFonts w:cs="Arial"/>
          <w:szCs w:val="22"/>
        </w:rPr>
        <w:t>will need to be included in the work programme</w:t>
      </w:r>
      <w:r w:rsidR="00522428">
        <w:rPr>
          <w:rFonts w:cs="Arial"/>
          <w:szCs w:val="22"/>
        </w:rPr>
        <w:t>.</w:t>
      </w:r>
    </w:p>
    <w:p w:rsidR="00E24A7D" w:rsidRDefault="00E24A7D" w:rsidP="00097B00">
      <w:pPr>
        <w:ind w:left="1267" w:hanging="1267"/>
        <w:rPr>
          <w:rFonts w:cs="Arial"/>
          <w:szCs w:val="22"/>
        </w:rPr>
      </w:pPr>
    </w:p>
    <w:p w:rsidR="00097B00" w:rsidRDefault="00097B00" w:rsidP="00097B00">
      <w:pPr>
        <w:ind w:left="1267" w:hanging="1267"/>
        <w:rPr>
          <w:rFonts w:cs="Arial"/>
          <w:szCs w:val="22"/>
        </w:rPr>
      </w:pPr>
      <w:r>
        <w:rPr>
          <w:rFonts w:cs="Arial"/>
          <w:szCs w:val="22"/>
        </w:rPr>
        <w:t>2.</w:t>
      </w:r>
      <w:r w:rsidR="000F08A7">
        <w:rPr>
          <w:rFonts w:cs="Arial"/>
          <w:szCs w:val="22"/>
        </w:rPr>
        <w:t>6</w:t>
      </w:r>
      <w:r>
        <w:rPr>
          <w:rFonts w:cs="Arial"/>
          <w:szCs w:val="22"/>
        </w:rPr>
        <w:tab/>
        <w:t>During</w:t>
      </w:r>
      <w:r w:rsidR="000F08A7">
        <w:rPr>
          <w:rFonts w:cs="Arial"/>
          <w:szCs w:val="22"/>
        </w:rPr>
        <w:t xml:space="preserve"> the</w:t>
      </w:r>
      <w:r>
        <w:rPr>
          <w:rFonts w:cs="Arial"/>
          <w:szCs w:val="22"/>
        </w:rPr>
        <w:t xml:space="preserve"> financial year 202</w:t>
      </w:r>
      <w:r w:rsidR="000F08A7">
        <w:rPr>
          <w:rFonts w:cs="Arial"/>
          <w:szCs w:val="22"/>
        </w:rPr>
        <w:t>2</w:t>
      </w:r>
      <w:r>
        <w:rPr>
          <w:rFonts w:cs="Arial"/>
          <w:szCs w:val="22"/>
        </w:rPr>
        <w:t>/2</w:t>
      </w:r>
      <w:r w:rsidR="000F08A7">
        <w:rPr>
          <w:rFonts w:cs="Arial"/>
          <w:szCs w:val="22"/>
        </w:rPr>
        <w:t>3</w:t>
      </w:r>
      <w:r>
        <w:rPr>
          <w:rFonts w:cs="Arial"/>
          <w:szCs w:val="22"/>
        </w:rPr>
        <w:t xml:space="preserve"> it is proposed that a programme of works be produced to upgrade any items within existing refurbished play areas to ensure the Council continues to provide high quality leisure facilities, which the community values. This will include looking at play areas that have been completed since 2008, including Barton Way play area, Hayling Road play area, Oulton Way play area </w:t>
      </w:r>
      <w:r w:rsidR="00AE2851">
        <w:rPr>
          <w:rFonts w:cs="Arial"/>
          <w:szCs w:val="22"/>
        </w:rPr>
        <w:t>etc. and assessed as a result of the annual play</w:t>
      </w:r>
      <w:r w:rsidR="003827BA">
        <w:rPr>
          <w:rFonts w:cs="Arial"/>
          <w:szCs w:val="22"/>
        </w:rPr>
        <w:t xml:space="preserve"> area</w:t>
      </w:r>
      <w:r w:rsidR="00AE2851">
        <w:rPr>
          <w:rFonts w:cs="Arial"/>
          <w:szCs w:val="22"/>
        </w:rPr>
        <w:t xml:space="preserve"> inspections</w:t>
      </w:r>
      <w:r w:rsidR="003827BA">
        <w:rPr>
          <w:rFonts w:cs="Arial"/>
          <w:szCs w:val="22"/>
        </w:rPr>
        <w:t xml:space="preserve"> (inspected by an accredited Registered Play Inspector)</w:t>
      </w:r>
      <w:r>
        <w:rPr>
          <w:rFonts w:cs="Arial"/>
          <w:szCs w:val="22"/>
        </w:rPr>
        <w:t>.</w:t>
      </w:r>
    </w:p>
    <w:p w:rsidR="00097B00" w:rsidRDefault="00097B00" w:rsidP="009C43A1">
      <w:pPr>
        <w:ind w:left="1260" w:hanging="1260"/>
        <w:rPr>
          <w:rFonts w:cs="Arial"/>
          <w:szCs w:val="22"/>
        </w:rPr>
      </w:pPr>
    </w:p>
    <w:p w:rsidR="009C43A1" w:rsidRDefault="009C43A1" w:rsidP="00DF6191">
      <w:pPr>
        <w:ind w:left="1260" w:hanging="1260"/>
        <w:rPr>
          <w:rFonts w:cs="Arial"/>
          <w:szCs w:val="22"/>
        </w:rPr>
      </w:pPr>
      <w:r w:rsidRPr="006D6CE9">
        <w:rPr>
          <w:rFonts w:cs="Arial"/>
          <w:szCs w:val="22"/>
        </w:rPr>
        <w:t>2.</w:t>
      </w:r>
      <w:r w:rsidR="000F08A7">
        <w:rPr>
          <w:rFonts w:cs="Arial"/>
          <w:szCs w:val="22"/>
        </w:rPr>
        <w:t>7</w:t>
      </w:r>
      <w:r w:rsidRPr="006D6CE9">
        <w:rPr>
          <w:rFonts w:cs="Arial"/>
          <w:szCs w:val="22"/>
        </w:rPr>
        <w:tab/>
        <w:t>Members have previously agreed £100,000 from 2017/18 onwards for improving/upgrading future schemes. Officers therefore propose that this funding be utilised for the priority order detailed in 2.</w:t>
      </w:r>
      <w:r w:rsidR="0067513B">
        <w:rPr>
          <w:rFonts w:cs="Arial"/>
          <w:szCs w:val="22"/>
        </w:rPr>
        <w:t>4</w:t>
      </w:r>
      <w:r w:rsidRPr="006D6CE9">
        <w:rPr>
          <w:rFonts w:cs="Arial"/>
          <w:szCs w:val="22"/>
        </w:rPr>
        <w:t xml:space="preserve"> and, should any additional funding be required, an application for this be submitted as part of the service planning process. </w:t>
      </w:r>
    </w:p>
    <w:p w:rsidR="00097B00" w:rsidRDefault="00097B00" w:rsidP="009C43A1">
      <w:pPr>
        <w:ind w:left="1260" w:hanging="1260"/>
        <w:rPr>
          <w:rFonts w:cs="Arial"/>
          <w:szCs w:val="22"/>
        </w:rPr>
      </w:pPr>
    </w:p>
    <w:p w:rsidR="009C43A1" w:rsidRDefault="00097B00" w:rsidP="00097B00">
      <w:pPr>
        <w:ind w:left="1260" w:hanging="1260"/>
        <w:rPr>
          <w:rFonts w:cs="Arial"/>
          <w:szCs w:val="22"/>
        </w:rPr>
      </w:pPr>
      <w:r>
        <w:rPr>
          <w:rFonts w:cs="Arial"/>
          <w:szCs w:val="22"/>
        </w:rPr>
        <w:t>2.</w:t>
      </w:r>
      <w:r w:rsidR="000F08A7">
        <w:rPr>
          <w:rFonts w:cs="Arial"/>
          <w:szCs w:val="22"/>
        </w:rPr>
        <w:t>8</w:t>
      </w:r>
      <w:r>
        <w:rPr>
          <w:rFonts w:cs="Arial"/>
          <w:szCs w:val="22"/>
        </w:rPr>
        <w:tab/>
        <w:t xml:space="preserve">It is also proposed that as with previous </w:t>
      </w:r>
      <w:r w:rsidRPr="00DB6130">
        <w:rPr>
          <w:rFonts w:cs="Arial"/>
          <w:szCs w:val="22"/>
        </w:rPr>
        <w:t xml:space="preserve">refurbishments, an increase in revenue costs to maintain upgraded sites be included as </w:t>
      </w:r>
      <w:r w:rsidR="00DB6130" w:rsidRPr="00DB6130">
        <w:rPr>
          <w:rFonts w:cs="Arial"/>
          <w:szCs w:val="22"/>
        </w:rPr>
        <w:t>detailed in point 5.3</w:t>
      </w:r>
      <w:r w:rsidRPr="00DB6130">
        <w:rPr>
          <w:rFonts w:cs="Arial"/>
          <w:szCs w:val="22"/>
        </w:rPr>
        <w:t>.</w:t>
      </w:r>
      <w:r w:rsidR="009C43A1" w:rsidRPr="006D6CE9">
        <w:rPr>
          <w:rFonts w:cs="Arial"/>
          <w:szCs w:val="22"/>
        </w:rPr>
        <w:tab/>
      </w:r>
    </w:p>
    <w:p w:rsidR="00E71A2E" w:rsidRDefault="00E71A2E" w:rsidP="00097B00">
      <w:pPr>
        <w:ind w:left="1260" w:hanging="1260"/>
        <w:rPr>
          <w:rFonts w:cs="Arial"/>
          <w:szCs w:val="22"/>
        </w:rPr>
      </w:pPr>
    </w:p>
    <w:p w:rsidR="00E71A2E" w:rsidRDefault="00E71A2E" w:rsidP="00097B00">
      <w:pPr>
        <w:ind w:left="1260" w:hanging="1260"/>
        <w:rPr>
          <w:rFonts w:cs="Arial"/>
          <w:szCs w:val="22"/>
        </w:rPr>
      </w:pPr>
      <w:r>
        <w:rPr>
          <w:rFonts w:cs="Arial"/>
          <w:szCs w:val="22"/>
        </w:rPr>
        <w:t>2.</w:t>
      </w:r>
      <w:r w:rsidR="000F08A7">
        <w:rPr>
          <w:rFonts w:cs="Arial"/>
          <w:szCs w:val="22"/>
        </w:rPr>
        <w:t>9</w:t>
      </w:r>
      <w:r>
        <w:rPr>
          <w:rFonts w:cs="Arial"/>
          <w:szCs w:val="22"/>
        </w:rPr>
        <w:tab/>
        <w:t>Members previously requested details on when play areas were upgraded, they are as follows:</w:t>
      </w:r>
    </w:p>
    <w:p w:rsidR="00E71A2E" w:rsidRPr="006D6CE9" w:rsidRDefault="00E71A2E" w:rsidP="00097B00">
      <w:pPr>
        <w:ind w:left="1260" w:hanging="1260"/>
        <w:rPr>
          <w:rFonts w:cs="Arial"/>
          <w:szCs w:val="22"/>
        </w:rPr>
      </w:pPr>
      <w:r>
        <w:rPr>
          <w:rFonts w:cs="Arial"/>
          <w:szCs w:val="22"/>
        </w:rPr>
        <w:tab/>
      </w:r>
    </w:p>
    <w:tbl>
      <w:tblPr>
        <w:tblStyle w:val="TableGrid"/>
        <w:tblW w:w="8204" w:type="dxa"/>
        <w:tblInd w:w="959" w:type="dxa"/>
        <w:tblLook w:val="04A0" w:firstRow="1" w:lastRow="0" w:firstColumn="1" w:lastColumn="0" w:noHBand="0" w:noVBand="1"/>
      </w:tblPr>
      <w:tblGrid>
        <w:gridCol w:w="1967"/>
        <w:gridCol w:w="6237"/>
      </w:tblGrid>
      <w:tr w:rsidR="00E71A2E" w:rsidTr="00E71A2E">
        <w:tc>
          <w:tcPr>
            <w:tcW w:w="1967" w:type="dxa"/>
          </w:tcPr>
          <w:p w:rsidR="00E71A2E" w:rsidRPr="00E71A2E" w:rsidRDefault="00E71A2E" w:rsidP="00E71A2E">
            <w:pPr>
              <w:jc w:val="center"/>
              <w:rPr>
                <w:rFonts w:cs="Arial"/>
                <w:b/>
                <w:szCs w:val="22"/>
              </w:rPr>
            </w:pPr>
            <w:r w:rsidRPr="00E71A2E">
              <w:rPr>
                <w:rFonts w:cs="Arial"/>
                <w:b/>
                <w:szCs w:val="22"/>
              </w:rPr>
              <w:t>Financial Year</w:t>
            </w:r>
          </w:p>
        </w:tc>
        <w:tc>
          <w:tcPr>
            <w:tcW w:w="6237" w:type="dxa"/>
          </w:tcPr>
          <w:p w:rsidR="00E71A2E" w:rsidRPr="00E71A2E" w:rsidRDefault="00E71A2E" w:rsidP="00E71A2E">
            <w:pPr>
              <w:jc w:val="center"/>
              <w:rPr>
                <w:rFonts w:cs="Arial"/>
                <w:b/>
                <w:szCs w:val="22"/>
              </w:rPr>
            </w:pPr>
            <w:r w:rsidRPr="00E71A2E">
              <w:rPr>
                <w:rFonts w:cs="Arial"/>
                <w:b/>
                <w:szCs w:val="22"/>
              </w:rPr>
              <w:t>Site</w:t>
            </w:r>
          </w:p>
        </w:tc>
      </w:tr>
      <w:tr w:rsidR="00E71A2E" w:rsidTr="00E71A2E">
        <w:tc>
          <w:tcPr>
            <w:tcW w:w="1967" w:type="dxa"/>
          </w:tcPr>
          <w:p w:rsidR="00E71A2E" w:rsidRDefault="00E71A2E" w:rsidP="00E71A2E">
            <w:pPr>
              <w:jc w:val="center"/>
              <w:rPr>
                <w:rFonts w:cs="Arial"/>
                <w:szCs w:val="22"/>
              </w:rPr>
            </w:pPr>
            <w:r>
              <w:rPr>
                <w:rFonts w:cs="Arial"/>
                <w:szCs w:val="22"/>
              </w:rPr>
              <w:t>2008/09</w:t>
            </w:r>
          </w:p>
        </w:tc>
        <w:tc>
          <w:tcPr>
            <w:tcW w:w="6237" w:type="dxa"/>
          </w:tcPr>
          <w:p w:rsidR="00E71A2E" w:rsidRDefault="00E71A2E" w:rsidP="00097B00">
            <w:pPr>
              <w:rPr>
                <w:rFonts w:cs="Arial"/>
                <w:szCs w:val="22"/>
              </w:rPr>
            </w:pPr>
            <w:proofErr w:type="spellStart"/>
            <w:r>
              <w:rPr>
                <w:rFonts w:cs="Arial"/>
                <w:szCs w:val="22"/>
              </w:rPr>
              <w:t>Eastbury</w:t>
            </w:r>
            <w:proofErr w:type="spellEnd"/>
            <w:r>
              <w:rPr>
                <w:rFonts w:cs="Arial"/>
                <w:szCs w:val="22"/>
              </w:rPr>
              <w:t xml:space="preserve"> play area</w:t>
            </w:r>
          </w:p>
          <w:p w:rsidR="00DB6130" w:rsidRDefault="00DB6130" w:rsidP="00097B00">
            <w:pPr>
              <w:rPr>
                <w:rFonts w:cs="Arial"/>
                <w:szCs w:val="22"/>
              </w:rPr>
            </w:pPr>
            <w:r>
              <w:rPr>
                <w:rFonts w:cs="Arial"/>
                <w:szCs w:val="22"/>
              </w:rPr>
              <w:t>New toddler swings at Leavesden Country Park (previously upgraded in 2004)</w:t>
            </w:r>
          </w:p>
        </w:tc>
      </w:tr>
      <w:tr w:rsidR="00E71A2E" w:rsidTr="00E71A2E">
        <w:tc>
          <w:tcPr>
            <w:tcW w:w="1967" w:type="dxa"/>
          </w:tcPr>
          <w:p w:rsidR="00E71A2E" w:rsidRDefault="00E71A2E" w:rsidP="00E71A2E">
            <w:pPr>
              <w:jc w:val="center"/>
              <w:rPr>
                <w:rFonts w:cs="Arial"/>
                <w:szCs w:val="22"/>
              </w:rPr>
            </w:pPr>
            <w:r>
              <w:rPr>
                <w:rFonts w:cs="Arial"/>
                <w:szCs w:val="22"/>
              </w:rPr>
              <w:t>2009/10</w:t>
            </w:r>
          </w:p>
        </w:tc>
        <w:tc>
          <w:tcPr>
            <w:tcW w:w="6237" w:type="dxa"/>
          </w:tcPr>
          <w:p w:rsidR="00E71A2E" w:rsidRDefault="00E71A2E" w:rsidP="00097B00">
            <w:pPr>
              <w:rPr>
                <w:rFonts w:cs="Arial"/>
                <w:szCs w:val="22"/>
              </w:rPr>
            </w:pPr>
            <w:r>
              <w:rPr>
                <w:rFonts w:cs="Arial"/>
                <w:szCs w:val="22"/>
              </w:rPr>
              <w:t>Barton Way play area</w:t>
            </w:r>
          </w:p>
        </w:tc>
      </w:tr>
      <w:tr w:rsidR="00E71A2E" w:rsidTr="00E71A2E">
        <w:tc>
          <w:tcPr>
            <w:tcW w:w="1967" w:type="dxa"/>
          </w:tcPr>
          <w:p w:rsidR="00E71A2E" w:rsidRDefault="00E71A2E" w:rsidP="00E71A2E">
            <w:pPr>
              <w:jc w:val="center"/>
              <w:rPr>
                <w:rFonts w:cs="Arial"/>
                <w:szCs w:val="22"/>
              </w:rPr>
            </w:pPr>
            <w:r>
              <w:rPr>
                <w:rFonts w:cs="Arial"/>
                <w:szCs w:val="22"/>
              </w:rPr>
              <w:t>2010/11</w:t>
            </w:r>
          </w:p>
        </w:tc>
        <w:tc>
          <w:tcPr>
            <w:tcW w:w="6237" w:type="dxa"/>
          </w:tcPr>
          <w:p w:rsidR="00E71A2E" w:rsidRDefault="00E71A2E" w:rsidP="00097B00">
            <w:pPr>
              <w:rPr>
                <w:rFonts w:cs="Arial"/>
                <w:szCs w:val="22"/>
              </w:rPr>
            </w:pPr>
            <w:r>
              <w:rPr>
                <w:rFonts w:cs="Arial"/>
                <w:szCs w:val="22"/>
              </w:rPr>
              <w:t>Hayling Road, Ashburnham Drive and Oulton Way play areas</w:t>
            </w:r>
          </w:p>
        </w:tc>
      </w:tr>
      <w:tr w:rsidR="00E71A2E" w:rsidTr="00E71A2E">
        <w:tc>
          <w:tcPr>
            <w:tcW w:w="1967" w:type="dxa"/>
          </w:tcPr>
          <w:p w:rsidR="00E71A2E" w:rsidRDefault="00E71A2E" w:rsidP="00E71A2E">
            <w:pPr>
              <w:jc w:val="center"/>
              <w:rPr>
                <w:rFonts w:cs="Arial"/>
                <w:szCs w:val="22"/>
              </w:rPr>
            </w:pPr>
            <w:r>
              <w:rPr>
                <w:rFonts w:cs="Arial"/>
                <w:szCs w:val="22"/>
              </w:rPr>
              <w:t>2011/12</w:t>
            </w:r>
          </w:p>
        </w:tc>
        <w:tc>
          <w:tcPr>
            <w:tcW w:w="6237" w:type="dxa"/>
          </w:tcPr>
          <w:p w:rsidR="00E71A2E" w:rsidRDefault="00E71A2E" w:rsidP="00097B00">
            <w:pPr>
              <w:rPr>
                <w:rFonts w:cs="Arial"/>
                <w:szCs w:val="22"/>
              </w:rPr>
            </w:pPr>
            <w:r>
              <w:rPr>
                <w:rFonts w:cs="Arial"/>
                <w:szCs w:val="22"/>
              </w:rPr>
              <w:t xml:space="preserve">South Way, </w:t>
            </w:r>
            <w:proofErr w:type="spellStart"/>
            <w:r>
              <w:rPr>
                <w:rFonts w:cs="Arial"/>
                <w:szCs w:val="22"/>
              </w:rPr>
              <w:t>Scotsbridge</w:t>
            </w:r>
            <w:proofErr w:type="spellEnd"/>
            <w:r>
              <w:rPr>
                <w:rFonts w:cs="Arial"/>
                <w:szCs w:val="22"/>
              </w:rPr>
              <w:t xml:space="preserve"> and Langley Lane play areas</w:t>
            </w:r>
          </w:p>
        </w:tc>
      </w:tr>
      <w:tr w:rsidR="00E71A2E" w:rsidTr="00E71A2E">
        <w:tc>
          <w:tcPr>
            <w:tcW w:w="1967" w:type="dxa"/>
          </w:tcPr>
          <w:p w:rsidR="00E71A2E" w:rsidRDefault="00E71A2E" w:rsidP="00E71A2E">
            <w:pPr>
              <w:jc w:val="center"/>
              <w:rPr>
                <w:rFonts w:cs="Arial"/>
                <w:szCs w:val="22"/>
              </w:rPr>
            </w:pPr>
            <w:r>
              <w:rPr>
                <w:rFonts w:cs="Arial"/>
                <w:szCs w:val="22"/>
              </w:rPr>
              <w:t>2012/13</w:t>
            </w:r>
          </w:p>
        </w:tc>
        <w:tc>
          <w:tcPr>
            <w:tcW w:w="6237" w:type="dxa"/>
          </w:tcPr>
          <w:p w:rsidR="00E71A2E" w:rsidRDefault="00E71A2E" w:rsidP="00097B00">
            <w:pPr>
              <w:rPr>
                <w:rFonts w:cs="Arial"/>
                <w:szCs w:val="22"/>
              </w:rPr>
            </w:pPr>
            <w:r>
              <w:rPr>
                <w:rFonts w:cs="Arial"/>
                <w:szCs w:val="22"/>
              </w:rPr>
              <w:t xml:space="preserve">King George V, Mill End and </w:t>
            </w:r>
            <w:proofErr w:type="spellStart"/>
            <w:r>
              <w:rPr>
                <w:rFonts w:cs="Arial"/>
                <w:szCs w:val="22"/>
              </w:rPr>
              <w:t>Baldwins</w:t>
            </w:r>
            <w:proofErr w:type="spellEnd"/>
            <w:r>
              <w:rPr>
                <w:rFonts w:cs="Arial"/>
                <w:szCs w:val="22"/>
              </w:rPr>
              <w:t xml:space="preserve"> Lane play areas</w:t>
            </w:r>
          </w:p>
        </w:tc>
      </w:tr>
      <w:tr w:rsidR="00E71A2E" w:rsidTr="00E71A2E">
        <w:tc>
          <w:tcPr>
            <w:tcW w:w="1967" w:type="dxa"/>
          </w:tcPr>
          <w:p w:rsidR="00E71A2E" w:rsidRDefault="00E71A2E" w:rsidP="00E71A2E">
            <w:pPr>
              <w:jc w:val="center"/>
              <w:rPr>
                <w:rFonts w:cs="Arial"/>
                <w:szCs w:val="22"/>
              </w:rPr>
            </w:pPr>
            <w:r>
              <w:rPr>
                <w:rFonts w:cs="Arial"/>
                <w:szCs w:val="22"/>
              </w:rPr>
              <w:t>2013/14</w:t>
            </w:r>
          </w:p>
        </w:tc>
        <w:tc>
          <w:tcPr>
            <w:tcW w:w="6237" w:type="dxa"/>
          </w:tcPr>
          <w:p w:rsidR="00E71A2E" w:rsidRDefault="00E71A2E" w:rsidP="00097B00">
            <w:pPr>
              <w:rPr>
                <w:rFonts w:cs="Arial"/>
                <w:szCs w:val="22"/>
              </w:rPr>
            </w:pPr>
            <w:r>
              <w:rPr>
                <w:rFonts w:cs="Arial"/>
                <w:szCs w:val="22"/>
              </w:rPr>
              <w:t>Ashridge play areas</w:t>
            </w:r>
          </w:p>
        </w:tc>
      </w:tr>
      <w:tr w:rsidR="00E71A2E" w:rsidTr="00E71A2E">
        <w:tc>
          <w:tcPr>
            <w:tcW w:w="1967" w:type="dxa"/>
          </w:tcPr>
          <w:p w:rsidR="00E71A2E" w:rsidRDefault="00E71A2E" w:rsidP="00E71A2E">
            <w:pPr>
              <w:jc w:val="center"/>
              <w:rPr>
                <w:rFonts w:cs="Arial"/>
                <w:szCs w:val="22"/>
              </w:rPr>
            </w:pPr>
            <w:r>
              <w:rPr>
                <w:rFonts w:cs="Arial"/>
                <w:szCs w:val="22"/>
              </w:rPr>
              <w:t>2014/15</w:t>
            </w:r>
          </w:p>
        </w:tc>
        <w:tc>
          <w:tcPr>
            <w:tcW w:w="6237" w:type="dxa"/>
          </w:tcPr>
          <w:p w:rsidR="00E71A2E" w:rsidRDefault="00E71A2E" w:rsidP="00097B00">
            <w:pPr>
              <w:rPr>
                <w:rFonts w:cs="Arial"/>
                <w:szCs w:val="22"/>
              </w:rPr>
            </w:pPr>
            <w:proofErr w:type="spellStart"/>
            <w:r>
              <w:rPr>
                <w:rFonts w:cs="Arial"/>
                <w:szCs w:val="22"/>
              </w:rPr>
              <w:t>Carpenders</w:t>
            </w:r>
            <w:proofErr w:type="spellEnd"/>
            <w:r>
              <w:rPr>
                <w:rFonts w:cs="Arial"/>
                <w:szCs w:val="22"/>
              </w:rPr>
              <w:t xml:space="preserve"> Park and </w:t>
            </w:r>
            <w:proofErr w:type="spellStart"/>
            <w:r>
              <w:rPr>
                <w:rFonts w:cs="Arial"/>
                <w:szCs w:val="22"/>
              </w:rPr>
              <w:t>Hornhill</w:t>
            </w:r>
            <w:proofErr w:type="spellEnd"/>
            <w:r>
              <w:rPr>
                <w:rFonts w:cs="Arial"/>
                <w:szCs w:val="22"/>
              </w:rPr>
              <w:t xml:space="preserve"> play areas</w:t>
            </w:r>
          </w:p>
        </w:tc>
      </w:tr>
      <w:tr w:rsidR="00E71A2E" w:rsidTr="00E71A2E">
        <w:tc>
          <w:tcPr>
            <w:tcW w:w="1967" w:type="dxa"/>
          </w:tcPr>
          <w:p w:rsidR="00E71A2E" w:rsidRDefault="00E71A2E" w:rsidP="00E71A2E">
            <w:pPr>
              <w:jc w:val="center"/>
              <w:rPr>
                <w:rFonts w:cs="Arial"/>
                <w:szCs w:val="22"/>
              </w:rPr>
            </w:pPr>
            <w:r>
              <w:rPr>
                <w:rFonts w:cs="Arial"/>
                <w:szCs w:val="22"/>
              </w:rPr>
              <w:t>2015/16</w:t>
            </w:r>
          </w:p>
        </w:tc>
        <w:tc>
          <w:tcPr>
            <w:tcW w:w="6237" w:type="dxa"/>
          </w:tcPr>
          <w:p w:rsidR="00E71A2E" w:rsidRDefault="00E71A2E" w:rsidP="00097B00">
            <w:pPr>
              <w:rPr>
                <w:rFonts w:cs="Arial"/>
                <w:szCs w:val="22"/>
              </w:rPr>
            </w:pPr>
            <w:proofErr w:type="spellStart"/>
            <w:r>
              <w:rPr>
                <w:rFonts w:cs="Arial"/>
                <w:szCs w:val="22"/>
              </w:rPr>
              <w:t>Ebury</w:t>
            </w:r>
            <w:proofErr w:type="spellEnd"/>
            <w:r>
              <w:rPr>
                <w:rFonts w:cs="Arial"/>
                <w:szCs w:val="22"/>
              </w:rPr>
              <w:t xml:space="preserve"> play area</w:t>
            </w:r>
          </w:p>
        </w:tc>
      </w:tr>
      <w:tr w:rsidR="00E71A2E" w:rsidTr="00E71A2E">
        <w:tc>
          <w:tcPr>
            <w:tcW w:w="1967" w:type="dxa"/>
          </w:tcPr>
          <w:p w:rsidR="00E71A2E" w:rsidRDefault="00E71A2E" w:rsidP="00E71A2E">
            <w:pPr>
              <w:jc w:val="center"/>
              <w:rPr>
                <w:rFonts w:cs="Arial"/>
                <w:szCs w:val="22"/>
              </w:rPr>
            </w:pPr>
            <w:r>
              <w:rPr>
                <w:rFonts w:cs="Arial"/>
                <w:szCs w:val="22"/>
              </w:rPr>
              <w:t>2016/17</w:t>
            </w:r>
          </w:p>
        </w:tc>
        <w:tc>
          <w:tcPr>
            <w:tcW w:w="6237" w:type="dxa"/>
          </w:tcPr>
          <w:p w:rsidR="00E71A2E" w:rsidRDefault="00E71A2E" w:rsidP="00097B00">
            <w:pPr>
              <w:rPr>
                <w:rFonts w:cs="Arial"/>
                <w:szCs w:val="22"/>
              </w:rPr>
            </w:pPr>
            <w:r>
              <w:rPr>
                <w:rFonts w:cs="Arial"/>
                <w:szCs w:val="22"/>
              </w:rPr>
              <w:t xml:space="preserve">Manor House grounds and </w:t>
            </w:r>
            <w:proofErr w:type="spellStart"/>
            <w:r>
              <w:rPr>
                <w:rFonts w:cs="Arial"/>
                <w:szCs w:val="22"/>
              </w:rPr>
              <w:t>Bedmond</w:t>
            </w:r>
            <w:proofErr w:type="spellEnd"/>
            <w:r>
              <w:rPr>
                <w:rFonts w:cs="Arial"/>
                <w:szCs w:val="22"/>
              </w:rPr>
              <w:t xml:space="preserve"> play areas</w:t>
            </w:r>
          </w:p>
        </w:tc>
      </w:tr>
    </w:tbl>
    <w:p w:rsidR="00E71A2E" w:rsidRPr="006D6CE9" w:rsidRDefault="00E71A2E" w:rsidP="00097B00">
      <w:pPr>
        <w:rPr>
          <w:rFonts w:cs="Arial"/>
          <w:szCs w:val="22"/>
        </w:rPr>
      </w:pPr>
    </w:p>
    <w:p w:rsidR="009C43A1" w:rsidRPr="006D6CE9" w:rsidRDefault="009C43A1" w:rsidP="009C43A1">
      <w:pPr>
        <w:keepNext/>
        <w:ind w:left="1267" w:hanging="1267"/>
        <w:rPr>
          <w:rFonts w:cs="Arial"/>
          <w:szCs w:val="22"/>
        </w:rPr>
      </w:pPr>
      <w:r w:rsidRPr="006D6CE9">
        <w:rPr>
          <w:rFonts w:cs="Arial"/>
          <w:szCs w:val="22"/>
        </w:rPr>
        <w:lastRenderedPageBreak/>
        <w:t>3.</w:t>
      </w:r>
      <w:r w:rsidRPr="006D6CE9">
        <w:rPr>
          <w:rFonts w:cs="Arial"/>
          <w:szCs w:val="22"/>
        </w:rPr>
        <w:tab/>
      </w:r>
      <w:r w:rsidRPr="006D6CE9">
        <w:rPr>
          <w:rFonts w:cs="Arial"/>
          <w:b/>
          <w:szCs w:val="22"/>
        </w:rPr>
        <w:t>Options/Reasons for Recommendation</w:t>
      </w:r>
    </w:p>
    <w:p w:rsidR="009C43A1" w:rsidRPr="006D6CE9" w:rsidRDefault="009C43A1" w:rsidP="009C43A1">
      <w:pPr>
        <w:keepNext/>
        <w:ind w:left="1267" w:hanging="1267"/>
        <w:rPr>
          <w:rFonts w:cs="Arial"/>
          <w:szCs w:val="22"/>
        </w:rPr>
      </w:pPr>
    </w:p>
    <w:p w:rsidR="00097B00" w:rsidRPr="006D6CE9" w:rsidRDefault="009C43A1" w:rsidP="00097B00">
      <w:pPr>
        <w:ind w:left="1267" w:hanging="1267"/>
        <w:rPr>
          <w:rFonts w:cs="Arial"/>
          <w:szCs w:val="22"/>
        </w:rPr>
      </w:pPr>
      <w:r w:rsidRPr="006D6CE9">
        <w:rPr>
          <w:rFonts w:cs="Arial"/>
          <w:szCs w:val="22"/>
        </w:rPr>
        <w:t>3.1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 xml:space="preserve">The purpose of this report is to provide Members with </w:t>
      </w:r>
      <w:r w:rsidR="00097B00" w:rsidRPr="006D6CE9">
        <w:rPr>
          <w:rFonts w:cs="Arial"/>
          <w:szCs w:val="22"/>
        </w:rPr>
        <w:t>proposals for the future priority order for upgrading and refurbishing small leisure capital facilities in the District.</w:t>
      </w:r>
    </w:p>
    <w:p w:rsidR="009C43A1" w:rsidRPr="006D6CE9" w:rsidRDefault="009C43A1" w:rsidP="009C43A1">
      <w:pPr>
        <w:ind w:left="1267" w:hanging="1267"/>
        <w:rPr>
          <w:rFonts w:cs="Arial"/>
          <w:szCs w:val="22"/>
        </w:rPr>
      </w:pPr>
    </w:p>
    <w:p w:rsidR="009C43A1" w:rsidRPr="006D6CE9" w:rsidRDefault="009C43A1" w:rsidP="009C43A1">
      <w:pPr>
        <w:keepNext/>
        <w:ind w:left="1267" w:hanging="1267"/>
        <w:rPr>
          <w:rFonts w:cs="Arial"/>
          <w:szCs w:val="22"/>
        </w:rPr>
      </w:pPr>
      <w:r w:rsidRPr="006D6CE9">
        <w:rPr>
          <w:rFonts w:cs="Arial"/>
          <w:szCs w:val="22"/>
        </w:rPr>
        <w:t>4.</w:t>
      </w:r>
      <w:r w:rsidRPr="006D6CE9">
        <w:rPr>
          <w:rFonts w:cs="Arial"/>
          <w:szCs w:val="22"/>
        </w:rPr>
        <w:tab/>
      </w:r>
      <w:r w:rsidRPr="006D6CE9">
        <w:rPr>
          <w:rFonts w:cs="Arial"/>
          <w:b/>
          <w:szCs w:val="22"/>
        </w:rPr>
        <w:t>Policy/Budget Reference and Implications</w:t>
      </w:r>
    </w:p>
    <w:p w:rsidR="009C43A1" w:rsidRPr="006D6CE9" w:rsidRDefault="009C43A1" w:rsidP="009C43A1">
      <w:pPr>
        <w:rPr>
          <w:rFonts w:cs="Arial"/>
          <w:szCs w:val="22"/>
        </w:rPr>
      </w:pPr>
    </w:p>
    <w:p w:rsidR="009C43A1" w:rsidRPr="006D6CE9" w:rsidRDefault="009C43A1" w:rsidP="009C43A1">
      <w:pPr>
        <w:ind w:left="1267" w:hanging="1267"/>
        <w:rPr>
          <w:rFonts w:cs="Arial"/>
          <w:szCs w:val="22"/>
        </w:rPr>
      </w:pPr>
      <w:r w:rsidRPr="006D6CE9">
        <w:rPr>
          <w:rFonts w:cs="Arial"/>
          <w:szCs w:val="22"/>
        </w:rPr>
        <w:t>4.1</w:t>
      </w:r>
      <w:r w:rsidRPr="006D6CE9">
        <w:rPr>
          <w:rFonts w:cs="Arial"/>
          <w:szCs w:val="22"/>
        </w:rPr>
        <w:tab/>
        <w:t>The recommendations in this report are within the Council’s agreed policy and budgets.  The relevant policy is entitled:</w:t>
      </w:r>
    </w:p>
    <w:p w:rsidR="009C43A1" w:rsidRPr="006D6CE9" w:rsidRDefault="009C43A1" w:rsidP="009C43A1">
      <w:pPr>
        <w:ind w:left="1267" w:hanging="1267"/>
        <w:rPr>
          <w:rFonts w:cs="Arial"/>
          <w:szCs w:val="22"/>
        </w:rPr>
      </w:pPr>
    </w:p>
    <w:p w:rsidR="009C43A1" w:rsidRPr="006D6CE9" w:rsidRDefault="009C43A1" w:rsidP="009C43A1">
      <w:pPr>
        <w:ind w:left="1267" w:hanging="1267"/>
        <w:rPr>
          <w:rFonts w:cs="Arial"/>
          <w:b/>
          <w:szCs w:val="22"/>
        </w:rPr>
      </w:pPr>
      <w:r w:rsidRPr="006D6CE9">
        <w:rPr>
          <w:rFonts w:cs="Arial"/>
          <w:szCs w:val="22"/>
        </w:rPr>
        <w:tab/>
      </w:r>
      <w:r w:rsidRPr="006D6CE9">
        <w:rPr>
          <w:rFonts w:cs="Arial"/>
          <w:b/>
          <w:szCs w:val="22"/>
        </w:rPr>
        <w:t>Community Strategy 2016 – 2019:</w:t>
      </w:r>
    </w:p>
    <w:p w:rsidR="009C43A1" w:rsidRPr="006D6CE9" w:rsidRDefault="009C43A1" w:rsidP="009C43A1">
      <w:pPr>
        <w:ind w:left="1267" w:hanging="1267"/>
        <w:rPr>
          <w:rFonts w:cs="Arial"/>
          <w:szCs w:val="22"/>
        </w:rPr>
      </w:pPr>
      <w:r w:rsidRPr="006D6CE9">
        <w:rPr>
          <w:rFonts w:cs="Arial"/>
          <w:szCs w:val="22"/>
        </w:rPr>
        <w:tab/>
        <w:t>Priority 1: Children and Young People’s Wellbeing</w:t>
      </w:r>
    </w:p>
    <w:p w:rsidR="009C43A1" w:rsidRPr="006D6CE9" w:rsidRDefault="009C43A1" w:rsidP="009C43A1">
      <w:pPr>
        <w:ind w:left="1267" w:hanging="1267"/>
        <w:rPr>
          <w:rFonts w:cs="Arial"/>
          <w:szCs w:val="22"/>
        </w:rPr>
      </w:pPr>
      <w:r w:rsidRPr="006D6CE9">
        <w:rPr>
          <w:rFonts w:cs="Arial"/>
          <w:szCs w:val="22"/>
        </w:rPr>
        <w:tab/>
      </w:r>
      <w:r w:rsidRPr="006D6CE9">
        <w:rPr>
          <w:rFonts w:cs="Arial"/>
          <w:szCs w:val="22"/>
        </w:rPr>
        <w:tab/>
        <w:t>Priority 2: Health and Disability</w:t>
      </w:r>
    </w:p>
    <w:p w:rsidR="009C43A1" w:rsidRPr="006D6CE9" w:rsidRDefault="009C43A1" w:rsidP="009C43A1">
      <w:pPr>
        <w:ind w:left="1267" w:hanging="1267"/>
        <w:rPr>
          <w:rFonts w:cs="Arial"/>
          <w:szCs w:val="22"/>
        </w:rPr>
      </w:pPr>
      <w:r w:rsidRPr="006D6CE9">
        <w:rPr>
          <w:rFonts w:cs="Arial"/>
          <w:szCs w:val="22"/>
        </w:rPr>
        <w:tab/>
        <w:t>Priority 5: Crime and Anti-Social Behaviour</w:t>
      </w:r>
    </w:p>
    <w:p w:rsidR="009C43A1" w:rsidRPr="006D6CE9" w:rsidRDefault="009C43A1" w:rsidP="009C43A1">
      <w:pPr>
        <w:ind w:left="1267" w:hanging="1267"/>
        <w:rPr>
          <w:rFonts w:cs="Arial"/>
          <w:szCs w:val="22"/>
        </w:rPr>
      </w:pPr>
    </w:p>
    <w:p w:rsidR="009C43A1" w:rsidRDefault="009C43A1" w:rsidP="009C43A1">
      <w:pPr>
        <w:ind w:left="1267" w:hanging="1267"/>
        <w:rPr>
          <w:rFonts w:cs="Arial"/>
          <w:b/>
          <w:szCs w:val="22"/>
        </w:rPr>
      </w:pPr>
      <w:r w:rsidRPr="006D6CE9">
        <w:rPr>
          <w:rFonts w:cs="Arial"/>
          <w:szCs w:val="22"/>
        </w:rPr>
        <w:tab/>
      </w:r>
      <w:r w:rsidRPr="00B131DB">
        <w:rPr>
          <w:rFonts w:cs="Arial"/>
          <w:b/>
          <w:szCs w:val="22"/>
        </w:rPr>
        <w:t>TRDC Strategic Plan 2016 – 2019:</w:t>
      </w:r>
    </w:p>
    <w:p w:rsidR="00DB4501" w:rsidRDefault="00DB4501" w:rsidP="009C43A1">
      <w:pPr>
        <w:ind w:left="1267" w:hanging="1267"/>
        <w:rPr>
          <w:rFonts w:cs="Arial"/>
          <w:b/>
          <w:szCs w:val="22"/>
        </w:rPr>
      </w:pPr>
    </w:p>
    <w:p w:rsidR="00D51AED" w:rsidRDefault="00D51AED" w:rsidP="00D51AED">
      <w:pPr>
        <w:ind w:left="1980" w:hanging="1980"/>
        <w:rPr>
          <w:rFonts w:cs="Arial"/>
          <w:szCs w:val="22"/>
        </w:rPr>
      </w:pPr>
      <w:r>
        <w:rPr>
          <w:rFonts w:cs="Arial"/>
          <w:szCs w:val="22"/>
        </w:rPr>
        <w:tab/>
        <w:t>1.1.2</w:t>
      </w:r>
      <w:r>
        <w:rPr>
          <w:rFonts w:cs="Arial"/>
          <w:szCs w:val="22"/>
        </w:rPr>
        <w:tab/>
        <w:t>Maintain the number of accredited open spaces, parks and woodland areas</w:t>
      </w:r>
    </w:p>
    <w:p w:rsidR="00D51AED" w:rsidRDefault="00D51AED" w:rsidP="00D51AED">
      <w:pPr>
        <w:ind w:left="1980" w:hanging="1980"/>
        <w:rPr>
          <w:rFonts w:cs="Arial"/>
          <w:szCs w:val="22"/>
        </w:rPr>
      </w:pPr>
      <w:r>
        <w:rPr>
          <w:rFonts w:cs="Arial"/>
          <w:szCs w:val="22"/>
        </w:rPr>
        <w:tab/>
        <w:t>2.3</w:t>
      </w:r>
      <w:r>
        <w:rPr>
          <w:rFonts w:cs="Arial"/>
          <w:szCs w:val="22"/>
        </w:rPr>
        <w:tab/>
        <w:t>We want to support the most vulnerable in our District</w:t>
      </w:r>
    </w:p>
    <w:p w:rsidR="00D51AED" w:rsidRDefault="00D51AED" w:rsidP="00D51AED">
      <w:pPr>
        <w:ind w:left="1980" w:hanging="1980"/>
        <w:rPr>
          <w:rFonts w:cs="Arial"/>
          <w:szCs w:val="22"/>
        </w:rPr>
      </w:pPr>
      <w:r>
        <w:rPr>
          <w:rFonts w:cs="Arial"/>
          <w:szCs w:val="22"/>
        </w:rPr>
        <w:tab/>
        <w:t>2.3.1</w:t>
      </w:r>
      <w:r>
        <w:rPr>
          <w:rFonts w:cs="Arial"/>
          <w:szCs w:val="22"/>
        </w:rPr>
        <w:tab/>
        <w:t>Reduce anti-social behaviour and crime</w:t>
      </w:r>
    </w:p>
    <w:p w:rsidR="00D51AED" w:rsidRDefault="00D51AED" w:rsidP="00D51AED">
      <w:pPr>
        <w:ind w:left="1980" w:hanging="1980"/>
        <w:rPr>
          <w:rFonts w:cs="Arial"/>
          <w:szCs w:val="22"/>
        </w:rPr>
      </w:pPr>
      <w:r>
        <w:rPr>
          <w:rFonts w:cs="Arial"/>
          <w:szCs w:val="22"/>
        </w:rPr>
        <w:tab/>
        <w:t>2.3.2</w:t>
      </w:r>
      <w:r>
        <w:rPr>
          <w:rFonts w:cs="Arial"/>
          <w:szCs w:val="22"/>
        </w:rPr>
        <w:tab/>
        <w:t>Support vulnerable people</w:t>
      </w:r>
    </w:p>
    <w:p w:rsidR="00D51AED" w:rsidRDefault="00D51AED" w:rsidP="00D51AED">
      <w:pPr>
        <w:ind w:left="1980" w:hanging="1980"/>
        <w:rPr>
          <w:rFonts w:cs="Arial"/>
          <w:szCs w:val="22"/>
        </w:rPr>
      </w:pPr>
      <w:r>
        <w:rPr>
          <w:rFonts w:cs="Arial"/>
          <w:szCs w:val="22"/>
        </w:rPr>
        <w:tab/>
        <w:t>2.4</w:t>
      </w:r>
      <w:r>
        <w:rPr>
          <w:rFonts w:cs="Arial"/>
          <w:szCs w:val="22"/>
        </w:rPr>
        <w:tab/>
        <w:t>We will provide a safe and healthy environment</w:t>
      </w:r>
    </w:p>
    <w:p w:rsidR="00D51AED" w:rsidRDefault="00D51AED" w:rsidP="00D51AED">
      <w:pPr>
        <w:ind w:left="1980" w:hanging="1980"/>
        <w:rPr>
          <w:rFonts w:cs="Arial"/>
          <w:szCs w:val="22"/>
        </w:rPr>
      </w:pPr>
      <w:r>
        <w:rPr>
          <w:rFonts w:cs="Arial"/>
          <w:szCs w:val="22"/>
        </w:rPr>
        <w:tab/>
        <w:t>2.4.1</w:t>
      </w:r>
      <w:r>
        <w:rPr>
          <w:rFonts w:cs="Arial"/>
          <w:szCs w:val="22"/>
        </w:rPr>
        <w:tab/>
        <w:t>Ensure the safety of people in the district</w:t>
      </w:r>
    </w:p>
    <w:p w:rsidR="00D51AED" w:rsidRDefault="00D51AED" w:rsidP="00D51AED">
      <w:pPr>
        <w:ind w:left="1980" w:hanging="1980"/>
        <w:rPr>
          <w:rFonts w:cs="Arial"/>
          <w:szCs w:val="22"/>
        </w:rPr>
      </w:pPr>
      <w:r>
        <w:rPr>
          <w:rFonts w:cs="Arial"/>
          <w:szCs w:val="22"/>
        </w:rPr>
        <w:tab/>
        <w:t>2.5</w:t>
      </w:r>
      <w:r>
        <w:rPr>
          <w:rFonts w:cs="Arial"/>
          <w:szCs w:val="22"/>
        </w:rPr>
        <w:tab/>
        <w:t xml:space="preserve">We will reduce health </w:t>
      </w:r>
      <w:proofErr w:type="gramStart"/>
      <w:r>
        <w:rPr>
          <w:rFonts w:cs="Arial"/>
          <w:szCs w:val="22"/>
        </w:rPr>
        <w:t>inequalities,</w:t>
      </w:r>
      <w:proofErr w:type="gramEnd"/>
      <w:r>
        <w:rPr>
          <w:rFonts w:cs="Arial"/>
          <w:szCs w:val="22"/>
        </w:rPr>
        <w:t xml:space="preserve"> promote healthy lifestyles, support learning and community organisations</w:t>
      </w:r>
    </w:p>
    <w:p w:rsidR="00D51AED" w:rsidRDefault="00D51AED" w:rsidP="00D51AED">
      <w:pPr>
        <w:ind w:left="1980" w:hanging="1980"/>
        <w:rPr>
          <w:rFonts w:cs="Arial"/>
          <w:szCs w:val="22"/>
        </w:rPr>
      </w:pPr>
      <w:r>
        <w:rPr>
          <w:rFonts w:cs="Arial"/>
          <w:szCs w:val="22"/>
        </w:rPr>
        <w:tab/>
      </w:r>
      <w:r w:rsidR="00091056">
        <w:rPr>
          <w:rFonts w:cs="Arial"/>
          <w:szCs w:val="22"/>
        </w:rPr>
        <w:t>2</w:t>
      </w:r>
      <w:r>
        <w:rPr>
          <w:rFonts w:cs="Arial"/>
          <w:szCs w:val="22"/>
        </w:rPr>
        <w:t>.5.1</w:t>
      </w:r>
      <w:r>
        <w:rPr>
          <w:rFonts w:cs="Arial"/>
          <w:szCs w:val="22"/>
        </w:rPr>
        <w:tab/>
        <w:t>Improve and facilitate access to leisure and recreational activities for adults</w:t>
      </w:r>
    </w:p>
    <w:p w:rsidR="00D51AED" w:rsidRDefault="00D51AED" w:rsidP="00D51AED">
      <w:pPr>
        <w:ind w:left="1980" w:hanging="1980"/>
        <w:rPr>
          <w:rFonts w:cs="Arial"/>
          <w:szCs w:val="22"/>
        </w:rPr>
      </w:pPr>
      <w:r>
        <w:rPr>
          <w:rFonts w:cs="Arial"/>
          <w:szCs w:val="22"/>
        </w:rPr>
        <w:tab/>
        <w:t>2.5.2</w:t>
      </w:r>
      <w:r>
        <w:rPr>
          <w:rFonts w:cs="Arial"/>
          <w:szCs w:val="22"/>
        </w:rPr>
        <w:tab/>
        <w:t xml:space="preserve">Provide a range of supervised </w:t>
      </w:r>
      <w:r w:rsidR="001A7D1A">
        <w:rPr>
          <w:rFonts w:cs="Arial"/>
          <w:szCs w:val="22"/>
        </w:rPr>
        <w:t>leisure activities and facilities for young people</w:t>
      </w:r>
    </w:p>
    <w:p w:rsidR="001A7D1A" w:rsidRDefault="001A7D1A" w:rsidP="00D51AED">
      <w:pPr>
        <w:ind w:left="1980" w:hanging="1980"/>
        <w:rPr>
          <w:rFonts w:cs="Arial"/>
          <w:szCs w:val="22"/>
        </w:rPr>
      </w:pPr>
      <w:r>
        <w:rPr>
          <w:rFonts w:cs="Arial"/>
          <w:szCs w:val="22"/>
        </w:rPr>
        <w:tab/>
        <w:t>2.5.4</w:t>
      </w:r>
      <w:r>
        <w:rPr>
          <w:rFonts w:cs="Arial"/>
          <w:szCs w:val="22"/>
        </w:rPr>
        <w:tab/>
        <w:t>Work with the Community and Voluntary sector to meet the needs of local communities</w:t>
      </w:r>
    </w:p>
    <w:p w:rsidR="00D51AED" w:rsidRDefault="00D51AED" w:rsidP="009C43A1">
      <w:pPr>
        <w:ind w:left="1267" w:hanging="1267"/>
        <w:rPr>
          <w:rFonts w:cs="Arial"/>
          <w:szCs w:val="22"/>
        </w:rPr>
      </w:pPr>
    </w:p>
    <w:p w:rsidR="00DB4501" w:rsidRDefault="00D51AED" w:rsidP="009C43A1">
      <w:pPr>
        <w:ind w:left="1267" w:hanging="1267"/>
        <w:rPr>
          <w:rFonts w:cs="Arial"/>
          <w:szCs w:val="22"/>
        </w:rPr>
      </w:pPr>
      <w:r w:rsidRPr="00D51AED">
        <w:rPr>
          <w:rFonts w:cs="Arial"/>
          <w:szCs w:val="22"/>
        </w:rPr>
        <w:t>4.2</w:t>
      </w:r>
      <w:r w:rsidR="00DB4501" w:rsidRPr="00D51AED">
        <w:rPr>
          <w:rFonts w:cs="Arial"/>
          <w:szCs w:val="22"/>
        </w:rPr>
        <w:tab/>
      </w:r>
      <w:r w:rsidRPr="00D51AED">
        <w:rPr>
          <w:rFonts w:cs="Arial"/>
          <w:szCs w:val="22"/>
        </w:rPr>
        <w:t>The recommendations in this report relate to the achievement of the following</w:t>
      </w:r>
      <w:r w:rsidRPr="006D6CE9">
        <w:rPr>
          <w:rFonts w:cs="Arial"/>
          <w:szCs w:val="22"/>
        </w:rPr>
        <w:t xml:space="preserve"> performance indicators:</w:t>
      </w:r>
    </w:p>
    <w:p w:rsidR="001A7D1A" w:rsidRDefault="001A7D1A" w:rsidP="009C43A1">
      <w:pPr>
        <w:ind w:left="1267" w:hanging="1267"/>
        <w:rPr>
          <w:rFonts w:cs="Arial"/>
          <w:szCs w:val="22"/>
        </w:rPr>
      </w:pPr>
    </w:p>
    <w:p w:rsidR="001A7D1A" w:rsidRDefault="001A7D1A" w:rsidP="009C43A1">
      <w:pPr>
        <w:ind w:left="1267" w:hanging="1267"/>
        <w:rPr>
          <w:rFonts w:cs="Arial"/>
          <w:szCs w:val="22"/>
        </w:rPr>
      </w:pPr>
      <w:r>
        <w:rPr>
          <w:rFonts w:cs="Arial"/>
          <w:szCs w:val="22"/>
        </w:rPr>
        <w:tab/>
      </w:r>
      <w:r>
        <w:rPr>
          <w:rFonts w:cs="Arial"/>
          <w:szCs w:val="22"/>
        </w:rPr>
        <w:tab/>
        <w:t>LL34</w:t>
      </w:r>
      <w:r>
        <w:rPr>
          <w:rFonts w:cs="Arial"/>
          <w:szCs w:val="22"/>
        </w:rPr>
        <w:tab/>
        <w:t>To maintain accreditation for Green Flag</w:t>
      </w:r>
    </w:p>
    <w:p w:rsidR="001A7D1A" w:rsidRDefault="001A7D1A" w:rsidP="009C43A1">
      <w:pPr>
        <w:ind w:left="1267" w:hanging="1267"/>
        <w:rPr>
          <w:rFonts w:cs="Arial"/>
          <w:szCs w:val="22"/>
        </w:rPr>
      </w:pPr>
      <w:r>
        <w:rPr>
          <w:rFonts w:cs="Arial"/>
          <w:szCs w:val="22"/>
        </w:rPr>
        <w:tab/>
        <w:t>CP14</w:t>
      </w:r>
      <w:r>
        <w:rPr>
          <w:rFonts w:cs="Arial"/>
          <w:szCs w:val="22"/>
        </w:rPr>
        <w:tab/>
        <w:t>No. of ASB incidents (reported to the Police)</w:t>
      </w:r>
    </w:p>
    <w:p w:rsidR="001A7D1A" w:rsidRDefault="001A7D1A" w:rsidP="001A7D1A">
      <w:pPr>
        <w:ind w:left="1980" w:hanging="1980"/>
        <w:rPr>
          <w:rFonts w:cs="Arial"/>
          <w:szCs w:val="22"/>
        </w:rPr>
      </w:pPr>
      <w:r>
        <w:rPr>
          <w:rFonts w:cs="Arial"/>
          <w:szCs w:val="22"/>
        </w:rPr>
        <w:tab/>
        <w:t>CP07</w:t>
      </w:r>
      <w:r>
        <w:rPr>
          <w:rFonts w:cs="Arial"/>
          <w:szCs w:val="22"/>
        </w:rPr>
        <w:tab/>
        <w:t>Perception to the extent to which public services are working to make the area safer</w:t>
      </w:r>
    </w:p>
    <w:p w:rsidR="001A7D1A" w:rsidRDefault="00B131DB" w:rsidP="001A7D1A">
      <w:pPr>
        <w:ind w:left="1980" w:hanging="1980"/>
        <w:rPr>
          <w:rFonts w:cs="Arial"/>
          <w:szCs w:val="22"/>
        </w:rPr>
      </w:pPr>
      <w:r>
        <w:rPr>
          <w:rFonts w:cs="Arial"/>
          <w:szCs w:val="22"/>
        </w:rPr>
        <w:tab/>
        <w:t>CP02</w:t>
      </w:r>
      <w:r>
        <w:rPr>
          <w:rFonts w:cs="Arial"/>
          <w:szCs w:val="22"/>
        </w:rPr>
        <w:tab/>
        <w:t>Satisfaction with Parks and Open Spaces</w:t>
      </w:r>
    </w:p>
    <w:p w:rsidR="00B131DB" w:rsidRDefault="00B131DB" w:rsidP="001A7D1A">
      <w:pPr>
        <w:ind w:left="1980" w:hanging="1980"/>
        <w:rPr>
          <w:rFonts w:cs="Arial"/>
          <w:szCs w:val="22"/>
        </w:rPr>
      </w:pPr>
      <w:r>
        <w:rPr>
          <w:rFonts w:cs="Arial"/>
          <w:szCs w:val="22"/>
        </w:rPr>
        <w:tab/>
        <w:t>LL33</w:t>
      </w:r>
      <w:r>
        <w:rPr>
          <w:rFonts w:cs="Arial"/>
          <w:szCs w:val="22"/>
        </w:rPr>
        <w:tab/>
        <w:t>Attendances by young people at leisure venues and activities</w:t>
      </w:r>
    </w:p>
    <w:p w:rsidR="00B131DB" w:rsidRPr="006D6CE9" w:rsidRDefault="00B131DB" w:rsidP="001A7D1A">
      <w:pPr>
        <w:ind w:left="1980" w:hanging="1980"/>
        <w:rPr>
          <w:rFonts w:cs="Arial"/>
          <w:b/>
          <w:szCs w:val="22"/>
        </w:rPr>
      </w:pPr>
      <w:r>
        <w:rPr>
          <w:rFonts w:cs="Arial"/>
          <w:szCs w:val="22"/>
        </w:rPr>
        <w:tab/>
        <w:t>LL30</w:t>
      </w:r>
      <w:r>
        <w:rPr>
          <w:rFonts w:cs="Arial"/>
          <w:szCs w:val="22"/>
        </w:rPr>
        <w:tab/>
        <w:t>Vulnerable children’s satisfaction with leisure projects</w:t>
      </w:r>
    </w:p>
    <w:p w:rsidR="009C43A1" w:rsidRPr="006D6CE9" w:rsidRDefault="009C43A1" w:rsidP="009C43A1">
      <w:pPr>
        <w:rPr>
          <w:rFonts w:cs="Arial"/>
          <w:szCs w:val="22"/>
        </w:rPr>
      </w:pPr>
      <w:r w:rsidRPr="006D6CE9">
        <w:rPr>
          <w:rFonts w:cs="Arial"/>
          <w:szCs w:val="22"/>
        </w:rPr>
        <w:tab/>
      </w:r>
    </w:p>
    <w:p w:rsidR="009C43A1" w:rsidRPr="006D6CE9" w:rsidRDefault="009C43A1" w:rsidP="009C43A1">
      <w:pPr>
        <w:ind w:left="1267" w:hanging="1267"/>
        <w:rPr>
          <w:rFonts w:cs="Arial"/>
          <w:szCs w:val="22"/>
        </w:rPr>
      </w:pPr>
      <w:r w:rsidRPr="006D6CE9">
        <w:rPr>
          <w:rFonts w:cs="Arial"/>
          <w:szCs w:val="22"/>
        </w:rPr>
        <w:t>4.3</w:t>
      </w:r>
      <w:r w:rsidRPr="006D6CE9">
        <w:rPr>
          <w:rFonts w:cs="Arial"/>
          <w:szCs w:val="22"/>
        </w:rPr>
        <w:tab/>
        <w:t>The impact of the recommendations on these performance indicators is that they will support the Council in achieving these targets.</w:t>
      </w:r>
    </w:p>
    <w:p w:rsidR="009C43A1" w:rsidRPr="006D6CE9" w:rsidRDefault="009C43A1" w:rsidP="009C43A1">
      <w:pPr>
        <w:ind w:left="1267" w:hanging="1267"/>
        <w:rPr>
          <w:rFonts w:cs="Arial"/>
          <w:szCs w:val="22"/>
        </w:rPr>
      </w:pPr>
    </w:p>
    <w:p w:rsidR="009C43A1" w:rsidRPr="006D6CE9" w:rsidRDefault="009C43A1" w:rsidP="009C43A1">
      <w:pPr>
        <w:ind w:left="1267" w:hanging="1267"/>
        <w:rPr>
          <w:rFonts w:cs="Arial"/>
          <w:szCs w:val="22"/>
        </w:rPr>
      </w:pPr>
      <w:r w:rsidRPr="006D6CE9">
        <w:rPr>
          <w:rFonts w:cs="Arial"/>
          <w:szCs w:val="22"/>
        </w:rPr>
        <w:t>5.</w:t>
      </w:r>
      <w:r w:rsidRPr="006D6CE9">
        <w:rPr>
          <w:rFonts w:cs="Arial"/>
          <w:szCs w:val="22"/>
        </w:rPr>
        <w:tab/>
      </w:r>
      <w:r w:rsidRPr="006D6CE9">
        <w:rPr>
          <w:rFonts w:cs="Arial"/>
          <w:b/>
          <w:szCs w:val="22"/>
        </w:rPr>
        <w:t>Financial Implications</w:t>
      </w:r>
    </w:p>
    <w:p w:rsidR="009C43A1" w:rsidRPr="006D6CE9" w:rsidRDefault="009C43A1" w:rsidP="009C43A1">
      <w:pPr>
        <w:keepNext/>
        <w:ind w:left="1267" w:hanging="1267"/>
        <w:rPr>
          <w:rFonts w:cs="Arial"/>
          <w:szCs w:val="22"/>
        </w:rPr>
      </w:pPr>
    </w:p>
    <w:p w:rsidR="009C43A1" w:rsidRDefault="009C43A1" w:rsidP="009C43A1">
      <w:pPr>
        <w:tabs>
          <w:tab w:val="left" w:pos="3330"/>
        </w:tabs>
        <w:ind w:left="1267" w:hanging="1267"/>
        <w:rPr>
          <w:rFonts w:cs="Arial"/>
          <w:szCs w:val="22"/>
        </w:rPr>
      </w:pPr>
      <w:r w:rsidRPr="006D6CE9">
        <w:rPr>
          <w:rFonts w:cs="Arial"/>
          <w:szCs w:val="22"/>
        </w:rPr>
        <w:t>5.1</w:t>
      </w:r>
      <w:r w:rsidRPr="006D6CE9">
        <w:rPr>
          <w:rFonts w:cs="Arial"/>
          <w:i/>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 xml:space="preserve">The following table shows the </w:t>
      </w:r>
      <w:r w:rsidR="00097B00">
        <w:rPr>
          <w:rFonts w:cs="Arial"/>
          <w:szCs w:val="22"/>
        </w:rPr>
        <w:t>e</w:t>
      </w:r>
      <w:r w:rsidRPr="006D6CE9">
        <w:rPr>
          <w:rFonts w:cs="Arial"/>
          <w:szCs w:val="22"/>
        </w:rPr>
        <w:t>ffect on the capital budgets over the medium term</w:t>
      </w:r>
      <w:r w:rsidR="004216A4">
        <w:rPr>
          <w:rFonts w:cs="Arial"/>
          <w:szCs w:val="22"/>
        </w:rPr>
        <w:t>, should the recommendations be agreed</w:t>
      </w:r>
      <w:r w:rsidRPr="006D6CE9">
        <w:rPr>
          <w:rFonts w:cs="Arial"/>
          <w:szCs w:val="22"/>
        </w:rPr>
        <w:t>. The bids for capital budgets for these schemes will be included in the Leisure Services plan 201</w:t>
      </w:r>
      <w:r w:rsidR="00097B00">
        <w:rPr>
          <w:rFonts w:cs="Arial"/>
          <w:szCs w:val="22"/>
        </w:rPr>
        <w:t>8</w:t>
      </w:r>
      <w:r w:rsidRPr="006D6CE9">
        <w:rPr>
          <w:rFonts w:cs="Arial"/>
          <w:szCs w:val="22"/>
        </w:rPr>
        <w:t xml:space="preserve"> - </w:t>
      </w:r>
      <w:r w:rsidR="00097B00">
        <w:rPr>
          <w:rFonts w:cs="Arial"/>
          <w:szCs w:val="22"/>
        </w:rPr>
        <w:t>21</w:t>
      </w:r>
      <w:r w:rsidRPr="006D6CE9">
        <w:rPr>
          <w:rFonts w:cs="Arial"/>
          <w:szCs w:val="22"/>
        </w:rPr>
        <w:t xml:space="preserve"> and will be considered as part of the annual budget setting process.</w:t>
      </w:r>
    </w:p>
    <w:p w:rsidR="00097B00" w:rsidRDefault="00097B00" w:rsidP="009C43A1">
      <w:pPr>
        <w:tabs>
          <w:tab w:val="left" w:pos="3330"/>
        </w:tabs>
        <w:ind w:left="1267" w:hanging="1267"/>
        <w:rPr>
          <w:rFonts w:cs="Arial"/>
          <w:szCs w:val="22"/>
        </w:rPr>
      </w:pPr>
    </w:p>
    <w:tbl>
      <w:tblPr>
        <w:tblW w:w="7230" w:type="dxa"/>
        <w:tblInd w:w="1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3186"/>
        <w:gridCol w:w="1209"/>
        <w:gridCol w:w="1417"/>
        <w:gridCol w:w="1418"/>
      </w:tblGrid>
      <w:tr w:rsidR="00572BBC" w:rsidTr="00572BBC">
        <w:tc>
          <w:tcPr>
            <w:tcW w:w="3186" w:type="dxa"/>
            <w:tcBorders>
              <w:bottom w:val="nil"/>
            </w:tcBorders>
            <w:vAlign w:val="center"/>
          </w:tcPr>
          <w:p w:rsidR="00572BBC" w:rsidRPr="00F71825" w:rsidRDefault="00572BBC" w:rsidP="00334159">
            <w:pPr>
              <w:keepNext/>
              <w:keepLines/>
              <w:tabs>
                <w:tab w:val="clear" w:pos="1260"/>
                <w:tab w:val="clear" w:pos="1980"/>
                <w:tab w:val="clear" w:pos="2700"/>
                <w:tab w:val="clear" w:pos="3420"/>
              </w:tabs>
              <w:jc w:val="left"/>
              <w:rPr>
                <w:b/>
                <w:sz w:val="20"/>
              </w:rPr>
            </w:pPr>
            <w:r w:rsidRPr="00F71825">
              <w:rPr>
                <w:b/>
                <w:sz w:val="20"/>
              </w:rPr>
              <w:lastRenderedPageBreak/>
              <w:t>Capital</w:t>
            </w:r>
          </w:p>
        </w:tc>
        <w:tc>
          <w:tcPr>
            <w:tcW w:w="1209" w:type="dxa"/>
            <w:tcBorders>
              <w:bottom w:val="single" w:sz="4" w:space="0" w:color="auto"/>
            </w:tcBorders>
          </w:tcPr>
          <w:p w:rsidR="00572BBC" w:rsidRPr="00F71825" w:rsidRDefault="00572BBC" w:rsidP="00334159">
            <w:pPr>
              <w:keepNext/>
              <w:keepLines/>
              <w:tabs>
                <w:tab w:val="clear" w:pos="1260"/>
                <w:tab w:val="clear" w:pos="1980"/>
                <w:tab w:val="clear" w:pos="2700"/>
                <w:tab w:val="clear" w:pos="3420"/>
              </w:tabs>
              <w:jc w:val="center"/>
              <w:rPr>
                <w:sz w:val="20"/>
              </w:rPr>
            </w:pPr>
            <w:r>
              <w:rPr>
                <w:sz w:val="20"/>
              </w:rPr>
              <w:br/>
              <w:t>2017/18</w:t>
            </w:r>
            <w:r w:rsidRPr="00F71825">
              <w:rPr>
                <w:sz w:val="20"/>
              </w:rPr>
              <w:br/>
              <w:t>£</w:t>
            </w:r>
          </w:p>
        </w:tc>
        <w:tc>
          <w:tcPr>
            <w:tcW w:w="1417" w:type="dxa"/>
            <w:tcBorders>
              <w:bottom w:val="single" w:sz="4" w:space="0" w:color="auto"/>
            </w:tcBorders>
          </w:tcPr>
          <w:p w:rsidR="00572BBC" w:rsidRDefault="00572BBC" w:rsidP="00334159">
            <w:pPr>
              <w:keepNext/>
              <w:keepLines/>
              <w:tabs>
                <w:tab w:val="clear" w:pos="1260"/>
                <w:tab w:val="clear" w:pos="1980"/>
                <w:tab w:val="clear" w:pos="2700"/>
                <w:tab w:val="clear" w:pos="3420"/>
              </w:tabs>
              <w:jc w:val="center"/>
              <w:rPr>
                <w:sz w:val="20"/>
              </w:rPr>
            </w:pPr>
          </w:p>
          <w:p w:rsidR="00572BBC" w:rsidRDefault="00572BBC" w:rsidP="00334159">
            <w:pPr>
              <w:keepNext/>
              <w:keepLines/>
              <w:tabs>
                <w:tab w:val="clear" w:pos="1260"/>
                <w:tab w:val="clear" w:pos="1980"/>
                <w:tab w:val="clear" w:pos="2700"/>
                <w:tab w:val="clear" w:pos="3420"/>
              </w:tabs>
              <w:jc w:val="center"/>
              <w:rPr>
                <w:sz w:val="20"/>
              </w:rPr>
            </w:pPr>
            <w:r>
              <w:rPr>
                <w:sz w:val="20"/>
              </w:rPr>
              <w:t>2018/19</w:t>
            </w:r>
          </w:p>
          <w:p w:rsidR="00572BBC" w:rsidRDefault="00572BBC" w:rsidP="00334159">
            <w:pPr>
              <w:keepNext/>
              <w:keepLines/>
              <w:tabs>
                <w:tab w:val="clear" w:pos="1260"/>
                <w:tab w:val="clear" w:pos="1980"/>
                <w:tab w:val="clear" w:pos="2700"/>
                <w:tab w:val="clear" w:pos="3420"/>
              </w:tabs>
              <w:jc w:val="center"/>
              <w:rPr>
                <w:sz w:val="20"/>
              </w:rPr>
            </w:pPr>
            <w:r>
              <w:rPr>
                <w:sz w:val="20"/>
              </w:rPr>
              <w:t>£</w:t>
            </w:r>
          </w:p>
        </w:tc>
        <w:tc>
          <w:tcPr>
            <w:tcW w:w="1418" w:type="dxa"/>
            <w:tcBorders>
              <w:bottom w:val="single" w:sz="4" w:space="0" w:color="auto"/>
            </w:tcBorders>
          </w:tcPr>
          <w:p w:rsidR="00572BBC" w:rsidRDefault="00572BBC" w:rsidP="00334159">
            <w:pPr>
              <w:keepNext/>
              <w:keepLines/>
              <w:tabs>
                <w:tab w:val="clear" w:pos="1260"/>
                <w:tab w:val="clear" w:pos="1980"/>
                <w:tab w:val="clear" w:pos="2700"/>
                <w:tab w:val="clear" w:pos="3420"/>
              </w:tabs>
              <w:jc w:val="center"/>
              <w:rPr>
                <w:sz w:val="20"/>
              </w:rPr>
            </w:pPr>
          </w:p>
          <w:p w:rsidR="00572BBC" w:rsidRDefault="00572BBC" w:rsidP="00334159">
            <w:pPr>
              <w:keepNext/>
              <w:keepLines/>
              <w:tabs>
                <w:tab w:val="clear" w:pos="1260"/>
                <w:tab w:val="clear" w:pos="1980"/>
                <w:tab w:val="clear" w:pos="2700"/>
                <w:tab w:val="clear" w:pos="3420"/>
              </w:tabs>
              <w:jc w:val="center"/>
              <w:rPr>
                <w:sz w:val="20"/>
              </w:rPr>
            </w:pPr>
            <w:r>
              <w:rPr>
                <w:sz w:val="20"/>
              </w:rPr>
              <w:t>2019/20</w:t>
            </w:r>
          </w:p>
          <w:p w:rsidR="00572BBC" w:rsidRPr="00F71825" w:rsidRDefault="00572BBC" w:rsidP="00334159">
            <w:pPr>
              <w:keepNext/>
              <w:keepLines/>
              <w:tabs>
                <w:tab w:val="clear" w:pos="1260"/>
                <w:tab w:val="clear" w:pos="1980"/>
                <w:tab w:val="clear" w:pos="2700"/>
                <w:tab w:val="clear" w:pos="3420"/>
              </w:tabs>
              <w:jc w:val="center"/>
              <w:rPr>
                <w:sz w:val="20"/>
              </w:rPr>
            </w:pPr>
            <w:r>
              <w:rPr>
                <w:sz w:val="20"/>
              </w:rPr>
              <w:t>£</w:t>
            </w:r>
          </w:p>
        </w:tc>
      </w:tr>
      <w:tr w:rsidR="00572BBC" w:rsidRPr="00F71825" w:rsidTr="00572BBC">
        <w:tc>
          <w:tcPr>
            <w:tcW w:w="3186" w:type="dxa"/>
            <w:tcBorders>
              <w:top w:val="nil"/>
              <w:bottom w:val="nil"/>
            </w:tcBorders>
          </w:tcPr>
          <w:p w:rsidR="00572BBC" w:rsidRPr="00F71825" w:rsidRDefault="00572BBC" w:rsidP="00334159">
            <w:pPr>
              <w:keepNext/>
              <w:keepLines/>
              <w:tabs>
                <w:tab w:val="clear" w:pos="1260"/>
                <w:tab w:val="clear" w:pos="1980"/>
                <w:tab w:val="clear" w:pos="2700"/>
                <w:tab w:val="clear" w:pos="3420"/>
                <w:tab w:val="left" w:pos="252"/>
              </w:tabs>
              <w:jc w:val="left"/>
              <w:rPr>
                <w:b/>
                <w:sz w:val="20"/>
                <w:u w:val="single"/>
              </w:rPr>
            </w:pPr>
            <w:r w:rsidRPr="00F71825">
              <w:rPr>
                <w:b/>
                <w:sz w:val="20"/>
                <w:u w:val="single"/>
              </w:rPr>
              <w:t>Expenditure</w:t>
            </w:r>
          </w:p>
        </w:tc>
        <w:tc>
          <w:tcPr>
            <w:tcW w:w="1209" w:type="dxa"/>
            <w:tcBorders>
              <w:top w:val="single" w:sz="4" w:space="0" w:color="auto"/>
              <w:bottom w:val="nil"/>
            </w:tcBorders>
          </w:tcPr>
          <w:p w:rsidR="00572BBC" w:rsidRPr="00F71825" w:rsidRDefault="00572BBC" w:rsidP="00334159">
            <w:pPr>
              <w:keepNext/>
              <w:keepLines/>
              <w:tabs>
                <w:tab w:val="clear" w:pos="1260"/>
                <w:tab w:val="clear" w:pos="1980"/>
                <w:tab w:val="clear" w:pos="2700"/>
                <w:tab w:val="clear" w:pos="3420"/>
              </w:tabs>
              <w:jc w:val="right"/>
              <w:rPr>
                <w:sz w:val="20"/>
              </w:rPr>
            </w:pPr>
          </w:p>
        </w:tc>
        <w:tc>
          <w:tcPr>
            <w:tcW w:w="1417" w:type="dxa"/>
            <w:tcBorders>
              <w:top w:val="single" w:sz="4" w:space="0" w:color="auto"/>
              <w:bottom w:val="nil"/>
            </w:tcBorders>
          </w:tcPr>
          <w:p w:rsidR="00572BBC" w:rsidRPr="00F71825" w:rsidRDefault="00572BBC" w:rsidP="00334159">
            <w:pPr>
              <w:keepNext/>
              <w:keepLines/>
              <w:tabs>
                <w:tab w:val="clear" w:pos="1260"/>
                <w:tab w:val="clear" w:pos="1980"/>
                <w:tab w:val="clear" w:pos="2700"/>
                <w:tab w:val="clear" w:pos="3420"/>
              </w:tabs>
              <w:jc w:val="right"/>
              <w:rPr>
                <w:sz w:val="20"/>
              </w:rPr>
            </w:pPr>
          </w:p>
        </w:tc>
        <w:tc>
          <w:tcPr>
            <w:tcW w:w="1418" w:type="dxa"/>
            <w:tcBorders>
              <w:top w:val="single" w:sz="4" w:space="0" w:color="auto"/>
              <w:bottom w:val="nil"/>
            </w:tcBorders>
          </w:tcPr>
          <w:p w:rsidR="00572BBC" w:rsidRPr="00F71825" w:rsidRDefault="00572BBC" w:rsidP="00334159">
            <w:pPr>
              <w:keepNext/>
              <w:keepLines/>
              <w:tabs>
                <w:tab w:val="clear" w:pos="1260"/>
                <w:tab w:val="clear" w:pos="1980"/>
                <w:tab w:val="clear" w:pos="2700"/>
                <w:tab w:val="clear" w:pos="3420"/>
              </w:tabs>
              <w:jc w:val="right"/>
              <w:rPr>
                <w:sz w:val="20"/>
              </w:rPr>
            </w:pPr>
          </w:p>
        </w:tc>
      </w:tr>
      <w:tr w:rsidR="00572BBC" w:rsidTr="00572BBC">
        <w:tc>
          <w:tcPr>
            <w:tcW w:w="3186" w:type="dxa"/>
            <w:tcBorders>
              <w:top w:val="nil"/>
            </w:tcBorders>
          </w:tcPr>
          <w:p w:rsidR="00572BBC" w:rsidRDefault="00572BBC" w:rsidP="00334159">
            <w:pPr>
              <w:keepNext/>
              <w:keepLines/>
              <w:tabs>
                <w:tab w:val="clear" w:pos="1260"/>
                <w:tab w:val="clear" w:pos="1980"/>
                <w:tab w:val="clear" w:pos="2700"/>
                <w:tab w:val="clear" w:pos="3420"/>
                <w:tab w:val="left" w:pos="0"/>
              </w:tabs>
              <w:jc w:val="left"/>
              <w:rPr>
                <w:sz w:val="20"/>
              </w:rPr>
            </w:pPr>
          </w:p>
          <w:p w:rsidR="00572BBC" w:rsidRDefault="00572BBC" w:rsidP="00334159">
            <w:pPr>
              <w:keepNext/>
              <w:keepLines/>
              <w:tabs>
                <w:tab w:val="clear" w:pos="1260"/>
                <w:tab w:val="clear" w:pos="1980"/>
                <w:tab w:val="clear" w:pos="2700"/>
                <w:tab w:val="clear" w:pos="3420"/>
                <w:tab w:val="left" w:pos="0"/>
              </w:tabs>
              <w:jc w:val="left"/>
              <w:rPr>
                <w:sz w:val="20"/>
              </w:rPr>
            </w:pPr>
            <w:r>
              <w:rPr>
                <w:sz w:val="20"/>
              </w:rPr>
              <w:t>Chorleywood Play Area</w:t>
            </w:r>
          </w:p>
          <w:p w:rsidR="00572BBC" w:rsidRDefault="00572BBC" w:rsidP="00334159">
            <w:pPr>
              <w:keepNext/>
              <w:keepLines/>
              <w:tabs>
                <w:tab w:val="clear" w:pos="1260"/>
                <w:tab w:val="clear" w:pos="1980"/>
                <w:tab w:val="clear" w:pos="2700"/>
                <w:tab w:val="clear" w:pos="3420"/>
                <w:tab w:val="left" w:pos="0"/>
              </w:tabs>
              <w:jc w:val="left"/>
              <w:rPr>
                <w:sz w:val="20"/>
              </w:rPr>
            </w:pPr>
          </w:p>
          <w:p w:rsidR="00572BBC" w:rsidRDefault="00572BBC" w:rsidP="00334159">
            <w:pPr>
              <w:keepNext/>
              <w:keepLines/>
              <w:tabs>
                <w:tab w:val="clear" w:pos="1260"/>
                <w:tab w:val="clear" w:pos="1980"/>
                <w:tab w:val="clear" w:pos="2700"/>
                <w:tab w:val="clear" w:pos="3420"/>
                <w:tab w:val="left" w:pos="0"/>
              </w:tabs>
              <w:jc w:val="left"/>
              <w:rPr>
                <w:sz w:val="20"/>
              </w:rPr>
            </w:pPr>
          </w:p>
          <w:p w:rsidR="00572BBC" w:rsidRDefault="00572BBC" w:rsidP="00334159">
            <w:pPr>
              <w:keepNext/>
              <w:keepLines/>
              <w:tabs>
                <w:tab w:val="clear" w:pos="1260"/>
                <w:tab w:val="clear" w:pos="1980"/>
                <w:tab w:val="clear" w:pos="2700"/>
                <w:tab w:val="clear" w:pos="3420"/>
                <w:tab w:val="left" w:pos="0"/>
              </w:tabs>
              <w:jc w:val="left"/>
              <w:rPr>
                <w:sz w:val="20"/>
              </w:rPr>
            </w:pPr>
            <w:r>
              <w:rPr>
                <w:sz w:val="20"/>
              </w:rPr>
              <w:t>Improving General Facilities</w:t>
            </w:r>
          </w:p>
          <w:p w:rsidR="00572BBC" w:rsidRPr="0049637A" w:rsidRDefault="00572BBC" w:rsidP="00334159">
            <w:pPr>
              <w:keepNext/>
              <w:keepLines/>
              <w:tabs>
                <w:tab w:val="clear" w:pos="1260"/>
                <w:tab w:val="clear" w:pos="1980"/>
                <w:tab w:val="clear" w:pos="2700"/>
                <w:tab w:val="clear" w:pos="3420"/>
                <w:tab w:val="left" w:pos="0"/>
              </w:tabs>
              <w:jc w:val="left"/>
              <w:rPr>
                <w:sz w:val="20"/>
              </w:rPr>
            </w:pPr>
          </w:p>
        </w:tc>
        <w:tc>
          <w:tcPr>
            <w:tcW w:w="1209" w:type="dxa"/>
            <w:tcBorders>
              <w:top w:val="nil"/>
            </w:tcBorders>
          </w:tcPr>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r>
              <w:rPr>
                <w:sz w:val="20"/>
              </w:rPr>
              <w:t>0</w:t>
            </w:r>
          </w:p>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p>
          <w:p w:rsidR="00572BBC" w:rsidRPr="00F71825" w:rsidRDefault="00572BBC" w:rsidP="00334159">
            <w:pPr>
              <w:keepNext/>
              <w:keepLines/>
              <w:tabs>
                <w:tab w:val="clear" w:pos="1260"/>
                <w:tab w:val="clear" w:pos="1980"/>
                <w:tab w:val="clear" w:pos="2700"/>
                <w:tab w:val="clear" w:pos="3420"/>
              </w:tabs>
              <w:jc w:val="right"/>
              <w:rPr>
                <w:sz w:val="20"/>
              </w:rPr>
            </w:pPr>
            <w:r>
              <w:rPr>
                <w:sz w:val="20"/>
              </w:rPr>
              <w:t>190,380</w:t>
            </w:r>
          </w:p>
        </w:tc>
        <w:tc>
          <w:tcPr>
            <w:tcW w:w="1417" w:type="dxa"/>
            <w:tcBorders>
              <w:top w:val="nil"/>
            </w:tcBorders>
          </w:tcPr>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r>
              <w:rPr>
                <w:sz w:val="20"/>
              </w:rPr>
              <w:t>102,320</w:t>
            </w:r>
          </w:p>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r>
              <w:rPr>
                <w:sz w:val="20"/>
              </w:rPr>
              <w:t>315,000</w:t>
            </w:r>
          </w:p>
        </w:tc>
        <w:tc>
          <w:tcPr>
            <w:tcW w:w="1418" w:type="dxa"/>
            <w:tcBorders>
              <w:top w:val="nil"/>
            </w:tcBorders>
          </w:tcPr>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r>
              <w:rPr>
                <w:sz w:val="20"/>
              </w:rPr>
              <w:t>0</w:t>
            </w:r>
          </w:p>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p>
          <w:p w:rsidR="00572BBC" w:rsidRDefault="00572BBC" w:rsidP="00334159">
            <w:pPr>
              <w:keepNext/>
              <w:keepLines/>
              <w:tabs>
                <w:tab w:val="clear" w:pos="1260"/>
                <w:tab w:val="clear" w:pos="1980"/>
                <w:tab w:val="clear" w:pos="2700"/>
                <w:tab w:val="clear" w:pos="3420"/>
              </w:tabs>
              <w:jc w:val="right"/>
              <w:rPr>
                <w:sz w:val="20"/>
              </w:rPr>
            </w:pPr>
            <w:r>
              <w:rPr>
                <w:sz w:val="20"/>
              </w:rPr>
              <w:t>100,000</w:t>
            </w:r>
          </w:p>
          <w:p w:rsidR="00572BBC" w:rsidRPr="0049637A" w:rsidRDefault="00572BBC" w:rsidP="00334159">
            <w:pPr>
              <w:keepNext/>
              <w:keepLines/>
              <w:tabs>
                <w:tab w:val="clear" w:pos="1260"/>
                <w:tab w:val="clear" w:pos="1980"/>
                <w:tab w:val="clear" w:pos="2700"/>
                <w:tab w:val="clear" w:pos="3420"/>
              </w:tabs>
              <w:rPr>
                <w:b/>
                <w:sz w:val="20"/>
              </w:rPr>
            </w:pPr>
          </w:p>
        </w:tc>
      </w:tr>
      <w:tr w:rsidR="00572BBC" w:rsidRPr="0055391B" w:rsidTr="00572BBC">
        <w:tc>
          <w:tcPr>
            <w:tcW w:w="3186" w:type="dxa"/>
            <w:tcBorders>
              <w:bottom w:val="double" w:sz="4" w:space="0" w:color="auto"/>
            </w:tcBorders>
          </w:tcPr>
          <w:p w:rsidR="00572BBC" w:rsidRPr="00F71825" w:rsidRDefault="00572BBC" w:rsidP="00334159">
            <w:pPr>
              <w:keepNext/>
              <w:keepLines/>
              <w:spacing w:before="120" w:after="120"/>
              <w:jc w:val="left"/>
              <w:rPr>
                <w:b/>
                <w:sz w:val="20"/>
              </w:rPr>
            </w:pPr>
            <w:r>
              <w:rPr>
                <w:b/>
                <w:sz w:val="20"/>
              </w:rPr>
              <w:t>Net Commitment</w:t>
            </w:r>
          </w:p>
        </w:tc>
        <w:tc>
          <w:tcPr>
            <w:tcW w:w="1209" w:type="dxa"/>
            <w:tcBorders>
              <w:bottom w:val="double" w:sz="4" w:space="0" w:color="auto"/>
            </w:tcBorders>
            <w:vAlign w:val="center"/>
          </w:tcPr>
          <w:p w:rsidR="00572BBC" w:rsidRPr="00F00E0F" w:rsidRDefault="00572BBC" w:rsidP="004A58FB">
            <w:pPr>
              <w:keepNext/>
              <w:keepLines/>
              <w:spacing w:before="120" w:after="120"/>
              <w:jc w:val="right"/>
              <w:rPr>
                <w:b/>
                <w:sz w:val="20"/>
              </w:rPr>
            </w:pPr>
            <w:r>
              <w:rPr>
                <w:b/>
                <w:sz w:val="20"/>
              </w:rPr>
              <w:t>£190,380</w:t>
            </w:r>
          </w:p>
        </w:tc>
        <w:tc>
          <w:tcPr>
            <w:tcW w:w="1417" w:type="dxa"/>
            <w:tcBorders>
              <w:bottom w:val="double" w:sz="4" w:space="0" w:color="auto"/>
            </w:tcBorders>
            <w:vAlign w:val="center"/>
          </w:tcPr>
          <w:p w:rsidR="00572BBC" w:rsidRPr="0055391B" w:rsidRDefault="00572BBC" w:rsidP="004A58FB">
            <w:pPr>
              <w:keepNext/>
              <w:keepLines/>
              <w:tabs>
                <w:tab w:val="clear" w:pos="1260"/>
                <w:tab w:val="clear" w:pos="1980"/>
                <w:tab w:val="clear" w:pos="2700"/>
                <w:tab w:val="clear" w:pos="3420"/>
              </w:tabs>
              <w:jc w:val="center"/>
              <w:rPr>
                <w:b/>
                <w:sz w:val="20"/>
              </w:rPr>
            </w:pPr>
            <w:r>
              <w:rPr>
                <w:b/>
                <w:sz w:val="20"/>
              </w:rPr>
              <w:t>£417,320</w:t>
            </w:r>
          </w:p>
        </w:tc>
        <w:tc>
          <w:tcPr>
            <w:tcW w:w="1418" w:type="dxa"/>
            <w:tcBorders>
              <w:bottom w:val="double" w:sz="4" w:space="0" w:color="auto"/>
            </w:tcBorders>
            <w:vAlign w:val="center"/>
          </w:tcPr>
          <w:p w:rsidR="00572BBC" w:rsidRPr="0055391B" w:rsidRDefault="00572BBC" w:rsidP="00F630F0">
            <w:pPr>
              <w:keepNext/>
              <w:keepLines/>
              <w:tabs>
                <w:tab w:val="clear" w:pos="1260"/>
                <w:tab w:val="clear" w:pos="1980"/>
                <w:tab w:val="clear" w:pos="2700"/>
                <w:tab w:val="clear" w:pos="3420"/>
              </w:tabs>
              <w:jc w:val="right"/>
              <w:rPr>
                <w:b/>
                <w:sz w:val="20"/>
              </w:rPr>
            </w:pPr>
            <w:r>
              <w:rPr>
                <w:b/>
                <w:sz w:val="20"/>
              </w:rPr>
              <w:t>£100</w:t>
            </w:r>
            <w:r w:rsidRPr="0055391B">
              <w:rPr>
                <w:b/>
                <w:sz w:val="20"/>
              </w:rPr>
              <w:t>,000</w:t>
            </w:r>
          </w:p>
        </w:tc>
      </w:tr>
    </w:tbl>
    <w:p w:rsidR="00097B00" w:rsidRDefault="00097B00" w:rsidP="009C43A1">
      <w:pPr>
        <w:tabs>
          <w:tab w:val="left" w:pos="3330"/>
        </w:tabs>
        <w:ind w:left="1267" w:hanging="1267"/>
        <w:rPr>
          <w:rFonts w:cs="Arial"/>
          <w:szCs w:val="22"/>
        </w:rPr>
      </w:pPr>
    </w:p>
    <w:p w:rsidR="00F630F0" w:rsidRDefault="00F630F0" w:rsidP="004A58FB">
      <w:pPr>
        <w:ind w:left="1260" w:hanging="1260"/>
        <w:rPr>
          <w:rFonts w:cs="Arial"/>
          <w:szCs w:val="22"/>
        </w:rPr>
      </w:pPr>
      <w:r>
        <w:rPr>
          <w:rFonts w:cs="Arial"/>
          <w:szCs w:val="22"/>
        </w:rPr>
        <w:t>5.2</w:t>
      </w:r>
      <w:r>
        <w:rPr>
          <w:rFonts w:cs="Arial"/>
          <w:szCs w:val="22"/>
        </w:rPr>
        <w:tab/>
      </w:r>
      <w:r w:rsidR="004A58FB">
        <w:rPr>
          <w:rFonts w:cs="Arial"/>
          <w:szCs w:val="22"/>
        </w:rPr>
        <w:t xml:space="preserve">All completed schemes have an annual revenue budget allocated to them for ongoing maintenance. Future schemes may require growth bids for maintenance and these will be included in the Environmental Protection Service Plan and considered as part of the budget setting process. </w:t>
      </w:r>
    </w:p>
    <w:p w:rsidR="004A58FB" w:rsidRPr="00454EC7" w:rsidRDefault="004A58FB" w:rsidP="004A58FB">
      <w:pPr>
        <w:ind w:left="1134" w:hanging="1134"/>
      </w:pPr>
    </w:p>
    <w:p w:rsidR="009C43A1" w:rsidRPr="006D6CE9" w:rsidRDefault="009C43A1" w:rsidP="00F630F0">
      <w:pPr>
        <w:keepNext/>
        <w:rPr>
          <w:rFonts w:cs="Arial"/>
          <w:szCs w:val="22"/>
        </w:rPr>
      </w:pPr>
      <w:r w:rsidRPr="006D6CE9">
        <w:rPr>
          <w:rFonts w:cs="Arial"/>
          <w:szCs w:val="22"/>
        </w:rPr>
        <w:t>6.</w:t>
      </w:r>
      <w:r w:rsidRPr="006D6CE9">
        <w:rPr>
          <w:rFonts w:cs="Arial"/>
          <w:szCs w:val="22"/>
        </w:rPr>
        <w:tab/>
      </w:r>
      <w:r w:rsidRPr="006D6CE9">
        <w:rPr>
          <w:rFonts w:cs="Arial"/>
          <w:b/>
          <w:szCs w:val="22"/>
        </w:rPr>
        <w:t>Legal Implications</w:t>
      </w:r>
    </w:p>
    <w:p w:rsidR="009C43A1" w:rsidRPr="006D6CE9" w:rsidRDefault="009C43A1" w:rsidP="009C43A1">
      <w:pPr>
        <w:keepNext/>
        <w:ind w:left="1267" w:hanging="1267"/>
        <w:rPr>
          <w:rFonts w:cs="Arial"/>
          <w:szCs w:val="22"/>
        </w:rPr>
      </w:pPr>
    </w:p>
    <w:p w:rsidR="009C43A1" w:rsidRPr="006D6CE9" w:rsidRDefault="009C43A1" w:rsidP="009C43A1">
      <w:pPr>
        <w:ind w:left="1260" w:hanging="1260"/>
        <w:rPr>
          <w:rFonts w:cs="Arial"/>
          <w:szCs w:val="22"/>
        </w:rPr>
      </w:pPr>
      <w:r w:rsidRPr="006D6CE9">
        <w:rPr>
          <w:rFonts w:cs="Arial"/>
          <w:szCs w:val="22"/>
        </w:rPr>
        <w:t>6.1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All proposed works will be tendered within the Council’s constitution and procurement procedures.</w:t>
      </w:r>
    </w:p>
    <w:p w:rsidR="009C43A1" w:rsidRPr="006D6CE9" w:rsidRDefault="009C43A1" w:rsidP="009C43A1">
      <w:pPr>
        <w:rPr>
          <w:rFonts w:cs="Arial"/>
          <w:szCs w:val="22"/>
        </w:rPr>
      </w:pPr>
    </w:p>
    <w:p w:rsidR="009C43A1" w:rsidRPr="006D6CE9" w:rsidRDefault="009C43A1" w:rsidP="009C43A1">
      <w:pPr>
        <w:ind w:left="1260" w:hanging="1260"/>
        <w:rPr>
          <w:rFonts w:cs="Arial"/>
          <w:szCs w:val="22"/>
        </w:rPr>
      </w:pPr>
      <w:r w:rsidRPr="006D6CE9">
        <w:rPr>
          <w:rFonts w:cs="Arial"/>
          <w:szCs w:val="22"/>
        </w:rPr>
        <w:t>6.2</w:t>
      </w:r>
      <w:r w:rsidRPr="006D6CE9">
        <w:rPr>
          <w:rFonts w:cs="Arial"/>
          <w:szCs w:val="22"/>
        </w:rPr>
        <w:tab/>
        <w:t>Section 106 monies to be used are specifically for providing and improving amenity space, as well as children’s play equipment. The use of section 106 monies for the projects set out in the report would be in conformity with the Secti</w:t>
      </w:r>
      <w:r w:rsidR="00232440">
        <w:rPr>
          <w:rFonts w:cs="Arial"/>
          <w:szCs w:val="22"/>
        </w:rPr>
        <w:t>on 106 deeds which secured.</w:t>
      </w:r>
    </w:p>
    <w:p w:rsidR="009C43A1" w:rsidRPr="006D6CE9" w:rsidRDefault="009C43A1" w:rsidP="009C43A1">
      <w:pPr>
        <w:keepNext/>
        <w:ind w:left="1267" w:hanging="1267"/>
        <w:rPr>
          <w:rFonts w:cs="Arial"/>
          <w:szCs w:val="22"/>
        </w:rPr>
      </w:pPr>
    </w:p>
    <w:p w:rsidR="009C43A1" w:rsidRPr="006D6CE9" w:rsidRDefault="009C43A1" w:rsidP="009C43A1">
      <w:pPr>
        <w:keepNext/>
        <w:ind w:left="1267" w:hanging="1267"/>
        <w:rPr>
          <w:rFonts w:cs="Arial"/>
          <w:b/>
          <w:szCs w:val="22"/>
        </w:rPr>
      </w:pPr>
      <w:r w:rsidRPr="006D6CE9">
        <w:rPr>
          <w:rFonts w:cs="Arial"/>
          <w:szCs w:val="22"/>
        </w:rPr>
        <w:t>7.</w:t>
      </w:r>
      <w:r w:rsidRPr="006D6CE9">
        <w:rPr>
          <w:rFonts w:cs="Arial"/>
          <w:szCs w:val="22"/>
        </w:rPr>
        <w:tab/>
      </w:r>
      <w:r w:rsidRPr="006D6CE9">
        <w:rPr>
          <w:rFonts w:cs="Arial"/>
          <w:b/>
          <w:szCs w:val="22"/>
        </w:rPr>
        <w:t>Equal Opportunities Implications</w:t>
      </w:r>
    </w:p>
    <w:p w:rsidR="009C43A1" w:rsidRPr="006D6CE9" w:rsidRDefault="009C43A1" w:rsidP="009C43A1">
      <w:pPr>
        <w:keepNext/>
        <w:ind w:left="1267" w:hanging="1267"/>
        <w:rPr>
          <w:rFonts w:cs="Arial"/>
          <w:b/>
          <w:szCs w:val="22"/>
        </w:rPr>
      </w:pPr>
    </w:p>
    <w:p w:rsidR="009C43A1" w:rsidRPr="006D6CE9" w:rsidRDefault="009C43A1" w:rsidP="009C43A1">
      <w:pPr>
        <w:keepNext/>
        <w:keepLines/>
        <w:ind w:left="1259" w:hanging="1259"/>
        <w:rPr>
          <w:rFonts w:cs="Arial"/>
          <w:b/>
          <w:szCs w:val="22"/>
        </w:rPr>
      </w:pPr>
      <w:r w:rsidRPr="006D6CE9">
        <w:rPr>
          <w:rFonts w:cs="Arial"/>
          <w:szCs w:val="22"/>
        </w:rPr>
        <w:t>7.1</w:t>
      </w:r>
      <w:r w:rsidRPr="006D6CE9">
        <w:rPr>
          <w:rFonts w:cs="Arial"/>
          <w:szCs w:val="22"/>
        </w:rPr>
        <w:tab/>
      </w:r>
      <w:r w:rsidRPr="006D6CE9">
        <w:rPr>
          <w:rFonts w:cs="Arial"/>
          <w:b/>
          <w:szCs w:val="22"/>
        </w:rPr>
        <w:t>Relevance Test</w:t>
      </w:r>
    </w:p>
    <w:p w:rsidR="009C43A1" w:rsidRPr="006D6CE9" w:rsidRDefault="009C43A1" w:rsidP="009C43A1">
      <w:pPr>
        <w:keepNext/>
        <w:keepLines/>
        <w:ind w:left="1259" w:hanging="1259"/>
        <w:rPr>
          <w:rFonts w:cs="Arial"/>
          <w:b/>
          <w:szCs w:val="22"/>
        </w:rPr>
      </w:pP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tblGrid>
      <w:tr w:rsidR="009C43A1" w:rsidRPr="006D6CE9" w:rsidTr="00334159">
        <w:tc>
          <w:tcPr>
            <w:tcW w:w="5954" w:type="dxa"/>
          </w:tcPr>
          <w:p w:rsidR="009C43A1" w:rsidRPr="006D6CE9" w:rsidRDefault="009C43A1" w:rsidP="00334159">
            <w:pPr>
              <w:keepNext/>
              <w:keepLines/>
              <w:rPr>
                <w:rFonts w:cs="Arial"/>
                <w:szCs w:val="22"/>
              </w:rPr>
            </w:pPr>
            <w:r w:rsidRPr="006D6CE9">
              <w:rPr>
                <w:rFonts w:cs="Arial"/>
                <w:szCs w:val="22"/>
              </w:rPr>
              <w:t>Has a relevance test been completed for Equality Impact?</w:t>
            </w:r>
          </w:p>
          <w:p w:rsidR="009C43A1" w:rsidRPr="006D6CE9" w:rsidRDefault="009C43A1" w:rsidP="00334159">
            <w:pPr>
              <w:rPr>
                <w:rFonts w:cs="Arial"/>
                <w:szCs w:val="22"/>
              </w:rPr>
            </w:pPr>
          </w:p>
        </w:tc>
        <w:tc>
          <w:tcPr>
            <w:tcW w:w="1984" w:type="dxa"/>
          </w:tcPr>
          <w:p w:rsidR="009C43A1" w:rsidRPr="006D6CE9" w:rsidRDefault="009C43A1" w:rsidP="00334159">
            <w:pPr>
              <w:rPr>
                <w:rFonts w:cs="Arial"/>
                <w:i/>
                <w:color w:val="FF0000"/>
                <w:szCs w:val="22"/>
              </w:rPr>
            </w:pPr>
            <w:r w:rsidRPr="006D6CE9">
              <w:rPr>
                <w:rFonts w:cs="Arial"/>
                <w:szCs w:val="22"/>
              </w:rPr>
              <w:t xml:space="preserve">Yes </w:t>
            </w:r>
          </w:p>
        </w:tc>
      </w:tr>
      <w:tr w:rsidR="009C43A1" w:rsidRPr="006D6CE9" w:rsidTr="00334159">
        <w:tc>
          <w:tcPr>
            <w:tcW w:w="5954" w:type="dxa"/>
          </w:tcPr>
          <w:p w:rsidR="009C43A1" w:rsidRPr="006D6CE9" w:rsidRDefault="009C43A1" w:rsidP="00334159">
            <w:pPr>
              <w:keepNext/>
              <w:keepLines/>
              <w:rPr>
                <w:rFonts w:cs="Arial"/>
                <w:szCs w:val="22"/>
              </w:rPr>
            </w:pPr>
            <w:r w:rsidRPr="006D6CE9">
              <w:rPr>
                <w:rFonts w:cs="Arial"/>
                <w:szCs w:val="22"/>
              </w:rPr>
              <w:t>Did the relevance test conclude a full impact assessment was required?</w:t>
            </w:r>
          </w:p>
          <w:p w:rsidR="009C43A1" w:rsidRPr="006D6CE9" w:rsidRDefault="009C43A1" w:rsidP="00334159">
            <w:pPr>
              <w:rPr>
                <w:rFonts w:cs="Arial"/>
                <w:i/>
                <w:color w:val="FF0000"/>
                <w:szCs w:val="22"/>
              </w:rPr>
            </w:pPr>
          </w:p>
        </w:tc>
        <w:tc>
          <w:tcPr>
            <w:tcW w:w="1984" w:type="dxa"/>
          </w:tcPr>
          <w:p w:rsidR="009C43A1" w:rsidRPr="006D6CE9" w:rsidRDefault="009C43A1" w:rsidP="00334159">
            <w:pPr>
              <w:rPr>
                <w:rFonts w:cs="Arial"/>
                <w:szCs w:val="22"/>
              </w:rPr>
            </w:pPr>
            <w:r w:rsidRPr="006D6CE9">
              <w:rPr>
                <w:rFonts w:cs="Arial"/>
                <w:szCs w:val="22"/>
              </w:rPr>
              <w:t xml:space="preserve">No </w:t>
            </w:r>
          </w:p>
        </w:tc>
      </w:tr>
    </w:tbl>
    <w:p w:rsidR="009C43A1" w:rsidRPr="006D6CE9" w:rsidRDefault="009C43A1" w:rsidP="009C43A1">
      <w:pPr>
        <w:ind w:left="1267" w:hanging="1267"/>
        <w:rPr>
          <w:rFonts w:cs="Arial"/>
          <w:szCs w:val="22"/>
        </w:rPr>
      </w:pPr>
      <w:r w:rsidRPr="006D6CE9">
        <w:rPr>
          <w:rFonts w:cs="Arial"/>
          <w:szCs w:val="22"/>
        </w:rPr>
        <w:tab/>
      </w:r>
    </w:p>
    <w:p w:rsidR="009C43A1" w:rsidRDefault="009C43A1" w:rsidP="009C43A1">
      <w:pPr>
        <w:keepNext/>
        <w:ind w:left="1259" w:hanging="1259"/>
        <w:rPr>
          <w:rFonts w:cs="Arial"/>
          <w:b/>
          <w:szCs w:val="22"/>
        </w:rPr>
      </w:pPr>
      <w:r w:rsidRPr="006D6CE9">
        <w:rPr>
          <w:rFonts w:cs="Arial"/>
          <w:szCs w:val="22"/>
        </w:rPr>
        <w:t>7.2</w:t>
      </w:r>
      <w:r w:rsidRPr="006D6CE9">
        <w:rPr>
          <w:rFonts w:cs="Arial"/>
          <w:szCs w:val="22"/>
        </w:rPr>
        <w:tab/>
      </w:r>
      <w:r w:rsidRPr="006D6CE9">
        <w:rPr>
          <w:rFonts w:cs="Arial"/>
          <w:b/>
          <w:szCs w:val="22"/>
        </w:rPr>
        <w:t>Impact Assessment</w:t>
      </w:r>
    </w:p>
    <w:p w:rsidR="009C43A1" w:rsidRPr="006D6CE9" w:rsidRDefault="009C43A1" w:rsidP="009C43A1">
      <w:pPr>
        <w:ind w:left="1260" w:hanging="1260"/>
        <w:rPr>
          <w:rFonts w:cs="Arial"/>
          <w:szCs w:val="22"/>
        </w:rPr>
      </w:pPr>
      <w:r w:rsidRPr="006D6CE9">
        <w:rPr>
          <w:rFonts w:cs="Arial"/>
          <w:b/>
          <w:i/>
          <w:color w:val="008000"/>
          <w:szCs w:val="22"/>
        </w:rPr>
        <w:tab/>
      </w:r>
      <w:r w:rsidRPr="006D6CE9">
        <w:rPr>
          <w:rFonts w:cs="Arial"/>
          <w:szCs w:val="22"/>
        </w:rPr>
        <w:t>Play facilities and skate areas are open access and free to the public to use. Local residents will be consulted as part of the upgrading and refurbishing play area programme, including those with a disability.</w:t>
      </w:r>
    </w:p>
    <w:p w:rsidR="009C43A1" w:rsidRPr="006D6CE9" w:rsidRDefault="009C43A1" w:rsidP="009C43A1">
      <w:pPr>
        <w:rPr>
          <w:rFonts w:cs="Arial"/>
          <w:szCs w:val="22"/>
        </w:rPr>
      </w:pPr>
    </w:p>
    <w:p w:rsidR="009C43A1" w:rsidRPr="006D6CE9" w:rsidRDefault="009C43A1" w:rsidP="009C43A1">
      <w:pPr>
        <w:keepNext/>
        <w:ind w:left="1267" w:hanging="1267"/>
        <w:rPr>
          <w:rFonts w:cs="Arial"/>
          <w:szCs w:val="22"/>
        </w:rPr>
      </w:pPr>
      <w:r w:rsidRPr="006D6CE9">
        <w:rPr>
          <w:rFonts w:cs="Arial"/>
          <w:szCs w:val="22"/>
        </w:rPr>
        <w:t>8.</w:t>
      </w:r>
      <w:r w:rsidRPr="006D6CE9">
        <w:rPr>
          <w:rFonts w:cs="Arial"/>
          <w:szCs w:val="22"/>
        </w:rPr>
        <w:tab/>
      </w:r>
      <w:r w:rsidRPr="006D6CE9">
        <w:rPr>
          <w:rFonts w:cs="Arial"/>
          <w:b/>
          <w:szCs w:val="22"/>
        </w:rPr>
        <w:t>Staffing Implications</w:t>
      </w:r>
    </w:p>
    <w:p w:rsidR="009C43A1" w:rsidRPr="006D6CE9" w:rsidRDefault="009C43A1" w:rsidP="009C43A1">
      <w:pPr>
        <w:keepNext/>
        <w:ind w:left="1267" w:hanging="1267"/>
        <w:rPr>
          <w:rFonts w:cs="Arial"/>
          <w:szCs w:val="22"/>
        </w:rPr>
      </w:pPr>
    </w:p>
    <w:p w:rsidR="009C43A1" w:rsidRPr="006D6CE9" w:rsidRDefault="009C43A1" w:rsidP="009C43A1">
      <w:pPr>
        <w:ind w:left="1260" w:hanging="1260"/>
        <w:rPr>
          <w:rFonts w:cs="Arial"/>
          <w:szCs w:val="22"/>
        </w:rPr>
      </w:pPr>
      <w:r w:rsidRPr="006D6CE9">
        <w:rPr>
          <w:rFonts w:cs="Arial"/>
          <w:szCs w:val="22"/>
        </w:rPr>
        <w:t>8.1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 xml:space="preserve">The small leisure facilities capital programme will require the time of the Leisure Development Manager, </w:t>
      </w:r>
      <w:r w:rsidR="00B131DB">
        <w:rPr>
          <w:rFonts w:cs="Arial"/>
          <w:szCs w:val="22"/>
        </w:rPr>
        <w:t>Projects Development</w:t>
      </w:r>
      <w:r w:rsidRPr="006D6CE9">
        <w:rPr>
          <w:rFonts w:cs="Arial"/>
          <w:szCs w:val="22"/>
        </w:rPr>
        <w:t xml:space="preserve"> Officer, external Principal Designer and Project Manager to oversee project management, consultation, negotiations and installation of the new facilities.</w:t>
      </w:r>
    </w:p>
    <w:p w:rsidR="009C43A1" w:rsidRPr="006D6CE9" w:rsidRDefault="009C43A1" w:rsidP="009C43A1">
      <w:pPr>
        <w:rPr>
          <w:rFonts w:cs="Arial"/>
          <w:szCs w:val="22"/>
        </w:rPr>
      </w:pPr>
    </w:p>
    <w:p w:rsidR="009C43A1" w:rsidRPr="006D6CE9" w:rsidRDefault="009C43A1" w:rsidP="009C43A1">
      <w:pPr>
        <w:keepNext/>
        <w:ind w:left="1267" w:hanging="1267"/>
        <w:rPr>
          <w:rFonts w:cs="Arial"/>
          <w:szCs w:val="22"/>
        </w:rPr>
      </w:pPr>
      <w:r w:rsidRPr="006D6CE9">
        <w:rPr>
          <w:rFonts w:cs="Arial"/>
          <w:szCs w:val="22"/>
        </w:rPr>
        <w:t>9.</w:t>
      </w:r>
      <w:r w:rsidRPr="006D6CE9">
        <w:rPr>
          <w:rFonts w:cs="Arial"/>
          <w:szCs w:val="22"/>
        </w:rPr>
        <w:tab/>
      </w:r>
      <w:r w:rsidRPr="006D6CE9">
        <w:rPr>
          <w:rFonts w:cs="Arial"/>
          <w:b/>
          <w:szCs w:val="22"/>
        </w:rPr>
        <w:t>Environmental Implications</w:t>
      </w:r>
    </w:p>
    <w:p w:rsidR="009C43A1" w:rsidRPr="006D6CE9" w:rsidRDefault="009C43A1" w:rsidP="009C43A1">
      <w:pPr>
        <w:keepNext/>
        <w:ind w:left="1267" w:hanging="1267"/>
        <w:rPr>
          <w:rFonts w:cs="Arial"/>
          <w:szCs w:val="22"/>
        </w:rPr>
      </w:pPr>
    </w:p>
    <w:p w:rsidR="009C43A1" w:rsidRPr="006D6CE9" w:rsidRDefault="009C43A1" w:rsidP="009C43A1">
      <w:pPr>
        <w:ind w:left="1260" w:hanging="1260"/>
        <w:rPr>
          <w:rFonts w:cs="Arial"/>
          <w:szCs w:val="22"/>
        </w:rPr>
      </w:pPr>
      <w:r w:rsidRPr="006D6CE9">
        <w:rPr>
          <w:rFonts w:cs="Arial"/>
          <w:szCs w:val="22"/>
        </w:rPr>
        <w:t>9.1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The installation of new leisure facilities across the District will increase the quality of provision of community facilities in the public open spaces.</w:t>
      </w:r>
    </w:p>
    <w:p w:rsidR="009C43A1" w:rsidRPr="006D6CE9" w:rsidRDefault="009C43A1" w:rsidP="009C43A1">
      <w:pPr>
        <w:ind w:left="1260" w:hanging="1260"/>
        <w:rPr>
          <w:rFonts w:cs="Arial"/>
          <w:szCs w:val="22"/>
        </w:rPr>
      </w:pPr>
    </w:p>
    <w:p w:rsidR="009C43A1" w:rsidRPr="006D6CE9" w:rsidRDefault="009C43A1" w:rsidP="009C43A1">
      <w:pPr>
        <w:ind w:left="1260" w:hanging="1260"/>
        <w:rPr>
          <w:rFonts w:cs="Arial"/>
          <w:szCs w:val="22"/>
        </w:rPr>
      </w:pPr>
      <w:r w:rsidRPr="006D6CE9">
        <w:rPr>
          <w:rFonts w:cs="Arial"/>
          <w:szCs w:val="22"/>
        </w:rPr>
        <w:t>9.2</w:t>
      </w:r>
      <w:r w:rsidRPr="006D6CE9">
        <w:rPr>
          <w:rFonts w:cs="Arial"/>
          <w:szCs w:val="22"/>
        </w:rPr>
        <w:tab/>
        <w:t>The new facilities will aim to make use of natural materials as well as recycled materials. The designs will be sustainable and will include sustainable features where possible. The users of the children’s play area will be encouraged to appreciate the natural surroundings as part of the play experience.</w:t>
      </w:r>
    </w:p>
    <w:p w:rsidR="009C43A1" w:rsidRPr="006D6CE9" w:rsidRDefault="009C43A1" w:rsidP="009C43A1">
      <w:pPr>
        <w:rPr>
          <w:rFonts w:cs="Arial"/>
          <w:szCs w:val="22"/>
        </w:rPr>
      </w:pPr>
    </w:p>
    <w:p w:rsidR="009C43A1" w:rsidRPr="006D6CE9" w:rsidRDefault="009C43A1" w:rsidP="009C43A1">
      <w:pPr>
        <w:keepNext/>
        <w:ind w:left="1267" w:hanging="1267"/>
        <w:rPr>
          <w:rFonts w:cs="Arial"/>
          <w:szCs w:val="22"/>
        </w:rPr>
      </w:pPr>
      <w:r w:rsidRPr="006D6CE9">
        <w:rPr>
          <w:rFonts w:cs="Arial"/>
          <w:szCs w:val="22"/>
        </w:rPr>
        <w:lastRenderedPageBreak/>
        <w:t>10.</w:t>
      </w:r>
      <w:r w:rsidRPr="006D6CE9">
        <w:rPr>
          <w:rFonts w:cs="Arial"/>
          <w:szCs w:val="22"/>
        </w:rPr>
        <w:tab/>
      </w:r>
      <w:r w:rsidRPr="006D6CE9">
        <w:rPr>
          <w:rFonts w:cs="Arial"/>
          <w:b/>
          <w:szCs w:val="22"/>
        </w:rPr>
        <w:t>Community Safety Implications</w:t>
      </w:r>
    </w:p>
    <w:p w:rsidR="009C43A1" w:rsidRPr="006D6CE9" w:rsidRDefault="009C43A1" w:rsidP="009C43A1">
      <w:pPr>
        <w:keepNext/>
        <w:ind w:left="1267" w:hanging="1267"/>
        <w:rPr>
          <w:rFonts w:cs="Arial"/>
          <w:szCs w:val="22"/>
        </w:rPr>
      </w:pPr>
    </w:p>
    <w:p w:rsidR="009C43A1" w:rsidRPr="006D6CE9" w:rsidRDefault="009C43A1" w:rsidP="009C43A1">
      <w:pPr>
        <w:ind w:left="1260" w:hanging="1260"/>
        <w:rPr>
          <w:rFonts w:cs="Arial"/>
          <w:szCs w:val="22"/>
        </w:rPr>
      </w:pPr>
      <w:r w:rsidRPr="006D6CE9">
        <w:rPr>
          <w:rFonts w:cs="Arial"/>
          <w:szCs w:val="22"/>
        </w:rPr>
        <w:t>10.1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The local Police Community Safety Officers, Crime Prevention Liaison Officer and the Grounds Maintenance team will be consulted on the final design options for all sites.</w:t>
      </w:r>
    </w:p>
    <w:p w:rsidR="009C43A1" w:rsidRPr="006D6CE9" w:rsidRDefault="009C43A1" w:rsidP="009C43A1">
      <w:pPr>
        <w:ind w:left="1260" w:hanging="1260"/>
        <w:rPr>
          <w:rFonts w:cs="Arial"/>
          <w:szCs w:val="22"/>
        </w:rPr>
      </w:pPr>
    </w:p>
    <w:p w:rsidR="009C43A1" w:rsidRPr="006D6CE9" w:rsidRDefault="009C43A1" w:rsidP="009C43A1">
      <w:pPr>
        <w:ind w:left="1260" w:hanging="1260"/>
        <w:rPr>
          <w:rFonts w:cs="Arial"/>
          <w:szCs w:val="22"/>
        </w:rPr>
      </w:pPr>
      <w:r w:rsidRPr="006D6CE9">
        <w:rPr>
          <w:rFonts w:cs="Arial"/>
          <w:szCs w:val="22"/>
        </w:rPr>
        <w:t>10.2</w:t>
      </w:r>
      <w:r w:rsidRPr="006D6CE9">
        <w:rPr>
          <w:rFonts w:cs="Arial"/>
          <w:szCs w:val="22"/>
        </w:rPr>
        <w:tab/>
        <w:t xml:space="preserve">The installation of new leisure facilities will provide the opportunity for </w:t>
      </w:r>
      <w:r w:rsidR="00B131DB">
        <w:rPr>
          <w:rFonts w:cs="Arial"/>
          <w:szCs w:val="22"/>
        </w:rPr>
        <w:t xml:space="preserve">children and </w:t>
      </w:r>
      <w:r w:rsidRPr="006D6CE9">
        <w:rPr>
          <w:rFonts w:cs="Arial"/>
          <w:szCs w:val="22"/>
        </w:rPr>
        <w:t>young people to take part in positive activities.</w:t>
      </w:r>
    </w:p>
    <w:p w:rsidR="009C43A1" w:rsidRPr="006D6CE9" w:rsidRDefault="009C43A1" w:rsidP="009C43A1">
      <w:pPr>
        <w:rPr>
          <w:rFonts w:cs="Arial"/>
          <w:szCs w:val="22"/>
        </w:rPr>
      </w:pPr>
    </w:p>
    <w:p w:rsidR="009C43A1" w:rsidRPr="006D6CE9" w:rsidRDefault="009C43A1" w:rsidP="009C43A1">
      <w:pPr>
        <w:keepNext/>
        <w:ind w:left="1267" w:hanging="1267"/>
        <w:rPr>
          <w:rFonts w:cs="Arial"/>
          <w:b/>
          <w:szCs w:val="22"/>
        </w:rPr>
      </w:pPr>
      <w:r w:rsidRPr="006D6CE9">
        <w:rPr>
          <w:rFonts w:cs="Arial"/>
          <w:szCs w:val="22"/>
        </w:rPr>
        <w:t>11.</w:t>
      </w:r>
      <w:r w:rsidRPr="006D6CE9">
        <w:rPr>
          <w:rFonts w:cs="Arial"/>
          <w:szCs w:val="22"/>
        </w:rPr>
        <w:tab/>
      </w:r>
      <w:r w:rsidRPr="006D6CE9">
        <w:rPr>
          <w:rFonts w:cs="Arial"/>
          <w:b/>
          <w:szCs w:val="22"/>
        </w:rPr>
        <w:t>Public Health implications</w:t>
      </w:r>
    </w:p>
    <w:p w:rsidR="009C43A1" w:rsidRPr="006D6CE9" w:rsidRDefault="009C43A1" w:rsidP="009C43A1">
      <w:pPr>
        <w:keepNext/>
        <w:ind w:left="1267" w:hanging="1267"/>
        <w:rPr>
          <w:rFonts w:cs="Arial"/>
          <w:szCs w:val="22"/>
        </w:rPr>
      </w:pPr>
    </w:p>
    <w:p w:rsidR="009C43A1" w:rsidRPr="006D6CE9" w:rsidRDefault="009C43A1" w:rsidP="009C43A1">
      <w:pPr>
        <w:keepNext/>
        <w:ind w:left="1267" w:hanging="1267"/>
        <w:rPr>
          <w:rFonts w:cs="Arial"/>
          <w:szCs w:val="22"/>
        </w:rPr>
      </w:pPr>
      <w:r w:rsidRPr="006D6CE9">
        <w:rPr>
          <w:rFonts w:cs="Arial"/>
          <w:szCs w:val="22"/>
        </w:rPr>
        <w:t>11.1</w:t>
      </w:r>
      <w:r w:rsidRPr="006D6CE9">
        <w:rPr>
          <w:rFonts w:cs="Arial"/>
          <w:szCs w:val="22"/>
        </w:rPr>
        <w:tab/>
        <w:t>Providing free, accessible play facilities will encourage children and young people to be physically active, and will support the achievement of the Council’s Physical Activity Strategy. It will also provide a point for families to meet and socialise, supporting mental wellbeing and the priorities of the Hertfordshire Health and Wellbeing Strategy.</w:t>
      </w:r>
    </w:p>
    <w:p w:rsidR="009C43A1" w:rsidRPr="006D6CE9" w:rsidRDefault="009C43A1" w:rsidP="009C43A1">
      <w:pPr>
        <w:keepNext/>
        <w:ind w:left="1267" w:hanging="1267"/>
        <w:rPr>
          <w:rFonts w:cs="Arial"/>
          <w:szCs w:val="22"/>
        </w:rPr>
      </w:pPr>
    </w:p>
    <w:p w:rsidR="009C43A1" w:rsidRPr="006D6CE9" w:rsidRDefault="009C43A1" w:rsidP="009C43A1">
      <w:pPr>
        <w:keepNext/>
        <w:ind w:left="1267" w:hanging="1267"/>
        <w:rPr>
          <w:rFonts w:cs="Arial"/>
          <w:szCs w:val="22"/>
        </w:rPr>
      </w:pPr>
      <w:r w:rsidRPr="006D6CE9">
        <w:rPr>
          <w:rFonts w:cs="Arial"/>
          <w:szCs w:val="22"/>
        </w:rPr>
        <w:t>12.</w:t>
      </w:r>
      <w:r w:rsidRPr="006D6CE9">
        <w:rPr>
          <w:rFonts w:cs="Arial"/>
          <w:b/>
          <w:szCs w:val="22"/>
        </w:rPr>
        <w:tab/>
        <w:t>Customer Services Centre Implications</w:t>
      </w:r>
    </w:p>
    <w:p w:rsidR="009C43A1" w:rsidRPr="006D6CE9" w:rsidRDefault="009C43A1" w:rsidP="009C43A1">
      <w:pPr>
        <w:keepNext/>
        <w:ind w:left="1267" w:hanging="1267"/>
        <w:rPr>
          <w:rFonts w:cs="Arial"/>
          <w:szCs w:val="22"/>
        </w:rPr>
      </w:pPr>
    </w:p>
    <w:p w:rsidR="009C43A1" w:rsidRPr="006D6CE9" w:rsidRDefault="009C43A1" w:rsidP="009C43A1">
      <w:pPr>
        <w:ind w:left="1260" w:hanging="1260"/>
        <w:rPr>
          <w:rFonts w:cs="Arial"/>
          <w:szCs w:val="22"/>
        </w:rPr>
      </w:pPr>
      <w:r w:rsidRPr="006D6CE9">
        <w:rPr>
          <w:rFonts w:cs="Arial"/>
          <w:szCs w:val="22"/>
        </w:rPr>
        <w:t>12.1</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None Specific.</w:t>
      </w:r>
    </w:p>
    <w:p w:rsidR="009C43A1" w:rsidRPr="006D6CE9" w:rsidRDefault="009C43A1" w:rsidP="009C43A1">
      <w:pPr>
        <w:rPr>
          <w:rFonts w:cs="Arial"/>
          <w:szCs w:val="22"/>
        </w:rPr>
      </w:pPr>
    </w:p>
    <w:p w:rsidR="009C43A1" w:rsidRPr="006D6CE9" w:rsidRDefault="009C43A1" w:rsidP="009C43A1">
      <w:pPr>
        <w:keepNext/>
        <w:ind w:left="1267" w:hanging="1267"/>
        <w:rPr>
          <w:rFonts w:cs="Arial"/>
          <w:szCs w:val="22"/>
        </w:rPr>
      </w:pPr>
      <w:r w:rsidRPr="006D6CE9">
        <w:rPr>
          <w:rFonts w:cs="Arial"/>
          <w:szCs w:val="22"/>
        </w:rPr>
        <w:t>13.</w:t>
      </w:r>
      <w:r w:rsidRPr="006D6CE9">
        <w:rPr>
          <w:rFonts w:cs="Arial"/>
          <w:szCs w:val="22"/>
        </w:rPr>
        <w:tab/>
      </w:r>
      <w:r w:rsidRPr="006D6CE9">
        <w:rPr>
          <w:rFonts w:cs="Arial"/>
          <w:b/>
          <w:szCs w:val="22"/>
        </w:rPr>
        <w:t>Communications and</w:t>
      </w:r>
      <w:r w:rsidRPr="006D6CE9">
        <w:rPr>
          <w:rFonts w:cs="Arial"/>
          <w:szCs w:val="22"/>
        </w:rPr>
        <w:t xml:space="preserve"> </w:t>
      </w:r>
      <w:r w:rsidRPr="006D6CE9">
        <w:rPr>
          <w:rFonts w:cs="Arial"/>
          <w:b/>
          <w:szCs w:val="22"/>
        </w:rPr>
        <w:t>Website Implications</w:t>
      </w:r>
    </w:p>
    <w:p w:rsidR="009C43A1" w:rsidRPr="006D6CE9" w:rsidRDefault="009C43A1" w:rsidP="009C43A1">
      <w:pPr>
        <w:ind w:left="1260" w:hanging="1260"/>
        <w:rPr>
          <w:rFonts w:cs="Arial"/>
          <w:szCs w:val="22"/>
        </w:rPr>
      </w:pPr>
      <w:r w:rsidRPr="006D6CE9">
        <w:rPr>
          <w:rFonts w:cs="Arial"/>
          <w:b/>
          <w:i/>
          <w:color w:val="008000"/>
          <w:szCs w:val="22"/>
        </w:rPr>
        <w:tab/>
      </w:r>
    </w:p>
    <w:p w:rsidR="009C43A1" w:rsidRPr="006D6CE9" w:rsidRDefault="009C43A1" w:rsidP="009C43A1">
      <w:pPr>
        <w:ind w:left="1260" w:hanging="1260"/>
        <w:rPr>
          <w:rFonts w:cs="Arial"/>
          <w:szCs w:val="22"/>
        </w:rPr>
      </w:pPr>
      <w:r w:rsidRPr="006D6CE9">
        <w:rPr>
          <w:rFonts w:cs="Arial"/>
          <w:szCs w:val="22"/>
        </w:rPr>
        <w:t>13.1</w:t>
      </w:r>
      <w:r w:rsidRPr="006D6CE9">
        <w:rPr>
          <w:rFonts w:cs="Arial"/>
          <w:szCs w:val="22"/>
        </w:rPr>
        <w:tab/>
        <w:t>Consultation will take place with local residents and user groups. Council officers will utilise the Leisure pages on the Council’s website to advertise the works to the facilities and to provide information on the areas once they have been updated.</w:t>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p>
    <w:p w:rsidR="009C43A1" w:rsidRPr="006D6CE9" w:rsidRDefault="009C43A1" w:rsidP="009C43A1">
      <w:pPr>
        <w:pStyle w:val="Header"/>
        <w:tabs>
          <w:tab w:val="clear" w:pos="4153"/>
          <w:tab w:val="clear" w:pos="8306"/>
          <w:tab w:val="left" w:pos="1260"/>
          <w:tab w:val="left" w:pos="1980"/>
          <w:tab w:val="left" w:pos="2700"/>
          <w:tab w:val="left" w:pos="3420"/>
        </w:tabs>
        <w:rPr>
          <w:rFonts w:cs="Arial"/>
          <w:szCs w:val="22"/>
        </w:rPr>
      </w:pPr>
    </w:p>
    <w:p w:rsidR="009C43A1" w:rsidRPr="006D6CE9" w:rsidRDefault="009C43A1" w:rsidP="009C43A1">
      <w:pPr>
        <w:keepNext/>
        <w:ind w:left="1267" w:hanging="1267"/>
        <w:rPr>
          <w:rFonts w:cs="Arial"/>
          <w:b/>
          <w:szCs w:val="22"/>
        </w:rPr>
      </w:pPr>
      <w:r w:rsidRPr="006D6CE9">
        <w:rPr>
          <w:rFonts w:cs="Arial"/>
          <w:szCs w:val="22"/>
        </w:rPr>
        <w:t>14.</w:t>
      </w:r>
      <w:r w:rsidRPr="006D6CE9">
        <w:rPr>
          <w:rFonts w:cs="Arial"/>
          <w:szCs w:val="22"/>
        </w:rPr>
        <w:tab/>
      </w:r>
      <w:r w:rsidRPr="006D6CE9">
        <w:rPr>
          <w:rFonts w:cs="Arial"/>
          <w:b/>
          <w:szCs w:val="22"/>
        </w:rPr>
        <w:t>Risk Management and Health &amp; Safety Implications</w:t>
      </w:r>
    </w:p>
    <w:p w:rsidR="009C43A1" w:rsidRPr="006D6CE9" w:rsidRDefault="009C43A1" w:rsidP="009C43A1">
      <w:pPr>
        <w:keepNext/>
        <w:ind w:left="1267" w:hanging="1267"/>
        <w:rPr>
          <w:rFonts w:cs="Arial"/>
          <w:szCs w:val="22"/>
        </w:rPr>
      </w:pPr>
    </w:p>
    <w:p w:rsidR="009C43A1" w:rsidRPr="006D6CE9" w:rsidRDefault="009C43A1" w:rsidP="009C43A1">
      <w:pPr>
        <w:ind w:left="1276" w:hanging="1276"/>
        <w:rPr>
          <w:rFonts w:cs="Arial"/>
          <w:szCs w:val="22"/>
        </w:rPr>
      </w:pPr>
      <w:r w:rsidRPr="006D6CE9">
        <w:rPr>
          <w:rFonts w:cs="Arial"/>
          <w:szCs w:val="22"/>
        </w:rPr>
        <w:t>14.1</w:t>
      </w:r>
      <w:r w:rsidRPr="006D6CE9">
        <w:rPr>
          <w:rFonts w:cs="Arial"/>
          <w:szCs w:val="22"/>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9C43A1" w:rsidRPr="006D6CE9" w:rsidRDefault="009C43A1" w:rsidP="009C43A1">
      <w:pPr>
        <w:rPr>
          <w:rFonts w:cs="Arial"/>
          <w:szCs w:val="22"/>
        </w:rPr>
      </w:pPr>
    </w:p>
    <w:p w:rsidR="009C43A1" w:rsidRPr="006D6CE9" w:rsidRDefault="009C43A1" w:rsidP="009C43A1">
      <w:pPr>
        <w:ind w:left="1260" w:hanging="1260"/>
        <w:rPr>
          <w:rFonts w:cs="Arial"/>
          <w:szCs w:val="22"/>
        </w:rPr>
      </w:pPr>
      <w:r w:rsidRPr="006D6CE9">
        <w:rPr>
          <w:rFonts w:cs="Arial"/>
          <w:szCs w:val="22"/>
        </w:rPr>
        <w:t>14.2</w:t>
      </w:r>
      <w:r w:rsidRPr="006D6CE9">
        <w:rPr>
          <w:rFonts w:cs="Arial"/>
          <w:szCs w:val="22"/>
        </w:rPr>
        <w:tab/>
        <w:t xml:space="preserve">The subject of this report is covered by the </w:t>
      </w:r>
      <w:r w:rsidRPr="006D6CE9">
        <w:rPr>
          <w:rFonts w:cs="Arial"/>
          <w:szCs w:val="22"/>
        </w:rPr>
        <w:fldChar w:fldCharType="begin"/>
      </w:r>
      <w:r w:rsidRPr="006D6CE9">
        <w:rPr>
          <w:rFonts w:cs="Arial"/>
          <w:szCs w:val="22"/>
        </w:rPr>
        <w:instrText xml:space="preserve"> ASK   \* MERGEFORMAT </w:instrText>
      </w:r>
      <w:r w:rsidRPr="006D6CE9">
        <w:rPr>
          <w:rFonts w:cs="Arial"/>
          <w:szCs w:val="22"/>
        </w:rPr>
        <w:fldChar w:fldCharType="end"/>
      </w:r>
      <w:r w:rsidRPr="006D6CE9">
        <w:rPr>
          <w:rFonts w:cs="Arial"/>
          <w:szCs w:val="22"/>
        </w:rPr>
        <w:t>Leisure and Environmental service plan</w:t>
      </w:r>
      <w:r w:rsidRPr="006D6CE9">
        <w:rPr>
          <w:rFonts w:cs="Arial"/>
          <w:b/>
          <w:i/>
          <w:szCs w:val="22"/>
        </w:rPr>
        <w:t>.</w:t>
      </w:r>
      <w:r w:rsidRPr="006D6CE9">
        <w:rPr>
          <w:rFonts w:cs="Arial"/>
          <w:szCs w:val="22"/>
        </w:rPr>
        <w:t xml:space="preserve">  Any risks resulting from this report will be included in the risk register and, if necessary, managed within these plans.</w:t>
      </w:r>
    </w:p>
    <w:p w:rsidR="009C43A1" w:rsidRPr="006D6CE9" w:rsidRDefault="009C43A1" w:rsidP="009C43A1">
      <w:pPr>
        <w:rPr>
          <w:rFonts w:cs="Arial"/>
          <w:szCs w:val="22"/>
        </w:rPr>
      </w:pPr>
    </w:p>
    <w:p w:rsidR="009C43A1" w:rsidRPr="006D6CE9" w:rsidRDefault="009C43A1" w:rsidP="009C43A1">
      <w:pPr>
        <w:ind w:left="1276" w:hanging="1276"/>
        <w:rPr>
          <w:rFonts w:cs="Arial"/>
          <w:szCs w:val="22"/>
        </w:rPr>
      </w:pPr>
      <w:r w:rsidRPr="006D6CE9">
        <w:rPr>
          <w:rFonts w:cs="Arial"/>
          <w:szCs w:val="22"/>
        </w:rPr>
        <w:t>14.3</w:t>
      </w:r>
      <w:r w:rsidRPr="006D6CE9">
        <w:rPr>
          <w:rFonts w:cs="Arial"/>
          <w:szCs w:val="22"/>
        </w:rPr>
        <w:tab/>
      </w:r>
      <w:r w:rsidRPr="006D6CE9">
        <w:rPr>
          <w:rFonts w:cs="Arial"/>
          <w:szCs w:val="22"/>
        </w:rPr>
        <w:tab/>
        <w:t xml:space="preserve">The following table gives the risks if the recommendation(s) are agreed, together with a scored assessment of their impact and likelihood: </w:t>
      </w:r>
    </w:p>
    <w:p w:rsidR="009C43A1" w:rsidRPr="006D6CE9" w:rsidRDefault="009C43A1" w:rsidP="009C43A1">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9C43A1" w:rsidRPr="006D6CE9" w:rsidTr="00334159">
        <w:tc>
          <w:tcPr>
            <w:tcW w:w="5384" w:type="dxa"/>
            <w:gridSpan w:val="2"/>
          </w:tcPr>
          <w:p w:rsidR="009C43A1" w:rsidRPr="006D6CE9" w:rsidRDefault="009C43A1" w:rsidP="00334159">
            <w:pPr>
              <w:jc w:val="center"/>
              <w:rPr>
                <w:rFonts w:cs="Arial"/>
                <w:szCs w:val="22"/>
              </w:rPr>
            </w:pPr>
            <w:r w:rsidRPr="006D6CE9">
              <w:rPr>
                <w:rFonts w:cs="Arial"/>
                <w:szCs w:val="22"/>
              </w:rPr>
              <w:t>Description of Risk</w:t>
            </w:r>
          </w:p>
        </w:tc>
        <w:tc>
          <w:tcPr>
            <w:tcW w:w="1170" w:type="dxa"/>
          </w:tcPr>
          <w:p w:rsidR="009C43A1" w:rsidRPr="006D6CE9" w:rsidRDefault="009C43A1" w:rsidP="00334159">
            <w:pPr>
              <w:jc w:val="center"/>
              <w:rPr>
                <w:rFonts w:cs="Arial"/>
                <w:szCs w:val="22"/>
              </w:rPr>
            </w:pPr>
            <w:r w:rsidRPr="006D6CE9">
              <w:rPr>
                <w:rFonts w:cs="Arial"/>
                <w:szCs w:val="22"/>
              </w:rPr>
              <w:t>Impact</w:t>
            </w:r>
          </w:p>
        </w:tc>
        <w:tc>
          <w:tcPr>
            <w:tcW w:w="1350" w:type="dxa"/>
          </w:tcPr>
          <w:p w:rsidR="009C43A1" w:rsidRPr="006D6CE9" w:rsidRDefault="009C43A1" w:rsidP="00334159">
            <w:pPr>
              <w:ind w:left="34"/>
              <w:jc w:val="center"/>
              <w:rPr>
                <w:rFonts w:cs="Arial"/>
                <w:szCs w:val="22"/>
              </w:rPr>
            </w:pPr>
            <w:r w:rsidRPr="006D6CE9">
              <w:rPr>
                <w:rFonts w:cs="Arial"/>
                <w:szCs w:val="22"/>
              </w:rPr>
              <w:t>Likelihood</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1</w:t>
            </w:r>
          </w:p>
        </w:tc>
        <w:tc>
          <w:tcPr>
            <w:tcW w:w="5056" w:type="dxa"/>
          </w:tcPr>
          <w:p w:rsidR="009C43A1" w:rsidRPr="006D6CE9" w:rsidRDefault="009C43A1" w:rsidP="00334159">
            <w:pPr>
              <w:jc w:val="left"/>
              <w:rPr>
                <w:rFonts w:cs="Arial"/>
                <w:szCs w:val="22"/>
              </w:rPr>
            </w:pPr>
            <w:r w:rsidRPr="006D6CE9">
              <w:rPr>
                <w:rFonts w:cs="Arial"/>
                <w:szCs w:val="22"/>
              </w:rPr>
              <w:t>Accidents and injuries to Children and young people and adults</w:t>
            </w:r>
          </w:p>
        </w:tc>
        <w:tc>
          <w:tcPr>
            <w:tcW w:w="1170" w:type="dxa"/>
          </w:tcPr>
          <w:p w:rsidR="009C43A1" w:rsidRPr="006D6CE9" w:rsidRDefault="009C43A1" w:rsidP="00334159">
            <w:pPr>
              <w:jc w:val="center"/>
              <w:rPr>
                <w:rFonts w:cs="Arial"/>
                <w:szCs w:val="22"/>
              </w:rPr>
            </w:pPr>
            <w:r w:rsidRPr="006D6CE9">
              <w:rPr>
                <w:rFonts w:cs="Arial"/>
                <w:szCs w:val="22"/>
              </w:rPr>
              <w:t>III</w:t>
            </w:r>
          </w:p>
        </w:tc>
        <w:tc>
          <w:tcPr>
            <w:tcW w:w="1350" w:type="dxa"/>
          </w:tcPr>
          <w:p w:rsidR="009C43A1" w:rsidRPr="006D6CE9" w:rsidRDefault="009C43A1" w:rsidP="00334159">
            <w:pPr>
              <w:jc w:val="center"/>
              <w:rPr>
                <w:rFonts w:cs="Arial"/>
                <w:szCs w:val="22"/>
              </w:rPr>
            </w:pPr>
            <w:r w:rsidRPr="006D6CE9">
              <w:rPr>
                <w:rFonts w:cs="Arial"/>
                <w:szCs w:val="22"/>
              </w:rPr>
              <w:t>E</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2</w:t>
            </w:r>
          </w:p>
        </w:tc>
        <w:tc>
          <w:tcPr>
            <w:tcW w:w="5056" w:type="dxa"/>
          </w:tcPr>
          <w:p w:rsidR="009C43A1" w:rsidRPr="006D6CE9" w:rsidRDefault="009C43A1" w:rsidP="00334159">
            <w:pPr>
              <w:jc w:val="left"/>
              <w:rPr>
                <w:rFonts w:cs="Arial"/>
                <w:szCs w:val="22"/>
              </w:rPr>
            </w:pPr>
            <w:r w:rsidRPr="006D6CE9">
              <w:rPr>
                <w:rFonts w:cs="Arial"/>
                <w:szCs w:val="22"/>
              </w:rPr>
              <w:t>Incidents of vandalism</w:t>
            </w:r>
          </w:p>
        </w:tc>
        <w:tc>
          <w:tcPr>
            <w:tcW w:w="1170" w:type="dxa"/>
          </w:tcPr>
          <w:p w:rsidR="009C43A1" w:rsidRPr="006D6CE9" w:rsidRDefault="009C43A1" w:rsidP="00334159">
            <w:pPr>
              <w:jc w:val="center"/>
              <w:rPr>
                <w:rFonts w:cs="Arial"/>
                <w:szCs w:val="22"/>
              </w:rPr>
            </w:pPr>
            <w:r w:rsidRPr="006D6CE9">
              <w:rPr>
                <w:rFonts w:cs="Arial"/>
                <w:szCs w:val="22"/>
              </w:rPr>
              <w:t>II</w:t>
            </w:r>
          </w:p>
        </w:tc>
        <w:tc>
          <w:tcPr>
            <w:tcW w:w="1350" w:type="dxa"/>
          </w:tcPr>
          <w:p w:rsidR="009C43A1" w:rsidRPr="006D6CE9" w:rsidRDefault="009C43A1" w:rsidP="00334159">
            <w:pPr>
              <w:jc w:val="center"/>
              <w:rPr>
                <w:rFonts w:cs="Arial"/>
                <w:szCs w:val="22"/>
              </w:rPr>
            </w:pPr>
            <w:r w:rsidRPr="006D6CE9">
              <w:rPr>
                <w:rFonts w:cs="Arial"/>
                <w:szCs w:val="22"/>
              </w:rPr>
              <w:t>C</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3</w:t>
            </w:r>
          </w:p>
        </w:tc>
        <w:tc>
          <w:tcPr>
            <w:tcW w:w="5056" w:type="dxa"/>
          </w:tcPr>
          <w:p w:rsidR="009C43A1" w:rsidRPr="006D6CE9" w:rsidRDefault="009C43A1" w:rsidP="00334159">
            <w:pPr>
              <w:jc w:val="left"/>
              <w:rPr>
                <w:rFonts w:cs="Arial"/>
                <w:szCs w:val="22"/>
              </w:rPr>
            </w:pPr>
            <w:r w:rsidRPr="006D6CE9">
              <w:rPr>
                <w:rFonts w:cs="Arial"/>
                <w:szCs w:val="22"/>
              </w:rPr>
              <w:t>Incidents of graffiti</w:t>
            </w:r>
          </w:p>
        </w:tc>
        <w:tc>
          <w:tcPr>
            <w:tcW w:w="1170" w:type="dxa"/>
          </w:tcPr>
          <w:p w:rsidR="009C43A1" w:rsidRPr="006D6CE9" w:rsidRDefault="009C43A1" w:rsidP="00334159">
            <w:pPr>
              <w:jc w:val="center"/>
              <w:rPr>
                <w:rFonts w:cs="Arial"/>
                <w:szCs w:val="22"/>
              </w:rPr>
            </w:pPr>
            <w:r w:rsidRPr="006D6CE9">
              <w:rPr>
                <w:rFonts w:cs="Arial"/>
                <w:szCs w:val="22"/>
              </w:rPr>
              <w:t>II</w:t>
            </w:r>
          </w:p>
        </w:tc>
        <w:tc>
          <w:tcPr>
            <w:tcW w:w="1350" w:type="dxa"/>
          </w:tcPr>
          <w:p w:rsidR="009C43A1" w:rsidRPr="006D6CE9" w:rsidRDefault="009C43A1" w:rsidP="00334159">
            <w:pPr>
              <w:jc w:val="center"/>
              <w:rPr>
                <w:rFonts w:cs="Arial"/>
                <w:szCs w:val="22"/>
              </w:rPr>
            </w:pPr>
            <w:r w:rsidRPr="006D6CE9">
              <w:rPr>
                <w:rFonts w:cs="Arial"/>
                <w:szCs w:val="22"/>
              </w:rPr>
              <w:t>D</w:t>
            </w:r>
          </w:p>
        </w:tc>
      </w:tr>
    </w:tbl>
    <w:p w:rsidR="009C43A1" w:rsidRPr="006D6CE9" w:rsidRDefault="009C43A1" w:rsidP="009C43A1">
      <w:pPr>
        <w:rPr>
          <w:rFonts w:cs="Arial"/>
          <w:szCs w:val="22"/>
        </w:rPr>
      </w:pPr>
    </w:p>
    <w:p w:rsidR="009C43A1" w:rsidRPr="006D6CE9" w:rsidRDefault="009C43A1" w:rsidP="009C43A1">
      <w:pPr>
        <w:ind w:left="1276" w:hanging="1276"/>
        <w:rPr>
          <w:rFonts w:cs="Arial"/>
          <w:szCs w:val="22"/>
        </w:rPr>
      </w:pPr>
      <w:r w:rsidRPr="006D6CE9">
        <w:rPr>
          <w:rFonts w:cs="Arial"/>
          <w:szCs w:val="22"/>
        </w:rPr>
        <w:t>14.4</w:t>
      </w:r>
      <w:r w:rsidRPr="006D6CE9">
        <w:rPr>
          <w:rFonts w:cs="Arial"/>
          <w:szCs w:val="22"/>
        </w:rPr>
        <w:tab/>
      </w:r>
      <w:r w:rsidRPr="006D6CE9">
        <w:rPr>
          <w:rFonts w:cs="Arial"/>
          <w:szCs w:val="22"/>
        </w:rPr>
        <w:tab/>
        <w:t>The following table gives the risks that would exist if the recommendation is rejected, together with a scored assessment of their impact and likelihood:</w:t>
      </w:r>
    </w:p>
    <w:p w:rsidR="009C43A1" w:rsidRPr="006D6CE9" w:rsidRDefault="009C43A1" w:rsidP="009C43A1">
      <w:pPr>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9C43A1" w:rsidRPr="006D6CE9" w:rsidTr="00334159">
        <w:trPr>
          <w:trHeight w:val="152"/>
        </w:trPr>
        <w:tc>
          <w:tcPr>
            <w:tcW w:w="5384" w:type="dxa"/>
            <w:gridSpan w:val="2"/>
          </w:tcPr>
          <w:p w:rsidR="009C43A1" w:rsidRPr="006D6CE9" w:rsidRDefault="009C43A1" w:rsidP="00334159">
            <w:pPr>
              <w:jc w:val="center"/>
              <w:rPr>
                <w:rFonts w:cs="Arial"/>
                <w:szCs w:val="22"/>
              </w:rPr>
            </w:pPr>
            <w:r w:rsidRPr="006D6CE9">
              <w:rPr>
                <w:rFonts w:cs="Arial"/>
                <w:szCs w:val="22"/>
              </w:rPr>
              <w:t>Description of Risk</w:t>
            </w:r>
          </w:p>
        </w:tc>
        <w:tc>
          <w:tcPr>
            <w:tcW w:w="1170" w:type="dxa"/>
          </w:tcPr>
          <w:p w:rsidR="009C43A1" w:rsidRPr="006D6CE9" w:rsidRDefault="009C43A1" w:rsidP="00334159">
            <w:pPr>
              <w:jc w:val="center"/>
              <w:rPr>
                <w:rFonts w:cs="Arial"/>
                <w:szCs w:val="22"/>
              </w:rPr>
            </w:pPr>
            <w:r w:rsidRPr="006D6CE9">
              <w:rPr>
                <w:rFonts w:cs="Arial"/>
                <w:szCs w:val="22"/>
              </w:rPr>
              <w:t>Impact</w:t>
            </w:r>
          </w:p>
        </w:tc>
        <w:tc>
          <w:tcPr>
            <w:tcW w:w="1350" w:type="dxa"/>
          </w:tcPr>
          <w:p w:rsidR="009C43A1" w:rsidRPr="006D6CE9" w:rsidRDefault="009C43A1" w:rsidP="00334159">
            <w:pPr>
              <w:ind w:left="34"/>
              <w:jc w:val="center"/>
              <w:rPr>
                <w:rFonts w:cs="Arial"/>
                <w:szCs w:val="22"/>
              </w:rPr>
            </w:pPr>
            <w:r w:rsidRPr="006D6CE9">
              <w:rPr>
                <w:rFonts w:cs="Arial"/>
                <w:szCs w:val="22"/>
              </w:rPr>
              <w:t>Likelihood</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4</w:t>
            </w:r>
          </w:p>
        </w:tc>
        <w:tc>
          <w:tcPr>
            <w:tcW w:w="5056" w:type="dxa"/>
          </w:tcPr>
          <w:p w:rsidR="009C43A1" w:rsidRPr="006D6CE9" w:rsidRDefault="009C43A1" w:rsidP="00334159">
            <w:pPr>
              <w:jc w:val="left"/>
              <w:rPr>
                <w:rFonts w:cs="Arial"/>
                <w:szCs w:val="22"/>
              </w:rPr>
            </w:pPr>
            <w:r w:rsidRPr="006D6CE9">
              <w:rPr>
                <w:rFonts w:cs="Arial"/>
                <w:szCs w:val="22"/>
              </w:rPr>
              <w:t>Dissatisfaction from</w:t>
            </w:r>
            <w:r w:rsidR="009079D1">
              <w:rPr>
                <w:rFonts w:cs="Arial"/>
                <w:szCs w:val="22"/>
              </w:rPr>
              <w:t xml:space="preserve"> children and</w:t>
            </w:r>
            <w:r w:rsidRPr="006D6CE9">
              <w:rPr>
                <w:rFonts w:cs="Arial"/>
                <w:szCs w:val="22"/>
              </w:rPr>
              <w:t xml:space="preserve"> young people</w:t>
            </w:r>
          </w:p>
        </w:tc>
        <w:tc>
          <w:tcPr>
            <w:tcW w:w="1170" w:type="dxa"/>
          </w:tcPr>
          <w:p w:rsidR="009C43A1" w:rsidRPr="006D6CE9" w:rsidRDefault="009C43A1" w:rsidP="00334159">
            <w:pPr>
              <w:jc w:val="center"/>
              <w:rPr>
                <w:rFonts w:cs="Arial"/>
                <w:szCs w:val="22"/>
              </w:rPr>
            </w:pPr>
            <w:r w:rsidRPr="006D6CE9">
              <w:rPr>
                <w:rFonts w:cs="Arial"/>
                <w:szCs w:val="22"/>
              </w:rPr>
              <w:t>III</w:t>
            </w:r>
          </w:p>
        </w:tc>
        <w:tc>
          <w:tcPr>
            <w:tcW w:w="1350" w:type="dxa"/>
          </w:tcPr>
          <w:p w:rsidR="009C43A1" w:rsidRPr="006D6CE9" w:rsidRDefault="009C43A1" w:rsidP="00334159">
            <w:pPr>
              <w:jc w:val="center"/>
              <w:rPr>
                <w:rFonts w:cs="Arial"/>
                <w:szCs w:val="22"/>
              </w:rPr>
            </w:pPr>
            <w:r w:rsidRPr="006D6CE9">
              <w:rPr>
                <w:rFonts w:cs="Arial"/>
                <w:szCs w:val="22"/>
              </w:rPr>
              <w:t>C</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5</w:t>
            </w:r>
          </w:p>
        </w:tc>
        <w:tc>
          <w:tcPr>
            <w:tcW w:w="5056" w:type="dxa"/>
          </w:tcPr>
          <w:p w:rsidR="009C43A1" w:rsidRPr="006D6CE9" w:rsidRDefault="009C43A1" w:rsidP="00334159">
            <w:pPr>
              <w:jc w:val="left"/>
              <w:rPr>
                <w:rFonts w:cs="Arial"/>
                <w:szCs w:val="22"/>
              </w:rPr>
            </w:pPr>
            <w:r w:rsidRPr="006D6CE9">
              <w:rPr>
                <w:rFonts w:cs="Arial"/>
                <w:szCs w:val="22"/>
              </w:rPr>
              <w:t>Poor customer satisfaction with the quality of a number of the district owned and managed children’s play areas</w:t>
            </w:r>
          </w:p>
        </w:tc>
        <w:tc>
          <w:tcPr>
            <w:tcW w:w="1170" w:type="dxa"/>
          </w:tcPr>
          <w:p w:rsidR="009C43A1" w:rsidRPr="006D6CE9" w:rsidRDefault="009C43A1" w:rsidP="00334159">
            <w:pPr>
              <w:jc w:val="center"/>
              <w:rPr>
                <w:rFonts w:cs="Arial"/>
                <w:szCs w:val="22"/>
              </w:rPr>
            </w:pPr>
            <w:r w:rsidRPr="006D6CE9">
              <w:rPr>
                <w:rFonts w:cs="Arial"/>
                <w:szCs w:val="22"/>
              </w:rPr>
              <w:t>III</w:t>
            </w:r>
          </w:p>
        </w:tc>
        <w:tc>
          <w:tcPr>
            <w:tcW w:w="1350" w:type="dxa"/>
          </w:tcPr>
          <w:p w:rsidR="009C43A1" w:rsidRPr="006D6CE9" w:rsidRDefault="009C43A1" w:rsidP="00334159">
            <w:pPr>
              <w:jc w:val="center"/>
              <w:rPr>
                <w:rFonts w:cs="Arial"/>
                <w:szCs w:val="22"/>
              </w:rPr>
            </w:pPr>
            <w:r w:rsidRPr="006D6CE9">
              <w:rPr>
                <w:rFonts w:cs="Arial"/>
                <w:szCs w:val="22"/>
              </w:rPr>
              <w:t>C</w:t>
            </w:r>
          </w:p>
        </w:tc>
      </w:tr>
      <w:tr w:rsidR="009C43A1" w:rsidRPr="006D6CE9" w:rsidTr="00334159">
        <w:tc>
          <w:tcPr>
            <w:tcW w:w="328" w:type="dxa"/>
          </w:tcPr>
          <w:p w:rsidR="009C43A1" w:rsidRPr="006D6CE9" w:rsidRDefault="009C43A1" w:rsidP="00334159">
            <w:pPr>
              <w:jc w:val="left"/>
              <w:rPr>
                <w:rFonts w:cs="Arial"/>
                <w:szCs w:val="22"/>
              </w:rPr>
            </w:pPr>
            <w:r w:rsidRPr="006D6CE9">
              <w:rPr>
                <w:rFonts w:cs="Arial"/>
                <w:szCs w:val="22"/>
              </w:rPr>
              <w:t>6</w:t>
            </w:r>
          </w:p>
        </w:tc>
        <w:tc>
          <w:tcPr>
            <w:tcW w:w="5056" w:type="dxa"/>
          </w:tcPr>
          <w:p w:rsidR="009C43A1" w:rsidRPr="006D6CE9" w:rsidRDefault="009079D1" w:rsidP="00334159">
            <w:pPr>
              <w:jc w:val="left"/>
              <w:rPr>
                <w:rFonts w:cs="Arial"/>
                <w:szCs w:val="22"/>
              </w:rPr>
            </w:pPr>
            <w:r w:rsidRPr="006D6CE9">
              <w:rPr>
                <w:rFonts w:cs="Arial"/>
                <w:szCs w:val="22"/>
              </w:rPr>
              <w:t xml:space="preserve">Accident and injury to participants due to the </w:t>
            </w:r>
            <w:r w:rsidRPr="006D6CE9">
              <w:rPr>
                <w:rFonts w:cs="Arial"/>
                <w:szCs w:val="22"/>
              </w:rPr>
              <w:lastRenderedPageBreak/>
              <w:t xml:space="preserve">condition of </w:t>
            </w:r>
            <w:r>
              <w:rPr>
                <w:rFonts w:cs="Arial"/>
                <w:szCs w:val="22"/>
              </w:rPr>
              <w:t>play areas</w:t>
            </w:r>
            <w:r w:rsidRPr="006D6CE9">
              <w:rPr>
                <w:rFonts w:cs="Arial"/>
                <w:szCs w:val="22"/>
              </w:rPr>
              <w:t>, which could result in an insurance claim against the Council</w:t>
            </w:r>
          </w:p>
        </w:tc>
        <w:tc>
          <w:tcPr>
            <w:tcW w:w="1170" w:type="dxa"/>
          </w:tcPr>
          <w:p w:rsidR="009C43A1" w:rsidRPr="006D6CE9" w:rsidRDefault="009C43A1" w:rsidP="00334159">
            <w:pPr>
              <w:jc w:val="center"/>
              <w:rPr>
                <w:rFonts w:cs="Arial"/>
                <w:szCs w:val="22"/>
              </w:rPr>
            </w:pPr>
            <w:r w:rsidRPr="006D6CE9">
              <w:rPr>
                <w:rFonts w:cs="Arial"/>
                <w:szCs w:val="22"/>
              </w:rPr>
              <w:lastRenderedPageBreak/>
              <w:t>III</w:t>
            </w:r>
          </w:p>
        </w:tc>
        <w:tc>
          <w:tcPr>
            <w:tcW w:w="1350" w:type="dxa"/>
          </w:tcPr>
          <w:p w:rsidR="009C43A1" w:rsidRPr="006D6CE9" w:rsidRDefault="009C43A1" w:rsidP="00334159">
            <w:pPr>
              <w:jc w:val="center"/>
              <w:rPr>
                <w:rFonts w:cs="Arial"/>
                <w:szCs w:val="22"/>
              </w:rPr>
            </w:pPr>
            <w:r w:rsidRPr="006D6CE9">
              <w:rPr>
                <w:rFonts w:cs="Arial"/>
                <w:szCs w:val="22"/>
              </w:rPr>
              <w:t>C</w:t>
            </w:r>
          </w:p>
        </w:tc>
      </w:tr>
    </w:tbl>
    <w:p w:rsidR="009C43A1" w:rsidRPr="006D6CE9" w:rsidRDefault="009C43A1" w:rsidP="009C43A1">
      <w:pPr>
        <w:pStyle w:val="Header"/>
        <w:tabs>
          <w:tab w:val="clear" w:pos="4153"/>
          <w:tab w:val="clear" w:pos="8306"/>
          <w:tab w:val="left" w:pos="1260"/>
          <w:tab w:val="left" w:pos="1980"/>
          <w:tab w:val="left" w:pos="2700"/>
          <w:tab w:val="left" w:pos="3420"/>
        </w:tabs>
        <w:rPr>
          <w:rFonts w:cs="Arial"/>
          <w:szCs w:val="22"/>
        </w:rPr>
      </w:pPr>
    </w:p>
    <w:p w:rsidR="009C43A1" w:rsidRPr="006D6CE9" w:rsidRDefault="009C43A1" w:rsidP="009C43A1">
      <w:pPr>
        <w:pStyle w:val="BodyTextIndent"/>
        <w:tabs>
          <w:tab w:val="clear" w:pos="1260"/>
          <w:tab w:val="left" w:pos="1276"/>
        </w:tabs>
        <w:rPr>
          <w:rFonts w:cs="Arial"/>
          <w:szCs w:val="22"/>
        </w:rPr>
      </w:pPr>
      <w:r w:rsidRPr="006D6CE9">
        <w:rPr>
          <w:rFonts w:cs="Arial"/>
          <w:szCs w:val="22"/>
        </w:rPr>
        <w:t>14.5</w:t>
      </w:r>
      <w:r w:rsidRPr="006D6CE9">
        <w:rPr>
          <w:rFonts w:cs="Arial"/>
          <w:szCs w:val="22"/>
        </w:rPr>
        <w:tab/>
        <w:t>Of the risks above the following are already included in service plans:</w:t>
      </w:r>
    </w:p>
    <w:p w:rsidR="009C43A1" w:rsidRPr="006D6CE9" w:rsidRDefault="009C43A1" w:rsidP="009C43A1">
      <w:pPr>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860"/>
        <w:gridCol w:w="2520"/>
      </w:tblGrid>
      <w:tr w:rsidR="009C43A1" w:rsidRPr="006D6CE9" w:rsidTr="00334159">
        <w:tc>
          <w:tcPr>
            <w:tcW w:w="5384" w:type="dxa"/>
            <w:gridSpan w:val="2"/>
          </w:tcPr>
          <w:p w:rsidR="009C43A1" w:rsidRPr="006D6CE9" w:rsidRDefault="009C43A1" w:rsidP="00334159">
            <w:pPr>
              <w:jc w:val="center"/>
              <w:rPr>
                <w:rFonts w:cs="Arial"/>
                <w:szCs w:val="22"/>
              </w:rPr>
            </w:pPr>
            <w:r w:rsidRPr="006D6CE9">
              <w:rPr>
                <w:rFonts w:cs="Arial"/>
                <w:szCs w:val="22"/>
              </w:rPr>
              <w:t>Description of Risk</w:t>
            </w:r>
          </w:p>
        </w:tc>
        <w:tc>
          <w:tcPr>
            <w:tcW w:w="2520" w:type="dxa"/>
          </w:tcPr>
          <w:p w:rsidR="009C43A1" w:rsidRPr="006D6CE9" w:rsidRDefault="009C43A1" w:rsidP="00334159">
            <w:pPr>
              <w:ind w:left="34"/>
              <w:jc w:val="center"/>
              <w:rPr>
                <w:rFonts w:cs="Arial"/>
                <w:szCs w:val="22"/>
              </w:rPr>
            </w:pPr>
            <w:r w:rsidRPr="006D6CE9">
              <w:rPr>
                <w:rFonts w:cs="Arial"/>
                <w:szCs w:val="22"/>
              </w:rPr>
              <w:t>Service Plan</w:t>
            </w:r>
          </w:p>
        </w:tc>
      </w:tr>
      <w:tr w:rsidR="009C43A1" w:rsidRPr="006D6CE9" w:rsidTr="00334159">
        <w:tc>
          <w:tcPr>
            <w:tcW w:w="524" w:type="dxa"/>
          </w:tcPr>
          <w:p w:rsidR="009C43A1" w:rsidRPr="006D6CE9" w:rsidRDefault="009C43A1" w:rsidP="00334159">
            <w:pPr>
              <w:jc w:val="left"/>
              <w:rPr>
                <w:rFonts w:cs="Arial"/>
                <w:szCs w:val="22"/>
              </w:rPr>
            </w:pPr>
            <w:r w:rsidRPr="006D6CE9">
              <w:rPr>
                <w:rFonts w:cs="Arial"/>
                <w:szCs w:val="22"/>
              </w:rPr>
              <w:t>No</w:t>
            </w:r>
          </w:p>
        </w:tc>
        <w:tc>
          <w:tcPr>
            <w:tcW w:w="4860" w:type="dxa"/>
          </w:tcPr>
          <w:p w:rsidR="009C43A1" w:rsidRPr="006D6CE9" w:rsidRDefault="009C43A1" w:rsidP="009079D1">
            <w:pPr>
              <w:jc w:val="left"/>
              <w:rPr>
                <w:rFonts w:cs="Arial"/>
                <w:szCs w:val="22"/>
              </w:rPr>
            </w:pPr>
            <w:r w:rsidRPr="006D6CE9">
              <w:rPr>
                <w:rFonts w:cs="Arial"/>
                <w:szCs w:val="22"/>
              </w:rPr>
              <w:t>1,2,3,</w:t>
            </w:r>
            <w:r w:rsidR="009079D1" w:rsidRPr="006D6CE9">
              <w:rPr>
                <w:rFonts w:cs="Arial"/>
                <w:szCs w:val="22"/>
              </w:rPr>
              <w:t xml:space="preserve"> &amp; </w:t>
            </w:r>
            <w:r w:rsidR="009079D1">
              <w:rPr>
                <w:rFonts w:cs="Arial"/>
                <w:szCs w:val="22"/>
              </w:rPr>
              <w:t>6</w:t>
            </w:r>
          </w:p>
        </w:tc>
        <w:tc>
          <w:tcPr>
            <w:tcW w:w="2520" w:type="dxa"/>
          </w:tcPr>
          <w:p w:rsidR="009C43A1" w:rsidRPr="006D6CE9" w:rsidRDefault="009C43A1" w:rsidP="00AA0C7B">
            <w:pPr>
              <w:jc w:val="left"/>
              <w:rPr>
                <w:rFonts w:cs="Arial"/>
                <w:szCs w:val="22"/>
              </w:rPr>
            </w:pPr>
            <w:r w:rsidRPr="006D6CE9">
              <w:rPr>
                <w:rFonts w:cs="Arial"/>
                <w:szCs w:val="22"/>
              </w:rPr>
              <w:t xml:space="preserve">Leisure and </w:t>
            </w:r>
            <w:r w:rsidR="00AA0C7B">
              <w:rPr>
                <w:rFonts w:cs="Arial"/>
                <w:szCs w:val="22"/>
              </w:rPr>
              <w:t>Landscape</w:t>
            </w:r>
          </w:p>
        </w:tc>
      </w:tr>
      <w:tr w:rsidR="009C43A1" w:rsidRPr="006D6CE9" w:rsidTr="00334159">
        <w:tc>
          <w:tcPr>
            <w:tcW w:w="524" w:type="dxa"/>
          </w:tcPr>
          <w:p w:rsidR="009C43A1" w:rsidRPr="006D6CE9" w:rsidRDefault="009C43A1" w:rsidP="00334159">
            <w:pPr>
              <w:jc w:val="left"/>
              <w:rPr>
                <w:rFonts w:cs="Arial"/>
                <w:szCs w:val="22"/>
              </w:rPr>
            </w:pPr>
          </w:p>
        </w:tc>
        <w:tc>
          <w:tcPr>
            <w:tcW w:w="4860" w:type="dxa"/>
          </w:tcPr>
          <w:p w:rsidR="009C43A1" w:rsidRPr="006D6CE9" w:rsidRDefault="009C43A1" w:rsidP="00334159">
            <w:pPr>
              <w:jc w:val="left"/>
              <w:rPr>
                <w:rFonts w:cs="Arial"/>
                <w:szCs w:val="22"/>
              </w:rPr>
            </w:pPr>
            <w:r w:rsidRPr="006D6CE9">
              <w:rPr>
                <w:rFonts w:cs="Arial"/>
                <w:szCs w:val="22"/>
              </w:rPr>
              <w:t>4 &amp; 5</w:t>
            </w:r>
          </w:p>
        </w:tc>
        <w:tc>
          <w:tcPr>
            <w:tcW w:w="2520" w:type="dxa"/>
          </w:tcPr>
          <w:p w:rsidR="009C43A1" w:rsidRPr="006D6CE9" w:rsidRDefault="009C43A1" w:rsidP="00334159">
            <w:pPr>
              <w:jc w:val="left"/>
              <w:rPr>
                <w:rFonts w:cs="Arial"/>
                <w:szCs w:val="22"/>
              </w:rPr>
            </w:pPr>
            <w:r w:rsidRPr="006D6CE9">
              <w:rPr>
                <w:rFonts w:cs="Arial"/>
                <w:szCs w:val="22"/>
              </w:rPr>
              <w:t>Environmental Protection</w:t>
            </w:r>
          </w:p>
        </w:tc>
      </w:tr>
    </w:tbl>
    <w:p w:rsidR="009C43A1" w:rsidRPr="006D6CE9" w:rsidRDefault="009C43A1" w:rsidP="009C43A1">
      <w:pPr>
        <w:rPr>
          <w:rFonts w:cs="Arial"/>
          <w:szCs w:val="22"/>
        </w:rPr>
      </w:pPr>
    </w:p>
    <w:p w:rsidR="009C43A1" w:rsidRPr="006D6CE9" w:rsidRDefault="009C43A1" w:rsidP="009C43A1">
      <w:pPr>
        <w:ind w:left="1276" w:hanging="1276"/>
        <w:rPr>
          <w:rFonts w:cs="Arial"/>
          <w:szCs w:val="22"/>
        </w:rPr>
      </w:pPr>
      <w:r w:rsidRPr="006D6CE9">
        <w:rPr>
          <w:rFonts w:cs="Arial"/>
          <w:szCs w:val="22"/>
        </w:rPr>
        <w:t>14.6</w:t>
      </w:r>
      <w:r w:rsidRPr="006D6CE9">
        <w:rPr>
          <w:rFonts w:cs="Arial"/>
          <w:szCs w:val="22"/>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9C43A1" w:rsidRPr="006D6CE9" w:rsidRDefault="009C43A1" w:rsidP="009C43A1">
      <w:pPr>
        <w:keepNext/>
        <w:keepLines/>
        <w:ind w:left="1260"/>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9C43A1" w:rsidRPr="006D6CE9" w:rsidTr="00334159">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9C43A1" w:rsidRPr="006D6CE9" w:rsidRDefault="009C43A1" w:rsidP="00334159">
            <w:pPr>
              <w:keepNext/>
              <w:keepLines/>
              <w:ind w:left="113" w:right="113"/>
              <w:jc w:val="center"/>
              <w:rPr>
                <w:rFonts w:cs="Arial"/>
                <w:b/>
                <w:szCs w:val="22"/>
              </w:rPr>
            </w:pPr>
            <w:r>
              <w:rPr>
                <w:rFonts w:cs="Arial"/>
                <w:b/>
                <w:noProof/>
                <w:szCs w:val="22"/>
              </w:rPr>
              <mc:AlternateContent>
                <mc:Choice Requires="wps">
                  <w:drawing>
                    <wp:anchor distT="0" distB="0" distL="114300" distR="114300" simplePos="0" relativeHeight="251659264" behindDoc="0" locked="0" layoutInCell="0" allowOverlap="1">
                      <wp:simplePos x="0" y="0"/>
                      <wp:positionH relativeFrom="column">
                        <wp:posOffset>1115695</wp:posOffset>
                      </wp:positionH>
                      <wp:positionV relativeFrom="paragraph">
                        <wp:posOffset>107950</wp:posOffset>
                      </wp:positionV>
                      <wp:extent cx="0" cy="1296670"/>
                      <wp:effectExtent l="59055" t="21590" r="5524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" o:allowincell="f">
                      <v:stroke endarrow="block"/>
                    </v:line>
                  </w:pict>
                </mc:Fallback>
              </mc:AlternateContent>
            </w:r>
            <w:r>
              <w:rPr>
                <w:rFonts w:cs="Arial"/>
                <w:noProof/>
                <w:szCs w:val="22"/>
              </w:rPr>
              <mc:AlternateContent>
                <mc:Choice Requires="wps">
                  <w:drawing>
                    <wp:anchor distT="0" distB="0" distL="114300" distR="114300" simplePos="0" relativeHeight="251660288" behindDoc="0" locked="0" layoutInCell="0" allowOverlap="1">
                      <wp:simplePos x="0" y="0"/>
                      <wp:positionH relativeFrom="column">
                        <wp:posOffset>1298575</wp:posOffset>
                      </wp:positionH>
                      <wp:positionV relativeFrom="paragraph">
                        <wp:posOffset>1388110</wp:posOffset>
                      </wp:positionV>
                      <wp:extent cx="2286000" cy="0"/>
                      <wp:effectExtent l="13335" t="53975" r="1524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VMMAIAAFg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" o:allowincell="f">
                      <v:stroke endarrow="block"/>
                    </v:line>
                  </w:pict>
                </mc:Fallback>
              </mc:AlternateContent>
            </w:r>
            <w:r w:rsidRPr="006D6CE9">
              <w:rPr>
                <w:rFonts w:cs="Arial"/>
                <w:b/>
                <w:szCs w:val="22"/>
              </w:rPr>
              <w:t>Likelihood</w:t>
            </w:r>
          </w:p>
        </w:tc>
        <w:tc>
          <w:tcPr>
            <w:tcW w:w="452" w:type="dxa"/>
            <w:tcBorders>
              <w:top w:val="single" w:sz="4" w:space="0" w:color="auto"/>
              <w:left w:val="single" w:sz="4" w:space="0" w:color="auto"/>
            </w:tcBorders>
          </w:tcPr>
          <w:p w:rsidR="009C43A1" w:rsidRPr="006D6CE9" w:rsidRDefault="009C43A1" w:rsidP="00334159">
            <w:pPr>
              <w:keepNext/>
              <w:keepLines/>
              <w:rPr>
                <w:rFonts w:cs="Arial"/>
                <w:szCs w:val="22"/>
              </w:rPr>
            </w:pPr>
            <w:r w:rsidRPr="006D6CE9">
              <w:rPr>
                <w:rFonts w:cs="Arial"/>
                <w:szCs w:val="22"/>
              </w:rPr>
              <w:t>A</w:t>
            </w:r>
          </w:p>
        </w:tc>
        <w:tc>
          <w:tcPr>
            <w:tcW w:w="723" w:type="dxa"/>
            <w:tcBorders>
              <w:top w:val="single" w:sz="4" w:space="0" w:color="auto"/>
            </w:tcBorders>
            <w:shd w:val="pct15" w:color="auto" w:fill="FFFFFF"/>
          </w:tcPr>
          <w:p w:rsidR="009C43A1" w:rsidRPr="006D6CE9" w:rsidRDefault="009C43A1" w:rsidP="00334159">
            <w:pPr>
              <w:keepNext/>
              <w:keepLines/>
              <w:rPr>
                <w:rFonts w:cs="Arial"/>
                <w:szCs w:val="22"/>
              </w:rPr>
            </w:pPr>
          </w:p>
        </w:tc>
        <w:tc>
          <w:tcPr>
            <w:tcW w:w="723" w:type="dxa"/>
            <w:tcBorders>
              <w:top w:val="single" w:sz="4" w:space="0" w:color="auto"/>
            </w:tcBorders>
          </w:tcPr>
          <w:p w:rsidR="009C43A1" w:rsidRPr="006D6CE9" w:rsidRDefault="009C43A1" w:rsidP="00334159">
            <w:pPr>
              <w:keepNext/>
              <w:keepLines/>
              <w:rPr>
                <w:rFonts w:cs="Arial"/>
                <w:szCs w:val="22"/>
              </w:rPr>
            </w:pPr>
          </w:p>
        </w:tc>
        <w:tc>
          <w:tcPr>
            <w:tcW w:w="724" w:type="dxa"/>
            <w:tcBorders>
              <w:top w:val="single" w:sz="4" w:space="0" w:color="auto"/>
              <w:bottom w:val="single" w:sz="4" w:space="0" w:color="auto"/>
            </w:tcBorders>
          </w:tcPr>
          <w:p w:rsidR="009C43A1" w:rsidRPr="006D6CE9" w:rsidRDefault="009C43A1" w:rsidP="00334159">
            <w:pPr>
              <w:keepNext/>
              <w:keepLines/>
              <w:rPr>
                <w:rFonts w:cs="Arial"/>
                <w:szCs w:val="22"/>
              </w:rPr>
            </w:pPr>
          </w:p>
        </w:tc>
        <w:tc>
          <w:tcPr>
            <w:tcW w:w="723" w:type="dxa"/>
            <w:tcBorders>
              <w:top w:val="single" w:sz="4" w:space="0" w:color="auto"/>
              <w:bottom w:val="single" w:sz="4" w:space="0" w:color="auto"/>
              <w:right w:val="single" w:sz="4" w:space="0" w:color="auto"/>
            </w:tcBorders>
          </w:tcPr>
          <w:p w:rsidR="009C43A1" w:rsidRPr="006D6CE9" w:rsidRDefault="009C43A1" w:rsidP="00334159">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Impact</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Likelihood</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tcBorders>
          </w:tcPr>
          <w:p w:rsidR="009C43A1" w:rsidRPr="006D6CE9" w:rsidRDefault="009C43A1" w:rsidP="00334159">
            <w:pPr>
              <w:keepNext/>
              <w:keepLines/>
              <w:rPr>
                <w:rFonts w:cs="Arial"/>
                <w:szCs w:val="22"/>
              </w:rPr>
            </w:pPr>
            <w:r w:rsidRPr="006D6CE9">
              <w:rPr>
                <w:rFonts w:cs="Arial"/>
                <w:szCs w:val="22"/>
              </w:rPr>
              <w:t>B</w:t>
            </w:r>
          </w:p>
        </w:tc>
        <w:tc>
          <w:tcPr>
            <w:tcW w:w="723" w:type="dxa"/>
            <w:shd w:val="pct15" w:color="auto" w:fill="FFFFFF"/>
          </w:tcPr>
          <w:p w:rsidR="009C43A1" w:rsidRPr="006D6CE9" w:rsidRDefault="009C43A1" w:rsidP="00334159">
            <w:pPr>
              <w:keepNext/>
              <w:keepLines/>
              <w:rPr>
                <w:rFonts w:cs="Arial"/>
                <w:szCs w:val="22"/>
              </w:rPr>
            </w:pPr>
          </w:p>
        </w:tc>
        <w:tc>
          <w:tcPr>
            <w:tcW w:w="723" w:type="dxa"/>
          </w:tcPr>
          <w:p w:rsidR="009C43A1" w:rsidRPr="006D6CE9" w:rsidRDefault="009C43A1" w:rsidP="00334159">
            <w:pPr>
              <w:keepNext/>
              <w:keepLines/>
              <w:rPr>
                <w:rFonts w:cs="Arial"/>
                <w:szCs w:val="22"/>
              </w:rPr>
            </w:pPr>
          </w:p>
        </w:tc>
        <w:tc>
          <w:tcPr>
            <w:tcW w:w="724" w:type="dxa"/>
            <w:tcBorders>
              <w:bottom w:val="single" w:sz="4" w:space="0" w:color="auto"/>
            </w:tcBorders>
          </w:tcPr>
          <w:p w:rsidR="009C43A1" w:rsidRPr="006D6CE9" w:rsidRDefault="009C43A1" w:rsidP="00334159">
            <w:pPr>
              <w:keepNext/>
              <w:keepLines/>
              <w:rPr>
                <w:rFonts w:cs="Arial"/>
                <w:szCs w:val="22"/>
              </w:rPr>
            </w:pPr>
          </w:p>
        </w:tc>
        <w:tc>
          <w:tcPr>
            <w:tcW w:w="723" w:type="dxa"/>
            <w:tcBorders>
              <w:right w:val="single" w:sz="4" w:space="0" w:color="auto"/>
            </w:tcBorders>
          </w:tcPr>
          <w:p w:rsidR="009C43A1" w:rsidRPr="006D6CE9" w:rsidRDefault="009C43A1" w:rsidP="00334159">
            <w:pPr>
              <w:keepNext/>
              <w:keepLines/>
              <w:jc w:val="center"/>
              <w:rPr>
                <w:rFonts w:cs="Arial"/>
                <w:szCs w:val="22"/>
              </w:rPr>
            </w:pPr>
          </w:p>
        </w:tc>
        <w:tc>
          <w:tcPr>
            <w:tcW w:w="724" w:type="dxa"/>
            <w:tcBorders>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V = Catastrophic</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A = &gt;98%</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tcBorders>
          </w:tcPr>
          <w:p w:rsidR="009C43A1" w:rsidRPr="006D6CE9" w:rsidRDefault="009C43A1" w:rsidP="00334159">
            <w:pPr>
              <w:keepNext/>
              <w:keepLines/>
              <w:rPr>
                <w:rFonts w:cs="Arial"/>
                <w:szCs w:val="22"/>
              </w:rPr>
            </w:pPr>
            <w:r w:rsidRPr="006D6CE9">
              <w:rPr>
                <w:rFonts w:cs="Arial"/>
                <w:szCs w:val="22"/>
              </w:rPr>
              <w:t>C</w:t>
            </w:r>
          </w:p>
        </w:tc>
        <w:tc>
          <w:tcPr>
            <w:tcW w:w="723" w:type="dxa"/>
            <w:shd w:val="pct15" w:color="auto" w:fill="FFFFFF"/>
          </w:tcPr>
          <w:p w:rsidR="009C43A1" w:rsidRPr="006D6CE9" w:rsidRDefault="009C43A1" w:rsidP="00334159">
            <w:pPr>
              <w:keepNext/>
              <w:keepLines/>
              <w:rPr>
                <w:rFonts w:cs="Arial"/>
                <w:szCs w:val="22"/>
              </w:rPr>
            </w:pPr>
          </w:p>
        </w:tc>
        <w:tc>
          <w:tcPr>
            <w:tcW w:w="723" w:type="dxa"/>
            <w:tcBorders>
              <w:top w:val="single" w:sz="4" w:space="0" w:color="auto"/>
              <w:bottom w:val="single" w:sz="4" w:space="0" w:color="auto"/>
            </w:tcBorders>
          </w:tcPr>
          <w:p w:rsidR="009C43A1" w:rsidRPr="006D6CE9" w:rsidRDefault="009C43A1" w:rsidP="00334159">
            <w:pPr>
              <w:keepNext/>
              <w:keepLines/>
              <w:rPr>
                <w:rFonts w:cs="Arial"/>
                <w:szCs w:val="22"/>
              </w:rPr>
            </w:pPr>
            <w:r w:rsidRPr="006D6CE9">
              <w:rPr>
                <w:rFonts w:cs="Arial"/>
                <w:szCs w:val="22"/>
              </w:rPr>
              <w:t>2</w:t>
            </w:r>
          </w:p>
        </w:tc>
        <w:tc>
          <w:tcPr>
            <w:tcW w:w="724" w:type="dxa"/>
            <w:tcBorders>
              <w:top w:val="single" w:sz="4" w:space="0" w:color="auto"/>
              <w:bottom w:val="single" w:sz="4" w:space="0" w:color="auto"/>
            </w:tcBorders>
          </w:tcPr>
          <w:p w:rsidR="009C43A1" w:rsidRPr="006D6CE9" w:rsidRDefault="00876653" w:rsidP="00334159">
            <w:pPr>
              <w:keepNext/>
              <w:keepLines/>
              <w:rPr>
                <w:rFonts w:cs="Arial"/>
                <w:szCs w:val="22"/>
              </w:rPr>
            </w:pPr>
            <w:r>
              <w:rPr>
                <w:rFonts w:cs="Arial"/>
                <w:szCs w:val="22"/>
              </w:rPr>
              <w:t>4, 5, 6</w:t>
            </w:r>
          </w:p>
        </w:tc>
        <w:tc>
          <w:tcPr>
            <w:tcW w:w="723" w:type="dxa"/>
            <w:tcBorders>
              <w:top w:val="single" w:sz="4" w:space="0" w:color="auto"/>
              <w:bottom w:val="single" w:sz="4" w:space="0" w:color="auto"/>
              <w:right w:val="single" w:sz="4" w:space="0" w:color="auto"/>
            </w:tcBorders>
          </w:tcPr>
          <w:p w:rsidR="009C43A1" w:rsidRPr="006D6CE9" w:rsidRDefault="009C43A1" w:rsidP="00334159">
            <w:pPr>
              <w:keepNext/>
              <w:keepLines/>
              <w:jc w:val="center"/>
              <w:rPr>
                <w:rFonts w:cs="Arial"/>
                <w:szCs w:val="22"/>
              </w:rPr>
            </w:pPr>
          </w:p>
        </w:tc>
        <w:tc>
          <w:tcPr>
            <w:tcW w:w="724" w:type="dxa"/>
            <w:tcBorders>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IV = Critical</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B = 75% - 97%</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tcBorders>
          </w:tcPr>
          <w:p w:rsidR="009C43A1" w:rsidRPr="006D6CE9" w:rsidRDefault="009C43A1" w:rsidP="00334159">
            <w:pPr>
              <w:keepNext/>
              <w:keepLines/>
              <w:rPr>
                <w:rFonts w:cs="Arial"/>
                <w:szCs w:val="22"/>
              </w:rPr>
            </w:pPr>
            <w:r w:rsidRPr="006D6CE9">
              <w:rPr>
                <w:rFonts w:cs="Arial"/>
                <w:szCs w:val="22"/>
              </w:rPr>
              <w:t>D</w:t>
            </w:r>
          </w:p>
        </w:tc>
        <w:tc>
          <w:tcPr>
            <w:tcW w:w="723" w:type="dxa"/>
            <w:tcBorders>
              <w:bottom w:val="single" w:sz="4" w:space="0" w:color="auto"/>
            </w:tcBorders>
            <w:shd w:val="pct15" w:color="auto" w:fill="FFFFFF"/>
          </w:tcPr>
          <w:p w:rsidR="009C43A1" w:rsidRPr="006D6CE9" w:rsidRDefault="009C43A1" w:rsidP="00334159">
            <w:pPr>
              <w:keepNext/>
              <w:keepLines/>
              <w:rPr>
                <w:rFonts w:cs="Arial"/>
                <w:szCs w:val="22"/>
              </w:rPr>
            </w:pPr>
          </w:p>
        </w:tc>
        <w:tc>
          <w:tcPr>
            <w:tcW w:w="723" w:type="dxa"/>
            <w:tcBorders>
              <w:top w:val="single" w:sz="4" w:space="0" w:color="auto"/>
            </w:tcBorders>
            <w:shd w:val="pct15" w:color="auto" w:fill="FFFFFF"/>
          </w:tcPr>
          <w:p w:rsidR="009C43A1" w:rsidRPr="006D6CE9" w:rsidRDefault="009C43A1" w:rsidP="00334159">
            <w:pPr>
              <w:keepNext/>
              <w:keepLines/>
              <w:rPr>
                <w:rFonts w:cs="Arial"/>
                <w:szCs w:val="22"/>
              </w:rPr>
            </w:pPr>
            <w:r w:rsidRPr="006D6CE9">
              <w:rPr>
                <w:rFonts w:cs="Arial"/>
                <w:szCs w:val="22"/>
              </w:rPr>
              <w:t>3</w:t>
            </w:r>
          </w:p>
        </w:tc>
        <w:tc>
          <w:tcPr>
            <w:tcW w:w="724" w:type="dxa"/>
            <w:tcBorders>
              <w:top w:val="single" w:sz="4" w:space="0" w:color="auto"/>
              <w:bottom w:val="single" w:sz="4" w:space="0" w:color="auto"/>
            </w:tcBorders>
          </w:tcPr>
          <w:p w:rsidR="009C43A1" w:rsidRPr="006D6CE9" w:rsidRDefault="009C43A1" w:rsidP="00334159">
            <w:pPr>
              <w:keepNext/>
              <w:keepLines/>
              <w:rPr>
                <w:rFonts w:cs="Arial"/>
                <w:szCs w:val="22"/>
              </w:rPr>
            </w:pPr>
          </w:p>
        </w:tc>
        <w:tc>
          <w:tcPr>
            <w:tcW w:w="723" w:type="dxa"/>
            <w:tcBorders>
              <w:top w:val="single" w:sz="4" w:space="0" w:color="auto"/>
              <w:bottom w:val="single" w:sz="4" w:space="0" w:color="auto"/>
              <w:right w:val="single" w:sz="4" w:space="0" w:color="auto"/>
            </w:tcBorders>
          </w:tcPr>
          <w:p w:rsidR="009C43A1" w:rsidRPr="006D6CE9" w:rsidRDefault="009C43A1" w:rsidP="00334159">
            <w:pPr>
              <w:keepNext/>
              <w:keepLines/>
              <w:jc w:val="center"/>
              <w:rPr>
                <w:rFonts w:cs="Arial"/>
                <w:szCs w:val="22"/>
              </w:rPr>
            </w:pPr>
          </w:p>
        </w:tc>
        <w:tc>
          <w:tcPr>
            <w:tcW w:w="724" w:type="dxa"/>
            <w:tcBorders>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III = Significant</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C = 50% - 74%</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tcBorders>
          </w:tcPr>
          <w:p w:rsidR="009C43A1" w:rsidRPr="006D6CE9" w:rsidRDefault="009C43A1" w:rsidP="00334159">
            <w:pPr>
              <w:keepNext/>
              <w:keepLines/>
              <w:rPr>
                <w:rFonts w:cs="Arial"/>
                <w:szCs w:val="22"/>
              </w:rPr>
            </w:pPr>
            <w:r w:rsidRPr="006D6CE9">
              <w:rPr>
                <w:rFonts w:cs="Arial"/>
                <w:szCs w:val="22"/>
              </w:rPr>
              <w:t>E</w:t>
            </w:r>
          </w:p>
        </w:tc>
        <w:tc>
          <w:tcPr>
            <w:tcW w:w="723" w:type="dxa"/>
            <w:tcBorders>
              <w:bottom w:val="single" w:sz="4" w:space="0" w:color="auto"/>
            </w:tcBorders>
            <w:shd w:val="pct15" w:color="auto" w:fill="FFFFFF"/>
          </w:tcPr>
          <w:p w:rsidR="009C43A1" w:rsidRPr="006D6CE9" w:rsidRDefault="009C43A1" w:rsidP="00334159">
            <w:pPr>
              <w:keepNext/>
              <w:keepLines/>
              <w:rPr>
                <w:rFonts w:cs="Arial"/>
                <w:szCs w:val="22"/>
              </w:rPr>
            </w:pPr>
          </w:p>
        </w:tc>
        <w:tc>
          <w:tcPr>
            <w:tcW w:w="723" w:type="dxa"/>
            <w:shd w:val="pct15" w:color="auto" w:fill="FFFFFF"/>
          </w:tcPr>
          <w:p w:rsidR="009C43A1" w:rsidRPr="006D6CE9" w:rsidRDefault="009C43A1" w:rsidP="00334159">
            <w:pPr>
              <w:keepNext/>
              <w:keepLines/>
              <w:rPr>
                <w:rFonts w:cs="Arial"/>
                <w:szCs w:val="22"/>
              </w:rPr>
            </w:pPr>
          </w:p>
        </w:tc>
        <w:tc>
          <w:tcPr>
            <w:tcW w:w="724" w:type="dxa"/>
            <w:tcBorders>
              <w:bottom w:val="single" w:sz="4" w:space="0" w:color="auto"/>
            </w:tcBorders>
          </w:tcPr>
          <w:p w:rsidR="009C43A1" w:rsidRPr="006D6CE9" w:rsidRDefault="009C43A1" w:rsidP="00334159">
            <w:pPr>
              <w:keepNext/>
              <w:keepLines/>
              <w:rPr>
                <w:rFonts w:cs="Arial"/>
                <w:szCs w:val="22"/>
              </w:rPr>
            </w:pPr>
            <w:r w:rsidRPr="006D6CE9">
              <w:rPr>
                <w:rFonts w:cs="Arial"/>
                <w:szCs w:val="22"/>
              </w:rPr>
              <w:t>1</w:t>
            </w:r>
          </w:p>
        </w:tc>
        <w:tc>
          <w:tcPr>
            <w:tcW w:w="723" w:type="dxa"/>
            <w:tcBorders>
              <w:top w:val="single" w:sz="4" w:space="0" w:color="auto"/>
              <w:right w:val="single" w:sz="4" w:space="0" w:color="auto"/>
            </w:tcBorders>
          </w:tcPr>
          <w:p w:rsidR="009C43A1" w:rsidRPr="006D6CE9" w:rsidRDefault="009C43A1" w:rsidP="00334159">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II = Marginal</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D = 25% - 49%</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tcBorders>
          </w:tcPr>
          <w:p w:rsidR="009C43A1" w:rsidRPr="006D6CE9" w:rsidRDefault="009C43A1" w:rsidP="00334159">
            <w:pPr>
              <w:keepNext/>
              <w:keepLines/>
              <w:rPr>
                <w:rFonts w:cs="Arial"/>
                <w:szCs w:val="22"/>
              </w:rPr>
            </w:pPr>
            <w:r w:rsidRPr="006D6CE9">
              <w:rPr>
                <w:rFonts w:cs="Arial"/>
                <w:szCs w:val="22"/>
              </w:rPr>
              <w:t>F</w:t>
            </w:r>
          </w:p>
        </w:tc>
        <w:tc>
          <w:tcPr>
            <w:tcW w:w="723" w:type="dxa"/>
            <w:shd w:val="pct15" w:color="auto" w:fill="FFFFFF"/>
          </w:tcPr>
          <w:p w:rsidR="009C43A1" w:rsidRPr="006D6CE9" w:rsidRDefault="009C43A1" w:rsidP="00334159">
            <w:pPr>
              <w:keepNext/>
              <w:keepLines/>
              <w:rPr>
                <w:rFonts w:cs="Arial"/>
                <w:szCs w:val="22"/>
              </w:rPr>
            </w:pPr>
          </w:p>
        </w:tc>
        <w:tc>
          <w:tcPr>
            <w:tcW w:w="723" w:type="dxa"/>
            <w:shd w:val="pct15" w:color="auto" w:fill="FFFFFF"/>
          </w:tcPr>
          <w:p w:rsidR="009C43A1" w:rsidRPr="006D6CE9" w:rsidRDefault="009C43A1" w:rsidP="00334159">
            <w:pPr>
              <w:keepNext/>
              <w:keepLines/>
              <w:rPr>
                <w:rFonts w:cs="Arial"/>
                <w:szCs w:val="22"/>
              </w:rPr>
            </w:pPr>
          </w:p>
        </w:tc>
        <w:tc>
          <w:tcPr>
            <w:tcW w:w="724" w:type="dxa"/>
            <w:tcBorders>
              <w:top w:val="single" w:sz="4" w:space="0" w:color="auto"/>
            </w:tcBorders>
            <w:shd w:val="pct15" w:color="auto" w:fill="FFFFFF"/>
          </w:tcPr>
          <w:p w:rsidR="009C43A1" w:rsidRPr="006D6CE9" w:rsidRDefault="009C43A1" w:rsidP="00334159">
            <w:pPr>
              <w:keepNext/>
              <w:keepLines/>
              <w:rPr>
                <w:rFonts w:cs="Arial"/>
                <w:szCs w:val="22"/>
              </w:rPr>
            </w:pPr>
          </w:p>
        </w:tc>
        <w:tc>
          <w:tcPr>
            <w:tcW w:w="723" w:type="dxa"/>
            <w:tcBorders>
              <w:right w:val="single" w:sz="4" w:space="0" w:color="auto"/>
            </w:tcBorders>
          </w:tcPr>
          <w:p w:rsidR="009C43A1" w:rsidRPr="006D6CE9" w:rsidRDefault="009C43A1" w:rsidP="00334159">
            <w:pPr>
              <w:keepNext/>
              <w:keepLines/>
              <w:jc w:val="center"/>
              <w:rPr>
                <w:rFonts w:cs="Arial"/>
                <w:szCs w:val="22"/>
              </w:rPr>
            </w:pPr>
          </w:p>
        </w:tc>
        <w:tc>
          <w:tcPr>
            <w:tcW w:w="724" w:type="dxa"/>
            <w:tcBorders>
              <w:right w:val="single" w:sz="4" w:space="0" w:color="auto"/>
            </w:tcBorders>
          </w:tcPr>
          <w:p w:rsidR="009C43A1" w:rsidRPr="006D6CE9" w:rsidRDefault="009C43A1" w:rsidP="00334159">
            <w:pPr>
              <w:keepNext/>
              <w:keepLines/>
              <w:jc w:val="center"/>
              <w:rPr>
                <w:rFonts w:cs="Arial"/>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r w:rsidRPr="004C0240">
              <w:rPr>
                <w:rFonts w:cs="Arial"/>
                <w:sz w:val="16"/>
                <w:szCs w:val="16"/>
              </w:rPr>
              <w:t>I = Negligible</w:t>
            </w: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E = 3% - 24%</w:t>
            </w:r>
          </w:p>
        </w:tc>
      </w:tr>
      <w:tr w:rsidR="009C43A1" w:rsidRPr="006D6CE9" w:rsidTr="00334159">
        <w:trPr>
          <w:cantSplit/>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52" w:type="dxa"/>
            <w:tcBorders>
              <w:left w:val="single" w:sz="4" w:space="0" w:color="auto"/>
              <w:bottom w:val="single" w:sz="4" w:space="0" w:color="auto"/>
            </w:tcBorders>
          </w:tcPr>
          <w:p w:rsidR="009C43A1" w:rsidRPr="006D6CE9" w:rsidRDefault="009C43A1" w:rsidP="00334159">
            <w:pPr>
              <w:keepNext/>
              <w:keepLines/>
              <w:rPr>
                <w:rFonts w:cs="Arial"/>
                <w:szCs w:val="22"/>
              </w:rPr>
            </w:pPr>
          </w:p>
        </w:tc>
        <w:tc>
          <w:tcPr>
            <w:tcW w:w="723" w:type="dxa"/>
            <w:tcBorders>
              <w:bottom w:val="single" w:sz="4" w:space="0" w:color="auto"/>
            </w:tcBorders>
          </w:tcPr>
          <w:p w:rsidR="009C43A1" w:rsidRPr="006D6CE9" w:rsidRDefault="009C43A1" w:rsidP="00334159">
            <w:pPr>
              <w:keepNext/>
              <w:keepLines/>
              <w:jc w:val="center"/>
              <w:rPr>
                <w:rFonts w:cs="Arial"/>
                <w:szCs w:val="22"/>
              </w:rPr>
            </w:pPr>
            <w:r w:rsidRPr="006D6CE9">
              <w:rPr>
                <w:rFonts w:cs="Arial"/>
                <w:szCs w:val="22"/>
              </w:rPr>
              <w:t>I</w:t>
            </w:r>
          </w:p>
        </w:tc>
        <w:tc>
          <w:tcPr>
            <w:tcW w:w="723" w:type="dxa"/>
            <w:tcBorders>
              <w:bottom w:val="single" w:sz="4" w:space="0" w:color="auto"/>
            </w:tcBorders>
          </w:tcPr>
          <w:p w:rsidR="009C43A1" w:rsidRPr="006D6CE9" w:rsidRDefault="009C43A1" w:rsidP="00334159">
            <w:pPr>
              <w:keepNext/>
              <w:keepLines/>
              <w:jc w:val="center"/>
              <w:rPr>
                <w:rFonts w:cs="Arial"/>
                <w:szCs w:val="22"/>
              </w:rPr>
            </w:pPr>
            <w:r w:rsidRPr="006D6CE9">
              <w:rPr>
                <w:rFonts w:cs="Arial"/>
                <w:szCs w:val="22"/>
              </w:rPr>
              <w:t>II</w:t>
            </w:r>
          </w:p>
        </w:tc>
        <w:tc>
          <w:tcPr>
            <w:tcW w:w="724" w:type="dxa"/>
            <w:tcBorders>
              <w:bottom w:val="single" w:sz="4" w:space="0" w:color="auto"/>
            </w:tcBorders>
          </w:tcPr>
          <w:p w:rsidR="009C43A1" w:rsidRPr="006D6CE9" w:rsidRDefault="009C43A1" w:rsidP="00334159">
            <w:pPr>
              <w:keepNext/>
              <w:keepLines/>
              <w:jc w:val="center"/>
              <w:rPr>
                <w:rFonts w:cs="Arial"/>
                <w:szCs w:val="22"/>
              </w:rPr>
            </w:pPr>
            <w:r w:rsidRPr="006D6CE9">
              <w:rPr>
                <w:rFonts w:cs="Arial"/>
                <w:szCs w:val="22"/>
              </w:rPr>
              <w:t>III</w:t>
            </w:r>
          </w:p>
        </w:tc>
        <w:tc>
          <w:tcPr>
            <w:tcW w:w="723" w:type="dxa"/>
            <w:tcBorders>
              <w:bottom w:val="single" w:sz="4" w:space="0" w:color="auto"/>
              <w:right w:val="single" w:sz="4" w:space="0" w:color="auto"/>
            </w:tcBorders>
          </w:tcPr>
          <w:p w:rsidR="009C43A1" w:rsidRPr="006D6CE9" w:rsidRDefault="009C43A1" w:rsidP="00334159">
            <w:pPr>
              <w:keepNext/>
              <w:keepLines/>
              <w:jc w:val="center"/>
              <w:rPr>
                <w:rFonts w:cs="Arial"/>
                <w:szCs w:val="22"/>
              </w:rPr>
            </w:pPr>
            <w:r w:rsidRPr="006D6CE9">
              <w:rPr>
                <w:rFonts w:cs="Arial"/>
                <w:szCs w:val="22"/>
              </w:rPr>
              <w:t>IV</w:t>
            </w:r>
          </w:p>
        </w:tc>
        <w:tc>
          <w:tcPr>
            <w:tcW w:w="724" w:type="dxa"/>
            <w:tcBorders>
              <w:bottom w:val="single" w:sz="4" w:space="0" w:color="auto"/>
              <w:right w:val="single" w:sz="4" w:space="0" w:color="auto"/>
            </w:tcBorders>
          </w:tcPr>
          <w:p w:rsidR="009C43A1" w:rsidRPr="006D6CE9" w:rsidRDefault="009C43A1" w:rsidP="00334159">
            <w:pPr>
              <w:keepNext/>
              <w:keepLines/>
              <w:jc w:val="center"/>
              <w:rPr>
                <w:rFonts w:cs="Arial"/>
                <w:szCs w:val="22"/>
              </w:rPr>
            </w:pPr>
            <w:r w:rsidRPr="006D6CE9">
              <w:rPr>
                <w:rFonts w:cs="Arial"/>
                <w:szCs w:val="22"/>
              </w:rPr>
              <w:t>V</w:t>
            </w: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r w:rsidRPr="004C0240">
              <w:rPr>
                <w:rFonts w:cs="Arial"/>
                <w:sz w:val="16"/>
                <w:szCs w:val="16"/>
              </w:rPr>
              <w:t xml:space="preserve">F = </w:t>
            </w:r>
            <w:r w:rsidRPr="004C0240">
              <w:rPr>
                <w:rFonts w:cs="Arial"/>
                <w:spacing w:val="-8"/>
                <w:sz w:val="16"/>
                <w:szCs w:val="16"/>
              </w:rPr>
              <w:t xml:space="preserve"> &lt;2%</w:t>
            </w:r>
          </w:p>
        </w:tc>
      </w:tr>
      <w:tr w:rsidR="009C43A1" w:rsidRPr="006D6CE9" w:rsidTr="00334159">
        <w:trPr>
          <w:cantSplit/>
          <w:trHeight w:val="387"/>
        </w:trPr>
        <w:tc>
          <w:tcPr>
            <w:tcW w:w="645" w:type="dxa"/>
            <w:vMerge/>
            <w:tcBorders>
              <w:left w:val="single" w:sz="4" w:space="0" w:color="auto"/>
              <w:bottom w:val="single" w:sz="4" w:space="0" w:color="auto"/>
              <w:right w:val="single" w:sz="4" w:space="0" w:color="auto"/>
            </w:tcBorders>
          </w:tcPr>
          <w:p w:rsidR="009C43A1" w:rsidRPr="006D6CE9" w:rsidRDefault="009C43A1" w:rsidP="00334159">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9C43A1" w:rsidRPr="006D6CE9" w:rsidRDefault="009C43A1" w:rsidP="00334159">
            <w:pPr>
              <w:keepNext/>
              <w:keepLines/>
              <w:spacing w:before="40"/>
              <w:jc w:val="center"/>
              <w:rPr>
                <w:rFonts w:cs="Arial"/>
                <w:b/>
                <w:szCs w:val="22"/>
              </w:rPr>
            </w:pPr>
            <w:r w:rsidRPr="006D6CE9">
              <w:rPr>
                <w:rFonts w:cs="Arial"/>
                <w:b/>
                <w:szCs w:val="22"/>
              </w:rPr>
              <w:t>Impact</w:t>
            </w:r>
          </w:p>
          <w:p w:rsidR="009C43A1" w:rsidRPr="006D6CE9" w:rsidRDefault="009C43A1" w:rsidP="00334159">
            <w:pPr>
              <w:keepNext/>
              <w:keepLines/>
              <w:rPr>
                <w:rFonts w:cs="Arial"/>
                <w:b/>
                <w:szCs w:val="22"/>
              </w:rPr>
            </w:pPr>
          </w:p>
        </w:tc>
        <w:tc>
          <w:tcPr>
            <w:tcW w:w="1508" w:type="dxa"/>
            <w:tcBorders>
              <w:top w:val="nil"/>
              <w:left w:val="single" w:sz="4" w:space="0" w:color="auto"/>
              <w:bottom w:val="nil"/>
              <w:right w:val="nil"/>
            </w:tcBorders>
          </w:tcPr>
          <w:p w:rsidR="009C43A1" w:rsidRPr="004C0240" w:rsidRDefault="009C43A1" w:rsidP="00334159">
            <w:pPr>
              <w:keepNext/>
              <w:keepLines/>
              <w:rPr>
                <w:rFonts w:cs="Arial"/>
                <w:sz w:val="16"/>
                <w:szCs w:val="16"/>
              </w:rPr>
            </w:pPr>
          </w:p>
        </w:tc>
        <w:tc>
          <w:tcPr>
            <w:tcW w:w="1608" w:type="dxa"/>
            <w:tcBorders>
              <w:top w:val="nil"/>
              <w:left w:val="nil"/>
              <w:bottom w:val="nil"/>
              <w:right w:val="nil"/>
            </w:tcBorders>
          </w:tcPr>
          <w:p w:rsidR="009C43A1" w:rsidRPr="004C0240" w:rsidRDefault="009C43A1" w:rsidP="00334159">
            <w:pPr>
              <w:keepNext/>
              <w:keepLines/>
              <w:rPr>
                <w:rFonts w:cs="Arial"/>
                <w:sz w:val="16"/>
                <w:szCs w:val="16"/>
              </w:rPr>
            </w:pPr>
          </w:p>
        </w:tc>
      </w:tr>
    </w:tbl>
    <w:p w:rsidR="009C43A1" w:rsidRPr="006D6CE9" w:rsidRDefault="009C43A1" w:rsidP="009C43A1">
      <w:pPr>
        <w:pStyle w:val="Header"/>
        <w:tabs>
          <w:tab w:val="clear" w:pos="4153"/>
          <w:tab w:val="clear" w:pos="8306"/>
          <w:tab w:val="left" w:pos="1260"/>
          <w:tab w:val="left" w:pos="1980"/>
          <w:tab w:val="left" w:pos="2700"/>
          <w:tab w:val="left" w:pos="3420"/>
        </w:tabs>
        <w:rPr>
          <w:rFonts w:cs="Arial"/>
          <w:szCs w:val="22"/>
        </w:rPr>
      </w:pPr>
    </w:p>
    <w:p w:rsidR="009C43A1" w:rsidRPr="006D6CE9" w:rsidRDefault="009C43A1" w:rsidP="009C43A1">
      <w:pPr>
        <w:ind w:left="1276" w:hanging="1276"/>
        <w:rPr>
          <w:rFonts w:cs="Arial"/>
          <w:szCs w:val="22"/>
        </w:rPr>
      </w:pPr>
      <w:r w:rsidRPr="006D6CE9">
        <w:rPr>
          <w:rFonts w:cs="Arial"/>
          <w:szCs w:val="22"/>
        </w:rPr>
        <w:t>14.7</w:t>
      </w:r>
      <w:r w:rsidRPr="006D6CE9">
        <w:rPr>
          <w:rFonts w:cs="Arial"/>
          <w:szCs w:val="22"/>
        </w:rP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9C43A1" w:rsidRPr="006D6CE9" w:rsidRDefault="009C43A1" w:rsidP="009C43A1">
      <w:pPr>
        <w:rPr>
          <w:rFonts w:cs="Arial"/>
          <w:b/>
          <w:i/>
          <w:color w:val="008000"/>
          <w:szCs w:val="22"/>
        </w:rPr>
      </w:pPr>
    </w:p>
    <w:p w:rsidR="009C43A1" w:rsidRPr="006D6CE9" w:rsidRDefault="009C43A1" w:rsidP="009C43A1">
      <w:pPr>
        <w:keepNext/>
        <w:ind w:left="1267" w:hanging="1267"/>
        <w:rPr>
          <w:rFonts w:cs="Arial"/>
          <w:szCs w:val="22"/>
        </w:rPr>
      </w:pPr>
      <w:r w:rsidRPr="006D6CE9">
        <w:rPr>
          <w:rFonts w:cs="Arial"/>
          <w:szCs w:val="22"/>
        </w:rPr>
        <w:t>15.</w:t>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ab/>
      </w:r>
      <w:r w:rsidRPr="006D6CE9">
        <w:rPr>
          <w:rFonts w:cs="Arial"/>
          <w:b/>
          <w:szCs w:val="22"/>
        </w:rPr>
        <w:t>Recommendation</w:t>
      </w:r>
    </w:p>
    <w:p w:rsidR="009C43A1" w:rsidRPr="006D6CE9" w:rsidRDefault="009C43A1" w:rsidP="009C43A1">
      <w:pPr>
        <w:keepNext/>
        <w:ind w:left="1267" w:hanging="1267"/>
        <w:rPr>
          <w:rFonts w:cs="Arial"/>
          <w:szCs w:val="22"/>
        </w:rPr>
      </w:pPr>
    </w:p>
    <w:p w:rsidR="00876653" w:rsidRDefault="009C43A1" w:rsidP="00232440">
      <w:pPr>
        <w:ind w:left="1260" w:hanging="1260"/>
        <w:rPr>
          <w:rFonts w:cs="Arial"/>
          <w:szCs w:val="22"/>
        </w:rPr>
      </w:pPr>
      <w:r w:rsidRPr="006D6CE9">
        <w:rPr>
          <w:rFonts w:cs="Arial"/>
          <w:szCs w:val="22"/>
        </w:rPr>
        <w:t>15.1</w:t>
      </w:r>
      <w:r w:rsidRPr="006D6CE9">
        <w:rPr>
          <w:rFonts w:cs="Arial"/>
          <w:szCs w:val="22"/>
        </w:rPr>
        <w:tab/>
        <w:t xml:space="preserve">That </w:t>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 xml:space="preserve">the Leisure, </w:t>
      </w:r>
      <w:r>
        <w:rPr>
          <w:rFonts w:cs="Arial"/>
          <w:szCs w:val="22"/>
        </w:rPr>
        <w:t>W</w:t>
      </w:r>
      <w:r w:rsidRPr="006D6CE9">
        <w:rPr>
          <w:rFonts w:cs="Arial"/>
          <w:szCs w:val="22"/>
        </w:rPr>
        <w:t xml:space="preserve">ellbeing and Health </w:t>
      </w:r>
      <w:r>
        <w:rPr>
          <w:rFonts w:cs="Arial"/>
          <w:szCs w:val="22"/>
        </w:rPr>
        <w:t>C</w:t>
      </w:r>
      <w:r w:rsidRPr="006D6CE9">
        <w:rPr>
          <w:rFonts w:cs="Arial"/>
          <w:szCs w:val="22"/>
        </w:rPr>
        <w:t xml:space="preserve">ommittee </w:t>
      </w:r>
      <w:r w:rsidR="00876653">
        <w:rPr>
          <w:rFonts w:cs="Arial"/>
          <w:szCs w:val="22"/>
        </w:rPr>
        <w:t>agree the proposals for the 2020 – 202</w:t>
      </w:r>
      <w:r w:rsidR="000F08A7">
        <w:rPr>
          <w:rFonts w:cs="Arial"/>
          <w:szCs w:val="22"/>
        </w:rPr>
        <w:t xml:space="preserve">4 </w:t>
      </w:r>
      <w:r w:rsidR="00876653">
        <w:rPr>
          <w:rFonts w:cs="Arial"/>
          <w:szCs w:val="22"/>
        </w:rPr>
        <w:t>small leisure capital facilities programme as detailed at point 2.</w:t>
      </w:r>
      <w:r w:rsidR="000F08A7">
        <w:rPr>
          <w:rFonts w:cs="Arial"/>
          <w:szCs w:val="22"/>
        </w:rPr>
        <w:t>4 and 2.5.</w:t>
      </w:r>
    </w:p>
    <w:p w:rsidR="000F08A7" w:rsidRDefault="000F08A7" w:rsidP="00876653">
      <w:pPr>
        <w:ind w:left="1267" w:hanging="1267"/>
        <w:rPr>
          <w:rFonts w:cs="Arial"/>
          <w:szCs w:val="22"/>
        </w:rPr>
      </w:pPr>
    </w:p>
    <w:p w:rsidR="000F08A7" w:rsidRPr="006D6CE9" w:rsidRDefault="00232440" w:rsidP="00876653">
      <w:pPr>
        <w:ind w:left="1267" w:hanging="1267"/>
        <w:rPr>
          <w:rFonts w:cs="Arial"/>
          <w:szCs w:val="22"/>
        </w:rPr>
      </w:pPr>
      <w:r>
        <w:rPr>
          <w:rFonts w:cs="Arial"/>
          <w:szCs w:val="22"/>
        </w:rPr>
        <w:t>15.2</w:t>
      </w:r>
      <w:r w:rsidR="000F08A7">
        <w:rPr>
          <w:rFonts w:cs="Arial"/>
          <w:szCs w:val="22"/>
        </w:rPr>
        <w:tab/>
        <w:t>That the S</w:t>
      </w:r>
      <w:r w:rsidR="00771EEF">
        <w:rPr>
          <w:rFonts w:cs="Arial"/>
          <w:szCs w:val="22"/>
        </w:rPr>
        <w:t xml:space="preserve">ection </w:t>
      </w:r>
      <w:bookmarkStart w:id="0" w:name="_GoBack"/>
      <w:bookmarkEnd w:id="0"/>
      <w:r w:rsidR="000F08A7">
        <w:rPr>
          <w:rFonts w:cs="Arial"/>
          <w:szCs w:val="22"/>
        </w:rPr>
        <w:t>106 money detailed at point 2.3 be used for the Croxley Green Skate Park project.</w:t>
      </w:r>
    </w:p>
    <w:p w:rsidR="00876653" w:rsidRPr="006D6CE9" w:rsidRDefault="00876653" w:rsidP="00876653">
      <w:pPr>
        <w:ind w:left="1260" w:hanging="1260"/>
        <w:rPr>
          <w:rFonts w:cs="Arial"/>
          <w:b/>
          <w:i/>
          <w:color w:val="008000"/>
          <w:szCs w:val="22"/>
        </w:rPr>
      </w:pPr>
    </w:p>
    <w:p w:rsidR="009C43A1" w:rsidRPr="006D6CE9" w:rsidRDefault="009C43A1" w:rsidP="009C43A1">
      <w:pPr>
        <w:rPr>
          <w:rFonts w:cs="Arial"/>
          <w:b/>
          <w:i/>
          <w:color w:val="008000"/>
          <w:szCs w:val="22"/>
        </w:rPr>
      </w:pPr>
      <w:r w:rsidRPr="006D6CE9">
        <w:rPr>
          <w:rFonts w:cs="Arial"/>
          <w:szCs w:val="22"/>
        </w:rPr>
        <w:tab/>
        <w:t>Report prepared by:</w:t>
      </w: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00876653">
        <w:rPr>
          <w:rFonts w:cs="Arial"/>
          <w:szCs w:val="22"/>
        </w:rPr>
        <w:t>Charlotte Gomes</w:t>
      </w:r>
      <w:r w:rsidRPr="006D6CE9">
        <w:rPr>
          <w:rFonts w:cs="Arial"/>
          <w:szCs w:val="22"/>
        </w:rPr>
        <w:t>, Leisure Development Manager</w:t>
      </w:r>
    </w:p>
    <w:p w:rsidR="009C43A1" w:rsidRPr="006D6CE9" w:rsidRDefault="009C43A1" w:rsidP="009C43A1">
      <w:pPr>
        <w:ind w:left="1253" w:hanging="1253"/>
        <w:rPr>
          <w:rFonts w:cs="Arial"/>
          <w:szCs w:val="22"/>
        </w:rPr>
      </w:pPr>
    </w:p>
    <w:p w:rsidR="009C43A1" w:rsidRPr="006D6CE9" w:rsidRDefault="009C43A1" w:rsidP="009C43A1">
      <w:pPr>
        <w:keepNext/>
        <w:keepLines/>
        <w:ind w:left="1267" w:hanging="1267"/>
        <w:outlineLvl w:val="0"/>
        <w:rPr>
          <w:rFonts w:cs="Arial"/>
          <w:b/>
          <w:szCs w:val="22"/>
        </w:rPr>
      </w:pPr>
      <w:r w:rsidRPr="006D6CE9">
        <w:rPr>
          <w:rFonts w:cs="Arial"/>
          <w:szCs w:val="22"/>
        </w:rPr>
        <w:tab/>
      </w:r>
      <w:r w:rsidRPr="006D6CE9">
        <w:rPr>
          <w:rFonts w:cs="Arial"/>
          <w:b/>
          <w:szCs w:val="22"/>
        </w:rPr>
        <w:t>Data Quality</w:t>
      </w:r>
    </w:p>
    <w:p w:rsidR="009C43A1" w:rsidRPr="006D6CE9" w:rsidRDefault="009C43A1" w:rsidP="009C43A1">
      <w:pPr>
        <w:keepNext/>
        <w:keepLines/>
        <w:ind w:left="1267" w:hanging="1267"/>
        <w:outlineLvl w:val="0"/>
        <w:rPr>
          <w:rFonts w:cs="Arial"/>
          <w:b/>
          <w:szCs w:val="22"/>
        </w:rPr>
      </w:pPr>
    </w:p>
    <w:p w:rsidR="009C43A1" w:rsidRPr="006D6CE9" w:rsidRDefault="009C43A1" w:rsidP="009C43A1">
      <w:pPr>
        <w:keepNext/>
        <w:keepLines/>
        <w:ind w:left="1267" w:hanging="1267"/>
        <w:rPr>
          <w:rFonts w:cs="Arial"/>
          <w:szCs w:val="22"/>
        </w:rPr>
      </w:pPr>
      <w:r w:rsidRPr="006D6CE9">
        <w:rPr>
          <w:rFonts w:cs="Arial"/>
          <w:b/>
          <w:szCs w:val="22"/>
        </w:rPr>
        <w:tab/>
      </w:r>
      <w:r w:rsidRPr="006D6CE9">
        <w:rPr>
          <w:rFonts w:cs="Arial"/>
          <w:szCs w:val="22"/>
        </w:rPr>
        <w:t>Data sources: None</w:t>
      </w:r>
    </w:p>
    <w:p w:rsidR="009C43A1" w:rsidRPr="006D6CE9" w:rsidRDefault="009C43A1" w:rsidP="009C43A1">
      <w:pPr>
        <w:keepNext/>
        <w:keepLines/>
        <w:rPr>
          <w:rFonts w:cs="Arial"/>
          <w:b/>
          <w:i/>
          <w:color w:val="008000"/>
          <w:szCs w:val="22"/>
        </w:rPr>
      </w:pPr>
      <w:r w:rsidRPr="006D6CE9">
        <w:rPr>
          <w:rFonts w:cs="Arial"/>
          <w:szCs w:val="22"/>
        </w:rPr>
        <w:fldChar w:fldCharType="begin"/>
      </w:r>
      <w:r w:rsidRPr="006D6CE9">
        <w:rPr>
          <w:rFonts w:cs="Arial"/>
          <w:szCs w:val="22"/>
        </w:rPr>
        <w:instrText xml:space="preserve"> ASK   \* MERGEFORMAT </w:instrText>
      </w:r>
      <w:r w:rsidRPr="006D6CE9">
        <w:rPr>
          <w:rFonts w:cs="Arial"/>
          <w:szCs w:val="22"/>
        </w:rPr>
        <w:fldChar w:fldCharType="end"/>
      </w:r>
    </w:p>
    <w:p w:rsidR="009C43A1" w:rsidRPr="006D6CE9" w:rsidRDefault="009C43A1" w:rsidP="009C43A1">
      <w:pPr>
        <w:keepNext/>
        <w:ind w:left="1267" w:hanging="1267"/>
        <w:rPr>
          <w:rFonts w:cs="Arial"/>
          <w:b/>
          <w:szCs w:val="22"/>
        </w:rPr>
      </w:pPr>
      <w:r w:rsidRPr="006D6CE9">
        <w:rPr>
          <w:rFonts w:cs="Arial"/>
          <w:szCs w:val="22"/>
        </w:rPr>
        <w:tab/>
      </w:r>
      <w:r w:rsidRPr="006D6CE9">
        <w:rPr>
          <w:rFonts w:cs="Arial"/>
          <w:b/>
          <w:szCs w:val="22"/>
        </w:rPr>
        <w:t>Background Papers</w:t>
      </w:r>
    </w:p>
    <w:p w:rsidR="009C43A1" w:rsidRPr="006D6CE9" w:rsidRDefault="009C43A1" w:rsidP="009C43A1">
      <w:pPr>
        <w:rPr>
          <w:rFonts w:cs="Arial"/>
          <w:b/>
          <w:i/>
          <w:color w:val="008000"/>
          <w:szCs w:val="22"/>
        </w:rPr>
      </w:pP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None</w:t>
      </w:r>
    </w:p>
    <w:p w:rsidR="009C43A1" w:rsidRPr="006D6CE9" w:rsidRDefault="009C43A1" w:rsidP="009C43A1">
      <w:pPr>
        <w:ind w:left="1260" w:hanging="1260"/>
        <w:rPr>
          <w:rFonts w:cs="Arial"/>
          <w:i/>
          <w:szCs w:val="22"/>
        </w:rPr>
      </w:pPr>
    </w:p>
    <w:p w:rsidR="009C43A1" w:rsidRPr="006D6CE9" w:rsidRDefault="009C43A1" w:rsidP="009C43A1">
      <w:pPr>
        <w:keepNext/>
        <w:ind w:left="1259" w:hanging="1259"/>
        <w:rPr>
          <w:rFonts w:cs="Arial"/>
          <w:szCs w:val="22"/>
        </w:rPr>
      </w:pPr>
      <w:r w:rsidRPr="006D6CE9">
        <w:rPr>
          <w:rFonts w:cs="Arial"/>
          <w:szCs w:val="22"/>
        </w:rPr>
        <w:tab/>
      </w:r>
      <w:r w:rsidRPr="006D6CE9">
        <w:rPr>
          <w:rFonts w:cs="Arial"/>
          <w:b/>
          <w:szCs w:val="22"/>
        </w:rPr>
        <w:t>APPENDICES / ATTACHMENTS</w:t>
      </w:r>
    </w:p>
    <w:p w:rsidR="009C43A1" w:rsidRPr="006D6CE9" w:rsidRDefault="009C43A1" w:rsidP="009C43A1">
      <w:pPr>
        <w:rPr>
          <w:rFonts w:cs="Arial"/>
          <w:szCs w:val="22"/>
        </w:rPr>
      </w:pPr>
      <w:r w:rsidRPr="006D6CE9">
        <w:rPr>
          <w:rFonts w:cs="Arial"/>
          <w:szCs w:val="22"/>
        </w:rPr>
        <w:tab/>
      </w:r>
      <w:r w:rsidRPr="006D6CE9">
        <w:rPr>
          <w:rFonts w:cs="Arial"/>
          <w:szCs w:val="22"/>
        </w:rPr>
        <w:fldChar w:fldCharType="begin"/>
      </w:r>
      <w:r w:rsidRPr="006D6CE9">
        <w:rPr>
          <w:rFonts w:cs="Arial"/>
          <w:szCs w:val="22"/>
        </w:rPr>
        <w:instrText xml:space="preserve">  </w:instrText>
      </w:r>
      <w:r w:rsidRPr="006D6CE9">
        <w:rPr>
          <w:rFonts w:cs="Arial"/>
          <w:szCs w:val="22"/>
        </w:rPr>
        <w:fldChar w:fldCharType="end"/>
      </w:r>
      <w:r w:rsidRPr="006D6CE9">
        <w:rPr>
          <w:rFonts w:cs="Arial"/>
          <w:szCs w:val="22"/>
        </w:rPr>
        <w:t>None</w:t>
      </w:r>
    </w:p>
    <w:p w:rsidR="009C43A1" w:rsidRPr="006D6CE9" w:rsidRDefault="009C43A1" w:rsidP="009C43A1">
      <w:pPr>
        <w:rPr>
          <w:rFonts w:cs="Arial"/>
          <w:szCs w:val="22"/>
        </w:rPr>
      </w:pPr>
    </w:p>
    <w:p w:rsidR="000B160C" w:rsidRDefault="00771EEF"/>
    <w:sectPr w:rsidR="000B160C">
      <w:footerReference w:type="default" r:id="rId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A7" w:rsidRDefault="00C84FA7">
      <w:r>
        <w:separator/>
      </w:r>
    </w:p>
  </w:endnote>
  <w:endnote w:type="continuationSeparator" w:id="0">
    <w:p w:rsidR="00C84FA7" w:rsidRDefault="00C8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83" w:rsidRPr="00B84728" w:rsidRDefault="00771EEF"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A7" w:rsidRDefault="00C84FA7">
      <w:r>
        <w:separator/>
      </w:r>
    </w:p>
  </w:footnote>
  <w:footnote w:type="continuationSeparator" w:id="0">
    <w:p w:rsidR="00C84FA7" w:rsidRDefault="00C8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4AD"/>
    <w:multiLevelType w:val="hybridMultilevel"/>
    <w:tmpl w:val="7514F1D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nsid w:val="3AAD4998"/>
    <w:multiLevelType w:val="multilevel"/>
    <w:tmpl w:val="1A7EC384"/>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653C09E9"/>
    <w:multiLevelType w:val="hybridMultilevel"/>
    <w:tmpl w:val="D3748D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34856ED"/>
    <w:multiLevelType w:val="hybridMultilevel"/>
    <w:tmpl w:val="34E474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A1"/>
    <w:rsid w:val="00027AB9"/>
    <w:rsid w:val="00041C96"/>
    <w:rsid w:val="00091056"/>
    <w:rsid w:val="00097B00"/>
    <w:rsid w:val="000A2EB2"/>
    <w:rsid w:val="000F08A7"/>
    <w:rsid w:val="00176C2E"/>
    <w:rsid w:val="001A7D1A"/>
    <w:rsid w:val="001F22D2"/>
    <w:rsid w:val="00211FC4"/>
    <w:rsid w:val="00232440"/>
    <w:rsid w:val="002F4C48"/>
    <w:rsid w:val="003827BA"/>
    <w:rsid w:val="004216A4"/>
    <w:rsid w:val="004A58FB"/>
    <w:rsid w:val="004C0240"/>
    <w:rsid w:val="005153E7"/>
    <w:rsid w:val="00522428"/>
    <w:rsid w:val="00543339"/>
    <w:rsid w:val="005679EB"/>
    <w:rsid w:val="00572BBC"/>
    <w:rsid w:val="0067513B"/>
    <w:rsid w:val="00771EEF"/>
    <w:rsid w:val="00876653"/>
    <w:rsid w:val="008E63F6"/>
    <w:rsid w:val="009079D1"/>
    <w:rsid w:val="009A014B"/>
    <w:rsid w:val="009C43A1"/>
    <w:rsid w:val="00A52726"/>
    <w:rsid w:val="00A55B19"/>
    <w:rsid w:val="00AA0C7B"/>
    <w:rsid w:val="00AE2851"/>
    <w:rsid w:val="00B131DB"/>
    <w:rsid w:val="00BF0503"/>
    <w:rsid w:val="00C84FA7"/>
    <w:rsid w:val="00D3056A"/>
    <w:rsid w:val="00D51AED"/>
    <w:rsid w:val="00DB4501"/>
    <w:rsid w:val="00DB6130"/>
    <w:rsid w:val="00DF6191"/>
    <w:rsid w:val="00E24A7D"/>
    <w:rsid w:val="00E71A2E"/>
    <w:rsid w:val="00F630F0"/>
    <w:rsid w:val="00F95D57"/>
    <w:rsid w:val="00FC14F2"/>
    <w:rsid w:val="00FC1E0E"/>
    <w:rsid w:val="00FF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A1"/>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3A1"/>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rsid w:val="009C43A1"/>
    <w:rPr>
      <w:rFonts w:ascii="Arial" w:eastAsia="Times New Roman" w:hAnsi="Arial" w:cs="Times New Roman"/>
      <w:szCs w:val="20"/>
      <w:lang w:eastAsia="en-GB"/>
    </w:rPr>
  </w:style>
  <w:style w:type="paragraph" w:styleId="Footer">
    <w:name w:val="footer"/>
    <w:basedOn w:val="Normal"/>
    <w:link w:val="FooterChar"/>
    <w:uiPriority w:val="99"/>
    <w:rsid w:val="009C43A1"/>
    <w:pPr>
      <w:tabs>
        <w:tab w:val="center" w:pos="4153"/>
        <w:tab w:val="right" w:pos="8306"/>
      </w:tabs>
    </w:pPr>
  </w:style>
  <w:style w:type="character" w:customStyle="1" w:styleId="FooterChar">
    <w:name w:val="Footer Char"/>
    <w:basedOn w:val="DefaultParagraphFont"/>
    <w:link w:val="Footer"/>
    <w:uiPriority w:val="99"/>
    <w:rsid w:val="009C43A1"/>
    <w:rPr>
      <w:rFonts w:ascii="Arial" w:eastAsia="Times New Roman" w:hAnsi="Arial" w:cs="Times New Roman"/>
      <w:szCs w:val="20"/>
      <w:lang w:eastAsia="en-GB"/>
    </w:rPr>
  </w:style>
  <w:style w:type="paragraph" w:styleId="BodyTextIndent">
    <w:name w:val="Body Text Indent"/>
    <w:basedOn w:val="Normal"/>
    <w:link w:val="BodyTextIndentChar"/>
    <w:rsid w:val="009C43A1"/>
    <w:pPr>
      <w:ind w:left="1276" w:hanging="1276"/>
    </w:pPr>
  </w:style>
  <w:style w:type="character" w:customStyle="1" w:styleId="BodyTextIndentChar">
    <w:name w:val="Body Text Indent Char"/>
    <w:basedOn w:val="DefaultParagraphFont"/>
    <w:link w:val="BodyTextIndent"/>
    <w:rsid w:val="009C43A1"/>
    <w:rPr>
      <w:rFonts w:ascii="Arial" w:eastAsia="Times New Roman" w:hAnsi="Arial" w:cs="Times New Roman"/>
      <w:szCs w:val="20"/>
      <w:lang w:eastAsia="en-GB"/>
    </w:rPr>
  </w:style>
  <w:style w:type="table" w:styleId="TableGrid">
    <w:name w:val="Table Grid"/>
    <w:basedOn w:val="TableNormal"/>
    <w:uiPriority w:val="59"/>
    <w:rsid w:val="00E7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39"/>
    <w:rPr>
      <w:sz w:val="16"/>
      <w:szCs w:val="16"/>
    </w:rPr>
  </w:style>
  <w:style w:type="paragraph" w:styleId="CommentText">
    <w:name w:val="annotation text"/>
    <w:basedOn w:val="Normal"/>
    <w:link w:val="CommentTextChar"/>
    <w:uiPriority w:val="99"/>
    <w:semiHidden/>
    <w:unhideWhenUsed/>
    <w:rsid w:val="00543339"/>
    <w:rPr>
      <w:sz w:val="20"/>
    </w:rPr>
  </w:style>
  <w:style w:type="character" w:customStyle="1" w:styleId="CommentTextChar">
    <w:name w:val="Comment Text Char"/>
    <w:basedOn w:val="DefaultParagraphFont"/>
    <w:link w:val="CommentText"/>
    <w:uiPriority w:val="99"/>
    <w:semiHidden/>
    <w:rsid w:val="005433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3339"/>
    <w:rPr>
      <w:b/>
      <w:bCs/>
    </w:rPr>
  </w:style>
  <w:style w:type="character" w:customStyle="1" w:styleId="CommentSubjectChar">
    <w:name w:val="Comment Subject Char"/>
    <w:basedOn w:val="CommentTextChar"/>
    <w:link w:val="CommentSubject"/>
    <w:uiPriority w:val="99"/>
    <w:semiHidden/>
    <w:rsid w:val="0054333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43339"/>
    <w:rPr>
      <w:rFonts w:ascii="Tahoma" w:hAnsi="Tahoma" w:cs="Tahoma"/>
      <w:sz w:val="16"/>
      <w:szCs w:val="16"/>
    </w:rPr>
  </w:style>
  <w:style w:type="character" w:customStyle="1" w:styleId="BalloonTextChar">
    <w:name w:val="Balloon Text Char"/>
    <w:basedOn w:val="DefaultParagraphFont"/>
    <w:link w:val="BalloonText"/>
    <w:uiPriority w:val="99"/>
    <w:semiHidden/>
    <w:rsid w:val="0054333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A1"/>
    <w:pPr>
      <w:tabs>
        <w:tab w:val="left" w:pos="1260"/>
        <w:tab w:val="left" w:pos="1980"/>
        <w:tab w:val="left" w:pos="2700"/>
        <w:tab w:val="left" w:pos="3420"/>
      </w:tabs>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3A1"/>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rsid w:val="009C43A1"/>
    <w:rPr>
      <w:rFonts w:ascii="Arial" w:eastAsia="Times New Roman" w:hAnsi="Arial" w:cs="Times New Roman"/>
      <w:szCs w:val="20"/>
      <w:lang w:eastAsia="en-GB"/>
    </w:rPr>
  </w:style>
  <w:style w:type="paragraph" w:styleId="Footer">
    <w:name w:val="footer"/>
    <w:basedOn w:val="Normal"/>
    <w:link w:val="FooterChar"/>
    <w:uiPriority w:val="99"/>
    <w:rsid w:val="009C43A1"/>
    <w:pPr>
      <w:tabs>
        <w:tab w:val="center" w:pos="4153"/>
        <w:tab w:val="right" w:pos="8306"/>
      </w:tabs>
    </w:pPr>
  </w:style>
  <w:style w:type="character" w:customStyle="1" w:styleId="FooterChar">
    <w:name w:val="Footer Char"/>
    <w:basedOn w:val="DefaultParagraphFont"/>
    <w:link w:val="Footer"/>
    <w:uiPriority w:val="99"/>
    <w:rsid w:val="009C43A1"/>
    <w:rPr>
      <w:rFonts w:ascii="Arial" w:eastAsia="Times New Roman" w:hAnsi="Arial" w:cs="Times New Roman"/>
      <w:szCs w:val="20"/>
      <w:lang w:eastAsia="en-GB"/>
    </w:rPr>
  </w:style>
  <w:style w:type="paragraph" w:styleId="BodyTextIndent">
    <w:name w:val="Body Text Indent"/>
    <w:basedOn w:val="Normal"/>
    <w:link w:val="BodyTextIndentChar"/>
    <w:rsid w:val="009C43A1"/>
    <w:pPr>
      <w:ind w:left="1276" w:hanging="1276"/>
    </w:pPr>
  </w:style>
  <w:style w:type="character" w:customStyle="1" w:styleId="BodyTextIndentChar">
    <w:name w:val="Body Text Indent Char"/>
    <w:basedOn w:val="DefaultParagraphFont"/>
    <w:link w:val="BodyTextIndent"/>
    <w:rsid w:val="009C43A1"/>
    <w:rPr>
      <w:rFonts w:ascii="Arial" w:eastAsia="Times New Roman" w:hAnsi="Arial" w:cs="Times New Roman"/>
      <w:szCs w:val="20"/>
      <w:lang w:eastAsia="en-GB"/>
    </w:rPr>
  </w:style>
  <w:style w:type="table" w:styleId="TableGrid">
    <w:name w:val="Table Grid"/>
    <w:basedOn w:val="TableNormal"/>
    <w:uiPriority w:val="59"/>
    <w:rsid w:val="00E7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39"/>
    <w:rPr>
      <w:sz w:val="16"/>
      <w:szCs w:val="16"/>
    </w:rPr>
  </w:style>
  <w:style w:type="paragraph" w:styleId="CommentText">
    <w:name w:val="annotation text"/>
    <w:basedOn w:val="Normal"/>
    <w:link w:val="CommentTextChar"/>
    <w:uiPriority w:val="99"/>
    <w:semiHidden/>
    <w:unhideWhenUsed/>
    <w:rsid w:val="00543339"/>
    <w:rPr>
      <w:sz w:val="20"/>
    </w:rPr>
  </w:style>
  <w:style w:type="character" w:customStyle="1" w:styleId="CommentTextChar">
    <w:name w:val="Comment Text Char"/>
    <w:basedOn w:val="DefaultParagraphFont"/>
    <w:link w:val="CommentText"/>
    <w:uiPriority w:val="99"/>
    <w:semiHidden/>
    <w:rsid w:val="005433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3339"/>
    <w:rPr>
      <w:b/>
      <w:bCs/>
    </w:rPr>
  </w:style>
  <w:style w:type="character" w:customStyle="1" w:styleId="CommentSubjectChar">
    <w:name w:val="Comment Subject Char"/>
    <w:basedOn w:val="CommentTextChar"/>
    <w:link w:val="CommentSubject"/>
    <w:uiPriority w:val="99"/>
    <w:semiHidden/>
    <w:rsid w:val="0054333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43339"/>
    <w:rPr>
      <w:rFonts w:ascii="Tahoma" w:hAnsi="Tahoma" w:cs="Tahoma"/>
      <w:sz w:val="16"/>
      <w:szCs w:val="16"/>
    </w:rPr>
  </w:style>
  <w:style w:type="character" w:customStyle="1" w:styleId="BalloonTextChar">
    <w:name w:val="Balloon Text Char"/>
    <w:basedOn w:val="DefaultParagraphFont"/>
    <w:link w:val="BalloonText"/>
    <w:uiPriority w:val="99"/>
    <w:semiHidden/>
    <w:rsid w:val="0054333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Gomes</dc:creator>
  <cp:lastModifiedBy>Charlotte Taffel</cp:lastModifiedBy>
  <cp:revision>6</cp:revision>
  <dcterms:created xsi:type="dcterms:W3CDTF">2017-08-16T07:49:00Z</dcterms:created>
  <dcterms:modified xsi:type="dcterms:W3CDTF">2017-08-29T14:06:00Z</dcterms:modified>
</cp:coreProperties>
</file>