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E5" w:rsidRDefault="00CC16E5"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AUDIT COMMITTEE – 2</w:t>
      </w:r>
      <w:r w:rsidR="00072A82">
        <w:rPr>
          <w:b/>
        </w:rPr>
        <w:t>7</w:t>
      </w:r>
      <w:r>
        <w:rPr>
          <w:b/>
        </w:rPr>
        <w:t xml:space="preserve"> </w:t>
      </w:r>
      <w:r w:rsidR="00072A82">
        <w:rPr>
          <w:b/>
        </w:rPr>
        <w:t>SEPTEMBER</w:t>
      </w:r>
      <w:r>
        <w:rPr>
          <w:b/>
        </w:rPr>
        <w:t xml:space="preserve"> 2016</w:t>
      </w:r>
    </w:p>
    <w:p w:rsidR="00CC16E5" w:rsidRDefault="00CC16E5">
      <w:pPr>
        <w:jc w:val="center"/>
      </w:pPr>
    </w:p>
    <w:p w:rsidR="00CC16E5" w:rsidRDefault="00CC16E5">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DELEGATED</w:t>
      </w:r>
    </w:p>
    <w:p w:rsidR="00CC16E5" w:rsidRDefault="00CC16E5"/>
    <w:p w:rsidR="00CC16E5" w:rsidRDefault="00734739" w:rsidP="002D69A9">
      <w:pPr>
        <w:keepNext/>
        <w:ind w:left="1267" w:hanging="1267"/>
        <w:jc w:val="left"/>
        <w:rPr>
          <w:i/>
          <w:color w:val="FF0000"/>
        </w:rPr>
      </w:pPr>
      <w:r>
        <w:rPr>
          <w:b/>
        </w:rPr>
        <w:t>5</w:t>
      </w:r>
      <w:r w:rsidR="00CC16E5">
        <w:rPr>
          <w:b/>
        </w:rPr>
        <w:t>.</w:t>
      </w:r>
      <w:r w:rsidR="00CC16E5">
        <w:rPr>
          <w:b/>
        </w:rPr>
        <w:tab/>
      </w:r>
      <w:r w:rsidR="00CC16E5">
        <w:rPr>
          <w:b/>
        </w:rPr>
        <w:fldChar w:fldCharType="begin"/>
      </w:r>
      <w:r w:rsidR="00CC16E5">
        <w:rPr>
          <w:b/>
        </w:rPr>
        <w:instrText xml:space="preserve">  </w:instrText>
      </w:r>
      <w:r w:rsidR="00CC16E5">
        <w:rPr>
          <w:b/>
        </w:rPr>
        <w:fldChar w:fldCharType="end"/>
      </w:r>
      <w:r w:rsidR="00CC16E5">
        <w:rPr>
          <w:b/>
        </w:rPr>
        <w:t>FINANCIAL AND BUDGETARY RISKS</w:t>
      </w:r>
      <w:r w:rsidR="00CC16E5">
        <w:rPr>
          <w:b/>
        </w:rPr>
        <w:fldChar w:fldCharType="begin"/>
      </w:r>
      <w:r w:rsidR="00CC16E5">
        <w:rPr>
          <w:b/>
        </w:rPr>
        <w:instrText xml:space="preserve">  </w:instrText>
      </w:r>
      <w:r w:rsidR="00CC16E5">
        <w:rPr>
          <w:b/>
        </w:rPr>
        <w:fldChar w:fldCharType="end"/>
      </w:r>
    </w:p>
    <w:p w:rsidR="00CC16E5" w:rsidRDefault="00CC16E5">
      <w:pPr>
        <w:keepNext/>
        <w:ind w:left="1267" w:hanging="1267"/>
        <w:rPr>
          <w:i/>
          <w:color w:val="FF0000"/>
        </w:rPr>
      </w:pPr>
      <w:r>
        <w:rPr>
          <w:b/>
        </w:rPr>
        <w:tab/>
      </w:r>
      <w:r>
        <w:t>(</w:t>
      </w:r>
      <w:proofErr w:type="spellStart"/>
      <w:r>
        <w:t>DoF</w:t>
      </w:r>
      <w:proofErr w:type="spellEnd"/>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CC16E5" w:rsidRDefault="00CC16E5">
      <w:pPr>
        <w:ind w:left="1267" w:hanging="1267"/>
      </w:pPr>
    </w:p>
    <w:p w:rsidR="00CC16E5" w:rsidRDefault="00CC16E5">
      <w:pPr>
        <w:keepNext/>
        <w:ind w:left="1267" w:hanging="1267"/>
      </w:pPr>
      <w:r>
        <w:t>1.</w:t>
      </w:r>
      <w:r>
        <w:tab/>
      </w:r>
      <w:r>
        <w:rPr>
          <w:b/>
        </w:rPr>
        <w:t>Summary</w:t>
      </w:r>
    </w:p>
    <w:p w:rsidR="00CC16E5" w:rsidRDefault="00CC16E5">
      <w:pPr>
        <w:keepNext/>
        <w:ind w:left="1267" w:hanging="1267"/>
      </w:pPr>
    </w:p>
    <w:p w:rsidR="00CC16E5" w:rsidRDefault="00CC16E5" w:rsidP="006F2B4E">
      <w:pPr>
        <w:pStyle w:val="Heading1"/>
        <w:ind w:left="1276" w:hanging="1276"/>
      </w:pPr>
      <w:r>
        <w:t>1.1</w:t>
      </w:r>
      <w:r>
        <w:tab/>
      </w:r>
      <w:r w:rsidRPr="00FD56DE">
        <w:t xml:space="preserve">This report </w:t>
      </w:r>
      <w:r>
        <w:t xml:space="preserve">enables the </w:t>
      </w:r>
      <w:r w:rsidRPr="00FD56DE">
        <w:t>Committee</w:t>
      </w:r>
      <w:r>
        <w:t xml:space="preserve"> to monitor the Council’s fin</w:t>
      </w:r>
      <w:r w:rsidRPr="008035B2">
        <w:t xml:space="preserve">ancial and </w:t>
      </w:r>
      <w:r>
        <w:t>budgetary r</w:t>
      </w:r>
      <w:r w:rsidRPr="008035B2">
        <w:t>isks</w:t>
      </w:r>
      <w:r>
        <w:t>.</w:t>
      </w:r>
      <w:r w:rsidRPr="008035B2">
        <w:t xml:space="preserve"> </w:t>
      </w:r>
    </w:p>
    <w:p w:rsidR="00CC16E5" w:rsidRDefault="00CC16E5" w:rsidP="00FD56DE">
      <w:pPr>
        <w:ind w:left="1276"/>
      </w:pPr>
    </w:p>
    <w:p w:rsidR="00CC16E5" w:rsidRDefault="00CC16E5">
      <w:pPr>
        <w:keepNext/>
        <w:ind w:left="1267" w:hanging="1267"/>
        <w:rPr>
          <w:b/>
        </w:rPr>
      </w:pPr>
      <w:r>
        <w:t>2.</w:t>
      </w:r>
      <w:r>
        <w:tab/>
      </w:r>
      <w:r>
        <w:rPr>
          <w:b/>
        </w:rPr>
        <w:t>Details</w:t>
      </w:r>
    </w:p>
    <w:p w:rsidR="00CC16E5" w:rsidRDefault="00CC16E5" w:rsidP="00A07E50">
      <w:pPr>
        <w:spacing w:before="100" w:beforeAutospacing="1" w:after="100" w:afterAutospacing="1"/>
        <w:ind w:left="1276" w:hanging="1276"/>
      </w:pPr>
      <w:r w:rsidRPr="00723221">
        <w:rPr>
          <w:rFonts w:cs="Arial"/>
          <w:szCs w:val="22"/>
        </w:rPr>
        <w:t>2.1</w:t>
      </w:r>
      <w:r w:rsidRPr="00723221">
        <w:rPr>
          <w:rFonts w:cs="Arial"/>
          <w:szCs w:val="22"/>
        </w:rPr>
        <w:tab/>
      </w:r>
      <w:r w:rsidRPr="00723221">
        <w:rPr>
          <w:rFonts w:cs="Arial"/>
          <w:szCs w:val="22"/>
        </w:rPr>
        <w:fldChar w:fldCharType="begin"/>
      </w:r>
      <w:r w:rsidRPr="00723221">
        <w:rPr>
          <w:rFonts w:cs="Arial"/>
          <w:szCs w:val="22"/>
        </w:rPr>
        <w:instrText xml:space="preserve">  </w:instrText>
      </w:r>
      <w:r w:rsidRPr="00723221">
        <w:rPr>
          <w:rFonts w:cs="Arial"/>
          <w:szCs w:val="22"/>
        </w:rPr>
        <w:fldChar w:fldCharType="end"/>
      </w:r>
      <w:r>
        <w:rPr>
          <w:rFonts w:cs="Arial"/>
          <w:szCs w:val="22"/>
        </w:rPr>
        <w:t>The Audit Committee’s terms of reference include the c</w:t>
      </w:r>
      <w:r>
        <w:t>onsideration of the effectiveness of the authority’s risk management arrangements. A key element of this is the monitoring of budgetary and financial risks, which officers report on a monthly basis. Appendix 1 shows the latest position of the risks monitored by this Committee.</w:t>
      </w:r>
    </w:p>
    <w:p w:rsidR="00CC16E5" w:rsidRDefault="00CC16E5" w:rsidP="00A20960">
      <w:pPr>
        <w:tabs>
          <w:tab w:val="clear" w:pos="1260"/>
          <w:tab w:val="clear" w:pos="1980"/>
          <w:tab w:val="clear" w:pos="2700"/>
          <w:tab w:val="left" w:pos="0"/>
          <w:tab w:val="left" w:pos="1276"/>
        </w:tabs>
        <w:spacing w:before="100" w:beforeAutospacing="1" w:after="100" w:afterAutospacing="1"/>
        <w:ind w:hanging="1276"/>
      </w:pPr>
      <w:r>
        <w:tab/>
      </w:r>
      <w:r w:rsidRPr="00A07E50">
        <w:t xml:space="preserve"> </w:t>
      </w:r>
      <w:r>
        <w:t>3.</w:t>
      </w:r>
      <w:r>
        <w:tab/>
      </w:r>
      <w:r>
        <w:rPr>
          <w:b/>
        </w:rPr>
        <w:t>Options/Reasons for Recommendation</w:t>
      </w:r>
    </w:p>
    <w:p w:rsidR="00CC16E5" w:rsidRDefault="00CC16E5">
      <w:pPr>
        <w:ind w:left="1267" w:hanging="1267"/>
      </w:pPr>
      <w:r>
        <w:t>3.1</w:t>
      </w:r>
      <w:r>
        <w:tab/>
      </w:r>
      <w:r>
        <w:tab/>
      </w:r>
      <w:r>
        <w:fldChar w:fldCharType="begin"/>
      </w:r>
      <w:r>
        <w:instrText xml:space="preserve">  </w:instrText>
      </w:r>
      <w:r>
        <w:fldChar w:fldCharType="end"/>
      </w:r>
      <w:r>
        <w:t>The recommendation enables the Committee to consider the fin</w:t>
      </w:r>
      <w:r w:rsidRPr="008035B2">
        <w:t xml:space="preserve">ancial and </w:t>
      </w:r>
      <w:r>
        <w:t>budgetary r</w:t>
      </w:r>
      <w:r w:rsidRPr="008035B2">
        <w:t>isks</w:t>
      </w:r>
      <w:r>
        <w:t xml:space="preserve"> facing the Council, to note the latest position and comment on the officers assessment of the likelihood  and  impact of a risk occurring.</w:t>
      </w:r>
    </w:p>
    <w:p w:rsidR="00CC16E5" w:rsidRDefault="00CC16E5">
      <w:pPr>
        <w:ind w:left="1267" w:hanging="1267"/>
      </w:pPr>
    </w:p>
    <w:p w:rsidR="00CC16E5" w:rsidRDefault="00CC16E5">
      <w:pPr>
        <w:keepNext/>
        <w:ind w:left="1267" w:hanging="1267"/>
      </w:pPr>
      <w:r>
        <w:t>4.</w:t>
      </w:r>
      <w:r>
        <w:tab/>
      </w:r>
      <w:r>
        <w:rPr>
          <w:b/>
        </w:rPr>
        <w:t>Policy/Budget Implications</w:t>
      </w:r>
    </w:p>
    <w:p w:rsidR="00CC16E5" w:rsidRDefault="00CC16E5">
      <w:pPr>
        <w:keepNext/>
        <w:ind w:left="1267" w:hanging="1267"/>
      </w:pPr>
    </w:p>
    <w:p w:rsidR="00CC16E5" w:rsidRDefault="00CC16E5">
      <w:pPr>
        <w:ind w:left="1267" w:hanging="1267"/>
      </w:pPr>
      <w:r>
        <w:t>4.1</w:t>
      </w:r>
      <w:r>
        <w:tab/>
        <w:t>The recommendations in this report are within the Council’s agreed policy and budgets.</w:t>
      </w:r>
      <w:r>
        <w:fldChar w:fldCharType="begin"/>
      </w:r>
      <w:r>
        <w:instrText xml:space="preserve">  </w:instrText>
      </w:r>
      <w:r>
        <w:fldChar w:fldCharType="end"/>
      </w:r>
    </w:p>
    <w:p w:rsidR="00CC16E5" w:rsidRDefault="00CC16E5">
      <w:pPr>
        <w:ind w:left="1267" w:hanging="1267"/>
      </w:pPr>
    </w:p>
    <w:p w:rsidR="00CC16E5" w:rsidRDefault="00CC16E5">
      <w:pPr>
        <w:keepNext/>
        <w:ind w:left="1267" w:hanging="1267"/>
      </w:pPr>
      <w:r>
        <w:t>5.</w:t>
      </w:r>
      <w:r>
        <w:fldChar w:fldCharType="begin"/>
      </w:r>
      <w:r>
        <w:instrText xml:space="preserve">  </w:instrText>
      </w:r>
      <w:r>
        <w:fldChar w:fldCharType="end"/>
      </w:r>
      <w:r>
        <w:tab/>
      </w:r>
      <w:r>
        <w:rPr>
          <w:b/>
        </w:rPr>
        <w:t>Legal, Equal Opportunities, Staffing, Environmental, Community Safety, Customer Services Centre, and Website Implications</w:t>
      </w:r>
    </w:p>
    <w:p w:rsidR="00CC16E5" w:rsidRDefault="00CC16E5">
      <w:pPr>
        <w:keepNext/>
        <w:ind w:left="1267" w:hanging="1267"/>
      </w:pPr>
    </w:p>
    <w:p w:rsidR="00CC16E5" w:rsidRDefault="00CC16E5">
      <w:pPr>
        <w:ind w:left="1267" w:hanging="1267"/>
      </w:pPr>
      <w:r>
        <w:t>5.1</w:t>
      </w:r>
      <w:r>
        <w:fldChar w:fldCharType="begin"/>
      </w:r>
      <w:r>
        <w:instrText xml:space="preserve">  </w:instrText>
      </w:r>
      <w:r>
        <w:fldChar w:fldCharType="end"/>
      </w:r>
      <w:r>
        <w:tab/>
        <w:t>None specific.</w:t>
      </w:r>
    </w:p>
    <w:p w:rsidR="00CC16E5" w:rsidRDefault="00CC16E5">
      <w:pPr>
        <w:ind w:left="1267" w:hanging="1267"/>
      </w:pPr>
    </w:p>
    <w:p w:rsidR="00CC16E5" w:rsidRDefault="00CC16E5">
      <w:pPr>
        <w:keepNext/>
        <w:ind w:left="1267" w:hanging="1267"/>
      </w:pPr>
      <w:r>
        <w:t>6.</w:t>
      </w:r>
      <w:r>
        <w:tab/>
      </w:r>
      <w:r>
        <w:rPr>
          <w:b/>
        </w:rPr>
        <w:t>Financial Implications</w:t>
      </w:r>
    </w:p>
    <w:p w:rsidR="00CC16E5" w:rsidRDefault="00CC16E5">
      <w:pPr>
        <w:keepNext/>
        <w:ind w:left="1267" w:hanging="1267"/>
        <w:jc w:val="left"/>
      </w:pPr>
    </w:p>
    <w:p w:rsidR="00CC16E5" w:rsidRPr="00B7461B" w:rsidRDefault="00CC16E5">
      <w:pPr>
        <w:tabs>
          <w:tab w:val="left" w:pos="3330"/>
        </w:tabs>
        <w:ind w:left="1267" w:hanging="1267"/>
      </w:pPr>
      <w:r>
        <w:t>6.1</w:t>
      </w:r>
      <w:r>
        <w:rPr>
          <w:i/>
        </w:rPr>
        <w:tab/>
      </w:r>
      <w:r w:rsidRPr="00B7461B">
        <w:fldChar w:fldCharType="begin"/>
      </w:r>
      <w:r w:rsidRPr="00B7461B">
        <w:instrText xml:space="preserve">  </w:instrText>
      </w:r>
      <w:r w:rsidRPr="00B7461B">
        <w:fldChar w:fldCharType="end"/>
      </w:r>
      <w:r w:rsidRPr="00B7461B">
        <w:t>There are no changes to the budget agreed by Members</w:t>
      </w:r>
      <w:r>
        <w:t xml:space="preserve"> as a result of this report</w:t>
      </w:r>
      <w:r w:rsidRPr="00B7461B">
        <w:t xml:space="preserve">. </w:t>
      </w:r>
    </w:p>
    <w:p w:rsidR="00CC16E5" w:rsidRDefault="00CC16E5">
      <w:pPr>
        <w:ind w:left="1267" w:hanging="1267"/>
      </w:pPr>
    </w:p>
    <w:p w:rsidR="00CC16E5" w:rsidRDefault="00CC16E5">
      <w:pPr>
        <w:keepNext/>
        <w:ind w:left="1267" w:hanging="1267"/>
      </w:pPr>
      <w:r>
        <w:t>7.</w:t>
      </w:r>
      <w:r>
        <w:tab/>
      </w:r>
      <w:r>
        <w:rPr>
          <w:b/>
        </w:rPr>
        <w:t>Risk Management Implications</w:t>
      </w:r>
    </w:p>
    <w:p w:rsidR="00CC16E5" w:rsidRDefault="00CC16E5">
      <w:pPr>
        <w:keepNext/>
        <w:ind w:left="1267" w:hanging="1267"/>
      </w:pPr>
    </w:p>
    <w:p w:rsidR="00CC16E5" w:rsidRDefault="00CC16E5" w:rsidP="00C5170B">
      <w:pPr>
        <w:ind w:left="1276" w:hanging="1276"/>
      </w:pPr>
      <w:r>
        <w:t>7</w:t>
      </w:r>
      <w:r w:rsidRPr="00107D1F">
        <w:t>.1</w:t>
      </w:r>
      <w:r w:rsidRPr="00107D1F">
        <w:tab/>
        <w:t>The</w:t>
      </w:r>
      <w:r>
        <w:t>re are no risks associated with the decision members are being asked to take.</w:t>
      </w:r>
    </w:p>
    <w:p w:rsidR="00CC16E5" w:rsidRDefault="00CC16E5" w:rsidP="00C5170B">
      <w:pPr>
        <w:ind w:left="1276" w:hanging="1276"/>
      </w:pPr>
    </w:p>
    <w:p w:rsidR="00CC16E5" w:rsidRDefault="00CC16E5">
      <w:pPr>
        <w:keepNext/>
        <w:ind w:left="1267" w:hanging="1267"/>
      </w:pPr>
      <w:r>
        <w:t>8.</w:t>
      </w:r>
      <w:r>
        <w:fldChar w:fldCharType="begin"/>
      </w:r>
      <w:r>
        <w:instrText xml:space="preserve">  </w:instrText>
      </w:r>
      <w:r>
        <w:fldChar w:fldCharType="end"/>
      </w:r>
      <w:r>
        <w:tab/>
      </w:r>
      <w:r>
        <w:rPr>
          <w:b/>
        </w:rPr>
        <w:t>Recommendation</w:t>
      </w:r>
    </w:p>
    <w:p w:rsidR="00CC16E5" w:rsidRDefault="00CC16E5">
      <w:pPr>
        <w:keepNext/>
        <w:ind w:left="1267" w:hanging="1267"/>
      </w:pPr>
    </w:p>
    <w:p w:rsidR="00CC16E5" w:rsidRDefault="00CC16E5" w:rsidP="00A07E50">
      <w:pPr>
        <w:ind w:left="1276" w:hanging="1276"/>
      </w:pPr>
      <w:r>
        <w:t>8.1</w:t>
      </w:r>
      <w:r>
        <w:tab/>
        <w:t>That the Committee considers the fin</w:t>
      </w:r>
      <w:r w:rsidRPr="008035B2">
        <w:t xml:space="preserve">ancial and </w:t>
      </w:r>
      <w:r>
        <w:t>budgetary r</w:t>
      </w:r>
      <w:r w:rsidRPr="008035B2">
        <w:t>isks</w:t>
      </w:r>
      <w:r>
        <w:t xml:space="preserve"> facing the Council, notes the latest position and comments on the officers assessment of the likelihood  and impact of a risk occurring.</w:t>
      </w:r>
    </w:p>
    <w:p w:rsidR="00CC16E5" w:rsidRDefault="00CC16E5" w:rsidP="007D5741">
      <w:pPr>
        <w:keepNext/>
      </w:pPr>
    </w:p>
    <w:p w:rsidR="00CC16E5" w:rsidRDefault="00CC16E5" w:rsidP="00A20960">
      <w:pPr>
        <w:keepNext/>
        <w:ind w:left="1267" w:hanging="1267"/>
      </w:pPr>
    </w:p>
    <w:p w:rsidR="00CC16E5" w:rsidRDefault="00CC16E5" w:rsidP="00EA6779">
      <w:pPr>
        <w:keepNext/>
        <w:ind w:left="1267" w:hanging="1267"/>
      </w:pPr>
      <w:r>
        <w:tab/>
        <w:t xml:space="preserve">Report prepared by: Bob Watson - Head of Finance </w:t>
      </w:r>
    </w:p>
    <w:p w:rsidR="00CC16E5" w:rsidRDefault="00CC16E5" w:rsidP="00A07E50">
      <w:pPr>
        <w:jc w:val="left"/>
      </w:pPr>
      <w:r>
        <w:tab/>
      </w:r>
      <w:r>
        <w:fldChar w:fldCharType="begin"/>
      </w:r>
      <w:r>
        <w:instrText xml:space="preserve">  </w:instrText>
      </w:r>
      <w:r>
        <w:fldChar w:fldCharType="end"/>
      </w:r>
      <w:r>
        <w:tab/>
      </w:r>
    </w:p>
    <w:p w:rsidR="00CC16E5" w:rsidRDefault="00CC16E5" w:rsidP="00A07E50">
      <w:pPr>
        <w:jc w:val="left"/>
        <w:rPr>
          <w:b/>
        </w:rPr>
      </w:pPr>
      <w:r>
        <w:tab/>
      </w:r>
      <w:r>
        <w:rPr>
          <w:b/>
        </w:rPr>
        <w:t xml:space="preserve">APPENDICES </w:t>
      </w:r>
    </w:p>
    <w:p w:rsidR="009731F6" w:rsidRDefault="00CC16E5" w:rsidP="00571154">
      <w:pPr>
        <w:ind w:left="1276" w:hanging="1276"/>
        <w:jc w:val="left"/>
      </w:pPr>
      <w:r>
        <w:tab/>
        <w:t>Appendix 1 – Financial &amp; Budgetary Risks</w:t>
      </w:r>
    </w:p>
    <w:p w:rsidR="009731F6" w:rsidRDefault="009731F6" w:rsidP="009731F6">
      <w:pPr>
        <w:jc w:val="left"/>
      </w:pPr>
    </w:p>
    <w:p w:rsidR="009731F6" w:rsidRDefault="009731F6" w:rsidP="009731F6">
      <w:pPr>
        <w:jc w:val="left"/>
      </w:pPr>
    </w:p>
    <w:p w:rsidR="009731F6" w:rsidRDefault="009731F6" w:rsidP="009731F6">
      <w:pPr>
        <w:jc w:val="left"/>
        <w:sectPr w:rsidR="009731F6" w:rsidSect="00571154">
          <w:pgSz w:w="11909" w:h="16834" w:code="9"/>
          <w:pgMar w:top="720" w:right="1412" w:bottom="403" w:left="1412" w:header="709" w:footer="709" w:gutter="0"/>
          <w:cols w:space="720"/>
        </w:sectPr>
      </w:pPr>
      <w:bookmarkStart w:id="0" w:name="_GoBack"/>
      <w:bookmarkEnd w:id="0"/>
    </w:p>
    <w:tbl>
      <w:tblPr>
        <w:tblW w:w="14630" w:type="dxa"/>
        <w:tblInd w:w="93" w:type="dxa"/>
        <w:tblLook w:val="04A0" w:firstRow="1" w:lastRow="0" w:firstColumn="1" w:lastColumn="0" w:noHBand="0" w:noVBand="1"/>
      </w:tblPr>
      <w:tblGrid>
        <w:gridCol w:w="1180"/>
        <w:gridCol w:w="3010"/>
        <w:gridCol w:w="8299"/>
        <w:gridCol w:w="925"/>
        <w:gridCol w:w="1216"/>
      </w:tblGrid>
      <w:tr w:rsidR="009731F6" w:rsidRPr="009731F6" w:rsidTr="009731F6">
        <w:trPr>
          <w:trHeight w:val="690"/>
          <w:tblHeader/>
        </w:trPr>
        <w:tc>
          <w:tcPr>
            <w:tcW w:w="11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rPr>
                <w:rFonts w:cs="Arial"/>
                <w:b/>
                <w:bCs/>
                <w:szCs w:val="22"/>
              </w:rPr>
            </w:pPr>
            <w:r w:rsidRPr="009731F6">
              <w:rPr>
                <w:rFonts w:cs="Arial"/>
                <w:b/>
                <w:bCs/>
                <w:szCs w:val="22"/>
              </w:rPr>
              <w:lastRenderedPageBreak/>
              <w:t>Risk No.</w:t>
            </w:r>
          </w:p>
        </w:tc>
        <w:tc>
          <w:tcPr>
            <w:tcW w:w="3010"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Type of Risk</w:t>
            </w:r>
          </w:p>
        </w:tc>
        <w:tc>
          <w:tcPr>
            <w:tcW w:w="8299" w:type="dxa"/>
            <w:tcBorders>
              <w:top w:val="single" w:sz="8" w:space="0" w:color="auto"/>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ind w:right="5281"/>
              <w:jc w:val="center"/>
              <w:rPr>
                <w:rFonts w:cs="Arial"/>
                <w:b/>
                <w:bCs/>
                <w:szCs w:val="22"/>
              </w:rPr>
            </w:pPr>
            <w:r w:rsidRPr="009731F6">
              <w:rPr>
                <w:rFonts w:cs="Arial"/>
                <w:b/>
                <w:bCs/>
                <w:szCs w:val="22"/>
              </w:rPr>
              <w:t>Comment</w:t>
            </w:r>
          </w:p>
        </w:tc>
        <w:tc>
          <w:tcPr>
            <w:tcW w:w="925"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Risk Impact</w:t>
            </w:r>
          </w:p>
        </w:tc>
        <w:tc>
          <w:tcPr>
            <w:tcW w:w="1216" w:type="dxa"/>
            <w:tcBorders>
              <w:top w:val="single" w:sz="8" w:space="0" w:color="auto"/>
              <w:left w:val="nil"/>
              <w:bottom w:val="single" w:sz="4"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 xml:space="preserve"> Risk Likelihood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 xml:space="preserve">The Medium term financial position worsens. </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7483"/>
              </w:tabs>
              <w:ind w:right="742"/>
              <w:jc w:val="left"/>
              <w:rPr>
                <w:rFonts w:cs="Arial"/>
                <w:szCs w:val="22"/>
              </w:rPr>
            </w:pPr>
            <w:r w:rsidRPr="009731F6">
              <w:rPr>
                <w:rFonts w:cs="Arial"/>
                <w:szCs w:val="22"/>
              </w:rPr>
              <w:t>In that the general fund balance falls below the minimum prudent threshold and capital funding is insufficient to meet the capital programme. This appears as item no.8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estimate pay award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459"/>
              <w:jc w:val="left"/>
              <w:rPr>
                <w:rFonts w:cs="Arial"/>
                <w:szCs w:val="22"/>
              </w:rPr>
            </w:pPr>
            <w:r w:rsidRPr="009731F6">
              <w:rPr>
                <w:rFonts w:cs="Arial"/>
                <w:szCs w:val="22"/>
              </w:rPr>
              <w:t>The medium term planning period takes into account a 1% increase for the period 2016/17 to 2018/19</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other inflationary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Other than contractual agreements, budgets have been cash limited where possible.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10</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Interest rates resulting in significant variations in estimated interest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The interest rate has a significant impact on the proceeds from capital receipts that are invested in the money market. The volatility of the global economy continues to place uncertainty on the investment strategy.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11</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Inaccurate estimates of fees and charges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See Key Budget Indicators shown in the latest Budget Monitoring report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12</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loss of partial exemption for VAT</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If the council's expenditure on functions for which it receives income that is exempt for VAT purposes exceeds 5% of its total vat able expenditure, then the Council may lose its ability to recover VAT on all of its exempt inputs. Further letting of office space at Three Rivers House will  increase this risk</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13</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estimated cost reductions and additional income gains are not achieved</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Savings identified by the Strategic Service Review Working party is monitored as part of the budget monitoring process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lastRenderedPageBreak/>
              <w:t>14</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Council is faced with potential litigation and other employment related risks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1167"/>
              <w:jc w:val="left"/>
              <w:rPr>
                <w:rFonts w:cs="Arial"/>
                <w:szCs w:val="22"/>
              </w:rPr>
            </w:pPr>
            <w:r w:rsidRPr="009731F6">
              <w:rPr>
                <w:rFonts w:cs="Arial"/>
                <w:szCs w:val="22"/>
              </w:rPr>
              <w:t xml:space="preserve">The Council has no outstanding litigation cases.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15</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amount of government grant is adversely affected</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600"/>
              <w:jc w:val="left"/>
              <w:rPr>
                <w:rFonts w:cs="Arial"/>
                <w:szCs w:val="22"/>
              </w:rPr>
            </w:pPr>
            <w:r w:rsidRPr="009731F6">
              <w:rPr>
                <w:rFonts w:cs="Arial"/>
                <w:szCs w:val="22"/>
              </w:rPr>
              <w:t>The grant settlement for 2016/17 and provisional settlements for 2017/18 and 2018/19 have been factored into the MTFP.</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C</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16</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Localising support for council tax</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rPr>
                <w:rFonts w:cs="Arial"/>
                <w:szCs w:val="22"/>
              </w:rPr>
            </w:pPr>
            <w:r w:rsidRPr="009731F6">
              <w:rPr>
                <w:rFonts w:cs="Arial"/>
                <w:szCs w:val="22"/>
              </w:rPr>
              <w:t>The introduction of universal credits and the localising of support for Council Tax will substantially alter the administering of Housing  and Council Tax Benefits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Right to Buy Receipts &amp; VAT Shelter Receipts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 xml:space="preserve">Under the housing stock transfer with Thrive Homes Limited (THL) the Council is entitled to use its share of the proceeds to fund the capital programme. The level of activity on these income streams are outside the Council's control.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936"/>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Fluctuations in Business Rates Retention</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7483"/>
                <w:tab w:val="left" w:pos="7766"/>
              </w:tabs>
              <w:ind w:right="459"/>
              <w:jc w:val="left"/>
              <w:rPr>
                <w:rFonts w:cs="Arial"/>
                <w:szCs w:val="22"/>
              </w:rPr>
            </w:pPr>
            <w:r w:rsidRPr="009731F6">
              <w:rPr>
                <w:rFonts w:cs="Arial"/>
                <w:szCs w:val="22"/>
              </w:rPr>
              <w:t xml:space="preserve">The Council is legally obliged to cover the first 7.5% loss on its pre-determined baseline level.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C</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Failure to deliver the South Oxhey Initiative to desired outcomes and objectives</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317"/>
              <w:jc w:val="left"/>
              <w:rPr>
                <w:rFonts w:cs="Arial"/>
                <w:szCs w:val="22"/>
              </w:rPr>
            </w:pPr>
            <w:r w:rsidRPr="009731F6">
              <w:rPr>
                <w:rFonts w:cs="Arial"/>
                <w:szCs w:val="22"/>
              </w:rPr>
              <w:t>This is a key project. This appears as item no.7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20</w:t>
            </w:r>
          </w:p>
        </w:tc>
        <w:tc>
          <w:tcPr>
            <w:tcW w:w="3010"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Failure of ICT systems</w:t>
            </w:r>
          </w:p>
        </w:tc>
        <w:tc>
          <w:tcPr>
            <w:tcW w:w="8299"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459"/>
              <w:jc w:val="left"/>
              <w:rPr>
                <w:rFonts w:cs="Arial"/>
                <w:szCs w:val="22"/>
              </w:rPr>
            </w:pPr>
            <w:r w:rsidRPr="009731F6">
              <w:rPr>
                <w:rFonts w:cs="Arial"/>
                <w:szCs w:val="22"/>
              </w:rPr>
              <w:t xml:space="preserve">The Council's integrated Financial Management System (FMS) is </w:t>
            </w:r>
            <w:proofErr w:type="gramStart"/>
            <w:r w:rsidRPr="009731F6">
              <w:rPr>
                <w:rFonts w:cs="Arial"/>
                <w:szCs w:val="22"/>
              </w:rPr>
              <w:t>held  on</w:t>
            </w:r>
            <w:proofErr w:type="gramEnd"/>
            <w:r w:rsidRPr="009731F6">
              <w:rPr>
                <w:rFonts w:cs="Arial"/>
                <w:szCs w:val="22"/>
              </w:rPr>
              <w:t xml:space="preserve"> an ICT platform. If this were to fail then potentially there will be a loss of functionality occurring during any downtime. [ Risk now included as per Audit Committee's request in June 2016]</w:t>
            </w:r>
          </w:p>
        </w:tc>
        <w:tc>
          <w:tcPr>
            <w:tcW w:w="925" w:type="dxa"/>
            <w:tcBorders>
              <w:top w:val="nil"/>
              <w:left w:val="nil"/>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bl>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r>
        <w:rPr>
          <w:rFonts w:ascii="Calibri" w:eastAsia="Calibri" w:hAnsi="Calibri"/>
          <w:szCs w:val="22"/>
          <w:lang w:eastAsia="en-US"/>
        </w:rPr>
        <w:t>Note:  The serial numbers relate to the Council’s risk register and serials 1-6 do not relate to finance or budgetary risks.</w:t>
      </w: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ind w:left="567"/>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 w:val="left" w:pos="567"/>
        </w:tabs>
        <w:spacing w:after="200" w:line="276" w:lineRule="auto"/>
        <w:ind w:left="567"/>
        <w:jc w:val="left"/>
        <w:rPr>
          <w:rFonts w:eastAsia="Calibri" w:cs="Arial"/>
          <w:b/>
          <w:sz w:val="24"/>
          <w:szCs w:val="24"/>
          <w:u w:val="single"/>
          <w:lang w:eastAsia="en-US"/>
        </w:rPr>
      </w:pPr>
      <w:r w:rsidRPr="009731F6">
        <w:rPr>
          <w:rFonts w:eastAsia="Calibri" w:cs="Arial"/>
          <w:b/>
          <w:sz w:val="24"/>
          <w:szCs w:val="24"/>
          <w:u w:val="single"/>
          <w:lang w:eastAsia="en-US"/>
        </w:rPr>
        <w:t>Matrix Key</w:t>
      </w:r>
    </w:p>
    <w:tbl>
      <w:tblPr>
        <w:tblW w:w="10221" w:type="dxa"/>
        <w:tblInd w:w="392" w:type="dxa"/>
        <w:tblLook w:val="04A0" w:firstRow="1" w:lastRow="0" w:firstColumn="1" w:lastColumn="0" w:noHBand="0" w:noVBand="1"/>
      </w:tblPr>
      <w:tblGrid>
        <w:gridCol w:w="781"/>
        <w:gridCol w:w="1080"/>
        <w:gridCol w:w="1080"/>
        <w:gridCol w:w="1080"/>
        <w:gridCol w:w="1080"/>
        <w:gridCol w:w="1080"/>
        <w:gridCol w:w="1080"/>
        <w:gridCol w:w="1420"/>
        <w:gridCol w:w="1540"/>
      </w:tblGrid>
      <w:tr w:rsidR="009731F6" w:rsidRPr="009731F6" w:rsidTr="008552B0">
        <w:trPr>
          <w:trHeight w:val="690"/>
        </w:trPr>
        <w:tc>
          <w:tcPr>
            <w:tcW w:w="781"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54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Impact</w:t>
            </w:r>
          </w:p>
        </w:tc>
        <w:tc>
          <w:tcPr>
            <w:tcW w:w="142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r>
      <w:tr w:rsidR="009731F6" w:rsidRPr="009731F6" w:rsidTr="008552B0">
        <w:trPr>
          <w:trHeight w:val="1005"/>
        </w:trPr>
        <w:tc>
          <w:tcPr>
            <w:tcW w:w="781"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IV</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V</w:t>
            </w:r>
          </w:p>
        </w:tc>
        <w:tc>
          <w:tcPr>
            <w:tcW w:w="142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Likelihood</w:t>
            </w:r>
          </w:p>
        </w:tc>
        <w:tc>
          <w:tcPr>
            <w:tcW w:w="154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Impact</w:t>
            </w:r>
          </w:p>
        </w:tc>
      </w:tr>
      <w:tr w:rsidR="009731F6" w:rsidRPr="009731F6" w:rsidTr="008552B0">
        <w:trPr>
          <w:trHeight w:val="656"/>
        </w:trPr>
        <w:tc>
          <w:tcPr>
            <w:tcW w:w="78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Likelihood</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A</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A equal to/or &gt; 98%</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V - Catastrophic</w:t>
            </w:r>
          </w:p>
        </w:tc>
      </w:tr>
      <w:tr w:rsidR="009731F6" w:rsidRPr="009731F6" w:rsidTr="008552B0">
        <w:trPr>
          <w:trHeight w:val="770"/>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B</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B = 75% - 97%</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IV = Critical</w:t>
            </w:r>
          </w:p>
        </w:tc>
      </w:tr>
      <w:tr w:rsidR="009731F6" w:rsidRPr="009731F6" w:rsidTr="008552B0">
        <w:trPr>
          <w:trHeight w:val="743"/>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C</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18</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15</w:t>
            </w: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C = 50% - 74%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III = Significant</w:t>
            </w:r>
          </w:p>
        </w:tc>
      </w:tr>
      <w:tr w:rsidR="009731F6" w:rsidRPr="009731F6" w:rsidTr="008552B0">
        <w:trPr>
          <w:trHeight w:val="700"/>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D</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8,9,10</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7</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19</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D = 25% - 49%</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 = Marginal</w:t>
            </w:r>
          </w:p>
        </w:tc>
      </w:tr>
      <w:tr w:rsidR="009731F6" w:rsidRPr="009731F6" w:rsidTr="008552B0">
        <w:trPr>
          <w:trHeight w:val="672"/>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E</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12,16</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14, 20</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13,17</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11</w:t>
            </w: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E = 3% - 24%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 = Negligible</w:t>
            </w:r>
          </w:p>
        </w:tc>
      </w:tr>
      <w:tr w:rsidR="009731F6" w:rsidRPr="009731F6" w:rsidTr="008552B0">
        <w:trPr>
          <w:trHeight w:val="219"/>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6480" w:type="dxa"/>
            <w:gridSpan w:val="6"/>
            <w:tcBorders>
              <w:top w:val="nil"/>
              <w:left w:val="nil"/>
              <w:bottom w:val="single" w:sz="8" w:space="0" w:color="auto"/>
              <w:right w:val="single" w:sz="8" w:space="0" w:color="000000"/>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r>
    </w:tbl>
    <w:p w:rsidR="00CC16E5" w:rsidRDefault="00CC16E5" w:rsidP="00571154">
      <w:pPr>
        <w:ind w:left="1276" w:hanging="1276"/>
        <w:jc w:val="left"/>
      </w:pPr>
      <w:r>
        <w:fldChar w:fldCharType="begin"/>
      </w:r>
      <w:r>
        <w:instrText xml:space="preserve">  </w:instrText>
      </w:r>
      <w:r>
        <w:fldChar w:fldCharType="end"/>
      </w:r>
    </w:p>
    <w:sectPr w:rsidR="00CC16E5" w:rsidSect="009731F6">
      <w:headerReference w:type="default" r:id="rId8"/>
      <w:pgSz w:w="16834" w:h="11909" w:orient="landscape" w:code="9"/>
      <w:pgMar w:top="1418" w:right="720" w:bottom="1412"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CF" w:rsidRDefault="007804CF">
      <w:r>
        <w:separator/>
      </w:r>
    </w:p>
  </w:endnote>
  <w:endnote w:type="continuationSeparator" w:id="0">
    <w:p w:rsidR="007804CF" w:rsidRDefault="0078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CF" w:rsidRDefault="007804CF">
      <w:r>
        <w:separator/>
      </w:r>
    </w:p>
  </w:footnote>
  <w:footnote w:type="continuationSeparator" w:id="0">
    <w:p w:rsidR="007804CF" w:rsidRDefault="0078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F6" w:rsidRDefault="009731F6" w:rsidP="009731F6">
    <w:pPr>
      <w:pStyle w:val="Header"/>
      <w:jc w:val="right"/>
    </w:pPr>
    <w:r>
      <w:t>Appendix 1</w:t>
    </w:r>
  </w:p>
  <w:p w:rsidR="009731F6" w:rsidRDefault="009731F6" w:rsidP="009731F6">
    <w:pPr>
      <w:pStyle w:val="Header"/>
      <w:jc w:val="center"/>
    </w:pPr>
    <w:r w:rsidRPr="009731F6">
      <w:rPr>
        <w:rFonts w:cs="Arial"/>
        <w:b/>
        <w:bCs/>
        <w:sz w:val="24"/>
        <w:szCs w:val="24"/>
        <w:u w:val="single"/>
      </w:rPr>
      <w:t>Financial and Budgetary Risks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3814E4"/>
    <w:multiLevelType w:val="multilevel"/>
    <w:tmpl w:val="70EC66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7CA"/>
    <w:rsid w:val="00051029"/>
    <w:rsid w:val="000710A6"/>
    <w:rsid w:val="00072A82"/>
    <w:rsid w:val="00090D40"/>
    <w:rsid w:val="000D20A0"/>
    <w:rsid w:val="000D4B99"/>
    <w:rsid w:val="000D6911"/>
    <w:rsid w:val="00101D7B"/>
    <w:rsid w:val="00107D1F"/>
    <w:rsid w:val="00114717"/>
    <w:rsid w:val="00114CBA"/>
    <w:rsid w:val="00155D7C"/>
    <w:rsid w:val="00161E78"/>
    <w:rsid w:val="001847B0"/>
    <w:rsid w:val="001A4068"/>
    <w:rsid w:val="001A7082"/>
    <w:rsid w:val="001D40C7"/>
    <w:rsid w:val="001E3CF1"/>
    <w:rsid w:val="001E4F87"/>
    <w:rsid w:val="002107F8"/>
    <w:rsid w:val="00232AD3"/>
    <w:rsid w:val="00245FB9"/>
    <w:rsid w:val="0024608D"/>
    <w:rsid w:val="00257F86"/>
    <w:rsid w:val="0026558A"/>
    <w:rsid w:val="00281C37"/>
    <w:rsid w:val="00282B36"/>
    <w:rsid w:val="00282C6C"/>
    <w:rsid w:val="002944E3"/>
    <w:rsid w:val="00295EC2"/>
    <w:rsid w:val="002B0612"/>
    <w:rsid w:val="002B513E"/>
    <w:rsid w:val="002B6CBA"/>
    <w:rsid w:val="002D5875"/>
    <w:rsid w:val="002D69A9"/>
    <w:rsid w:val="002F1C35"/>
    <w:rsid w:val="002F7BC3"/>
    <w:rsid w:val="00311C81"/>
    <w:rsid w:val="0031719A"/>
    <w:rsid w:val="00323833"/>
    <w:rsid w:val="00327008"/>
    <w:rsid w:val="00351060"/>
    <w:rsid w:val="00365ADD"/>
    <w:rsid w:val="003749E5"/>
    <w:rsid w:val="00393BFD"/>
    <w:rsid w:val="003B3544"/>
    <w:rsid w:val="003C76D4"/>
    <w:rsid w:val="003D64B4"/>
    <w:rsid w:val="003E41CA"/>
    <w:rsid w:val="003F0170"/>
    <w:rsid w:val="003F540E"/>
    <w:rsid w:val="00404059"/>
    <w:rsid w:val="00407A8A"/>
    <w:rsid w:val="004228D5"/>
    <w:rsid w:val="00427F59"/>
    <w:rsid w:val="004356BA"/>
    <w:rsid w:val="00436095"/>
    <w:rsid w:val="0045057B"/>
    <w:rsid w:val="004848DD"/>
    <w:rsid w:val="00484A53"/>
    <w:rsid w:val="00495E7B"/>
    <w:rsid w:val="004A390F"/>
    <w:rsid w:val="004C431B"/>
    <w:rsid w:val="004D2846"/>
    <w:rsid w:val="004E39DB"/>
    <w:rsid w:val="004F2F3C"/>
    <w:rsid w:val="0051147B"/>
    <w:rsid w:val="00516AFD"/>
    <w:rsid w:val="00536953"/>
    <w:rsid w:val="00536B81"/>
    <w:rsid w:val="00562E62"/>
    <w:rsid w:val="005651D9"/>
    <w:rsid w:val="00566553"/>
    <w:rsid w:val="00566554"/>
    <w:rsid w:val="00570F96"/>
    <w:rsid w:val="00571154"/>
    <w:rsid w:val="0057635F"/>
    <w:rsid w:val="005A2FA4"/>
    <w:rsid w:val="005B1F5C"/>
    <w:rsid w:val="005C7FEA"/>
    <w:rsid w:val="005E087B"/>
    <w:rsid w:val="005E5A74"/>
    <w:rsid w:val="00600596"/>
    <w:rsid w:val="006023E3"/>
    <w:rsid w:val="0064394A"/>
    <w:rsid w:val="0069529D"/>
    <w:rsid w:val="006A7B67"/>
    <w:rsid w:val="006C7694"/>
    <w:rsid w:val="006D45A5"/>
    <w:rsid w:val="006D4C70"/>
    <w:rsid w:val="006D69EB"/>
    <w:rsid w:val="006E4787"/>
    <w:rsid w:val="006F2B4E"/>
    <w:rsid w:val="007016DA"/>
    <w:rsid w:val="0070536D"/>
    <w:rsid w:val="00723221"/>
    <w:rsid w:val="00725802"/>
    <w:rsid w:val="0073123A"/>
    <w:rsid w:val="007321B3"/>
    <w:rsid w:val="00734739"/>
    <w:rsid w:val="007378A4"/>
    <w:rsid w:val="00740CA5"/>
    <w:rsid w:val="00741C35"/>
    <w:rsid w:val="00747389"/>
    <w:rsid w:val="007474C3"/>
    <w:rsid w:val="00751BB9"/>
    <w:rsid w:val="00753CE4"/>
    <w:rsid w:val="00753E1B"/>
    <w:rsid w:val="00760136"/>
    <w:rsid w:val="00762C4D"/>
    <w:rsid w:val="007804CF"/>
    <w:rsid w:val="0078449A"/>
    <w:rsid w:val="0079280D"/>
    <w:rsid w:val="00793C12"/>
    <w:rsid w:val="00795A9B"/>
    <w:rsid w:val="007B7292"/>
    <w:rsid w:val="007D1FFF"/>
    <w:rsid w:val="007D28F4"/>
    <w:rsid w:val="007D369D"/>
    <w:rsid w:val="007D5741"/>
    <w:rsid w:val="007E3C32"/>
    <w:rsid w:val="007E7CB3"/>
    <w:rsid w:val="007F69AD"/>
    <w:rsid w:val="007F7E2A"/>
    <w:rsid w:val="008035B2"/>
    <w:rsid w:val="00810B7E"/>
    <w:rsid w:val="008531C1"/>
    <w:rsid w:val="00855990"/>
    <w:rsid w:val="00857CA1"/>
    <w:rsid w:val="00857CDE"/>
    <w:rsid w:val="00860D2A"/>
    <w:rsid w:val="00864235"/>
    <w:rsid w:val="00864C7F"/>
    <w:rsid w:val="00871349"/>
    <w:rsid w:val="008723B7"/>
    <w:rsid w:val="00872E4A"/>
    <w:rsid w:val="00885CF3"/>
    <w:rsid w:val="008A14B4"/>
    <w:rsid w:val="008A41A7"/>
    <w:rsid w:val="008A4323"/>
    <w:rsid w:val="008B717A"/>
    <w:rsid w:val="008D2678"/>
    <w:rsid w:val="008D40EB"/>
    <w:rsid w:val="008E17F5"/>
    <w:rsid w:val="009176D3"/>
    <w:rsid w:val="009268B0"/>
    <w:rsid w:val="00940A0A"/>
    <w:rsid w:val="009424C0"/>
    <w:rsid w:val="009445E5"/>
    <w:rsid w:val="00955BD0"/>
    <w:rsid w:val="009604B3"/>
    <w:rsid w:val="00962F5D"/>
    <w:rsid w:val="0096525A"/>
    <w:rsid w:val="009731F6"/>
    <w:rsid w:val="0097656A"/>
    <w:rsid w:val="00996255"/>
    <w:rsid w:val="009B56ED"/>
    <w:rsid w:val="009F2C3E"/>
    <w:rsid w:val="00A0131C"/>
    <w:rsid w:val="00A07E50"/>
    <w:rsid w:val="00A146F6"/>
    <w:rsid w:val="00A20960"/>
    <w:rsid w:val="00A22939"/>
    <w:rsid w:val="00A302AE"/>
    <w:rsid w:val="00A42CAC"/>
    <w:rsid w:val="00A71D22"/>
    <w:rsid w:val="00A7398B"/>
    <w:rsid w:val="00A75AFE"/>
    <w:rsid w:val="00A85174"/>
    <w:rsid w:val="00A922E0"/>
    <w:rsid w:val="00AA7D48"/>
    <w:rsid w:val="00AC2BE9"/>
    <w:rsid w:val="00AC3AB8"/>
    <w:rsid w:val="00AD7CDF"/>
    <w:rsid w:val="00AE5251"/>
    <w:rsid w:val="00AF17DC"/>
    <w:rsid w:val="00B17F0A"/>
    <w:rsid w:val="00B2027E"/>
    <w:rsid w:val="00B228B1"/>
    <w:rsid w:val="00B33BFB"/>
    <w:rsid w:val="00B3792C"/>
    <w:rsid w:val="00B42EB4"/>
    <w:rsid w:val="00B439BD"/>
    <w:rsid w:val="00B43C75"/>
    <w:rsid w:val="00B44C5F"/>
    <w:rsid w:val="00B56FBE"/>
    <w:rsid w:val="00B57C12"/>
    <w:rsid w:val="00B74564"/>
    <w:rsid w:val="00B7461B"/>
    <w:rsid w:val="00BA46C1"/>
    <w:rsid w:val="00BB0025"/>
    <w:rsid w:val="00BB7105"/>
    <w:rsid w:val="00BC2D43"/>
    <w:rsid w:val="00BD2217"/>
    <w:rsid w:val="00BD584E"/>
    <w:rsid w:val="00BE2305"/>
    <w:rsid w:val="00C13126"/>
    <w:rsid w:val="00C17F08"/>
    <w:rsid w:val="00C258F7"/>
    <w:rsid w:val="00C26192"/>
    <w:rsid w:val="00C30793"/>
    <w:rsid w:val="00C36359"/>
    <w:rsid w:val="00C5170B"/>
    <w:rsid w:val="00C814DB"/>
    <w:rsid w:val="00C854C8"/>
    <w:rsid w:val="00CA64A1"/>
    <w:rsid w:val="00CC16E5"/>
    <w:rsid w:val="00CC285C"/>
    <w:rsid w:val="00CC2F84"/>
    <w:rsid w:val="00CD7353"/>
    <w:rsid w:val="00CE0694"/>
    <w:rsid w:val="00CE15FA"/>
    <w:rsid w:val="00CE415B"/>
    <w:rsid w:val="00CE64F9"/>
    <w:rsid w:val="00CF56BA"/>
    <w:rsid w:val="00D13FCB"/>
    <w:rsid w:val="00D253E2"/>
    <w:rsid w:val="00D27EBA"/>
    <w:rsid w:val="00D46785"/>
    <w:rsid w:val="00D537F4"/>
    <w:rsid w:val="00D5550D"/>
    <w:rsid w:val="00D7356D"/>
    <w:rsid w:val="00D808AA"/>
    <w:rsid w:val="00D93D5C"/>
    <w:rsid w:val="00DC2984"/>
    <w:rsid w:val="00DC3595"/>
    <w:rsid w:val="00DE55D8"/>
    <w:rsid w:val="00DF0C54"/>
    <w:rsid w:val="00E225B7"/>
    <w:rsid w:val="00E275BB"/>
    <w:rsid w:val="00E27967"/>
    <w:rsid w:val="00E31775"/>
    <w:rsid w:val="00E31A0B"/>
    <w:rsid w:val="00E3583A"/>
    <w:rsid w:val="00E55D35"/>
    <w:rsid w:val="00E562BA"/>
    <w:rsid w:val="00E754EE"/>
    <w:rsid w:val="00E777DC"/>
    <w:rsid w:val="00E875A5"/>
    <w:rsid w:val="00EA092C"/>
    <w:rsid w:val="00EA0F6F"/>
    <w:rsid w:val="00EA46C8"/>
    <w:rsid w:val="00EA6181"/>
    <w:rsid w:val="00EA6779"/>
    <w:rsid w:val="00EB39A0"/>
    <w:rsid w:val="00EB44CF"/>
    <w:rsid w:val="00EC29C9"/>
    <w:rsid w:val="00EC6CB0"/>
    <w:rsid w:val="00ED08D8"/>
    <w:rsid w:val="00ED7686"/>
    <w:rsid w:val="00EE7937"/>
    <w:rsid w:val="00EE7B91"/>
    <w:rsid w:val="00EF1B52"/>
    <w:rsid w:val="00F01C01"/>
    <w:rsid w:val="00F14A9C"/>
    <w:rsid w:val="00F16851"/>
    <w:rsid w:val="00F20914"/>
    <w:rsid w:val="00F223DA"/>
    <w:rsid w:val="00F35878"/>
    <w:rsid w:val="00F456E2"/>
    <w:rsid w:val="00F60F7B"/>
    <w:rsid w:val="00F65C76"/>
    <w:rsid w:val="00F70E26"/>
    <w:rsid w:val="00F72C39"/>
    <w:rsid w:val="00F825F8"/>
    <w:rsid w:val="00F8298A"/>
    <w:rsid w:val="00F9168A"/>
    <w:rsid w:val="00FC3DD7"/>
    <w:rsid w:val="00FC5398"/>
    <w:rsid w:val="00FC6F84"/>
    <w:rsid w:val="00FD56DE"/>
    <w:rsid w:val="00FF31A7"/>
    <w:rsid w:val="00FF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Sarah Haythorpe</cp:lastModifiedBy>
  <cp:revision>3</cp:revision>
  <cp:lastPrinted>2016-09-19T14:47:00Z</cp:lastPrinted>
  <dcterms:created xsi:type="dcterms:W3CDTF">2016-09-19T13:35:00Z</dcterms:created>
  <dcterms:modified xsi:type="dcterms:W3CDTF">2016-09-19T14:47:00Z</dcterms:modified>
</cp:coreProperties>
</file>