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23" w:rsidRPr="00293AC7" w:rsidRDefault="00246F04" w:rsidP="004E7B23">
      <w:pPr>
        <w:pStyle w:val="CBoldCentre"/>
      </w:pPr>
      <w:r>
        <w:t xml:space="preserve">INFRASTRUCTURE, HOUSING AND ECONOMIC DEVELOPMENT </w:t>
      </w:r>
      <w:r w:rsidR="004E7B23" w:rsidRPr="004943D6">
        <w:t>COMMITTEE</w:t>
      </w:r>
      <w:r w:rsidR="00BC5F05">
        <w:t xml:space="preserve"> – 11 AUGUST 2020</w:t>
      </w:r>
      <w:r w:rsidR="00EA5C5E" w:rsidRPr="00293AC7">
        <w:t xml:space="preserve"> </w:t>
      </w:r>
    </w:p>
    <w:p w:rsidR="004E7B23" w:rsidRPr="005A4064" w:rsidRDefault="004E7B23" w:rsidP="00A23D19">
      <w:pPr>
        <w:pStyle w:val="CIndent"/>
        <w:jc w:val="center"/>
        <w:rPr>
          <w:b/>
        </w:rPr>
      </w:pPr>
      <w:r w:rsidRPr="005A4064">
        <w:rPr>
          <w:b/>
        </w:rPr>
        <w:t xml:space="preserve">PART </w:t>
      </w:r>
      <w:r w:rsidR="00E6659E" w:rsidRPr="005A4064">
        <w:rPr>
          <w:b/>
        </w:rPr>
        <w:t>I</w:t>
      </w:r>
      <w:r w:rsidR="005A4064" w:rsidRPr="005A4064">
        <w:rPr>
          <w:b/>
        </w:rPr>
        <w:t xml:space="preserve"> - DELEGATED</w:t>
      </w:r>
    </w:p>
    <w:p w:rsidR="004E7B23" w:rsidRDefault="00BC5F05" w:rsidP="00A23D19">
      <w:pPr>
        <w:pStyle w:val="CBoldCentre"/>
        <w:jc w:val="left"/>
      </w:pPr>
      <w:r>
        <w:t>5.</w:t>
      </w:r>
      <w:r>
        <w:tab/>
      </w:r>
      <w:r w:rsidR="005A4064">
        <w:t xml:space="preserve">  </w:t>
      </w:r>
      <w:r w:rsidR="002B1F98">
        <w:t xml:space="preserve">HOUSING ALLOCATIONS POLICY </w:t>
      </w:r>
      <w:r w:rsidR="007E6370">
        <w:t>COMPARISON 2013-</w:t>
      </w:r>
      <w:r w:rsidR="002B1F98">
        <w:t>2020</w:t>
      </w:r>
    </w:p>
    <w:p w:rsidR="004E7B23" w:rsidRDefault="007E6370" w:rsidP="005A4064">
      <w:pPr>
        <w:pStyle w:val="CBoldCentre"/>
        <w:ind w:left="131" w:firstLine="720"/>
        <w:jc w:val="left"/>
        <w:rPr>
          <w:color w:val="00B050"/>
        </w:rPr>
      </w:pPr>
      <w:r>
        <w:t>(DCES</w:t>
      </w:r>
      <w:r w:rsidR="00053BF1">
        <w:t>)</w:t>
      </w:r>
    </w:p>
    <w:p w:rsidR="002B1F98" w:rsidRDefault="002B1F98" w:rsidP="002B1F98">
      <w:pPr>
        <w:pStyle w:val="CBoldCentre"/>
        <w:jc w:val="left"/>
      </w:pPr>
    </w:p>
    <w:p w:rsidR="004E7B23" w:rsidRPr="00E92C34" w:rsidRDefault="001B4DCC" w:rsidP="004E7B23">
      <w:pPr>
        <w:pStyle w:val="C1"/>
      </w:pPr>
      <w:r>
        <w:t>Summary</w:t>
      </w:r>
    </w:p>
    <w:p w:rsidR="002B1F98" w:rsidRPr="002B1F98" w:rsidRDefault="002B1F98" w:rsidP="002B1F98">
      <w:pPr>
        <w:pStyle w:val="C2"/>
      </w:pPr>
      <w:r w:rsidRPr="002B1F98">
        <w:t xml:space="preserve">To provide </w:t>
      </w:r>
      <w:r w:rsidR="007E6370">
        <w:t>the Committee</w:t>
      </w:r>
      <w:r w:rsidRPr="002B1F98">
        <w:t xml:space="preserve"> with an overview of the proposed changes to the way the Council allocates affordable rented accommodation through the Housing Register (the waiting list). </w:t>
      </w:r>
    </w:p>
    <w:p w:rsidR="00D85FA1" w:rsidRDefault="00271601" w:rsidP="00D85FA1">
      <w:pPr>
        <w:pStyle w:val="C2"/>
      </w:pPr>
      <w:r>
        <w:t>The overview of the proposed changes between the current Housing Allocations Policy and the draft Housing Allocations Policy 2020 is in the form</w:t>
      </w:r>
      <w:r w:rsidR="005D7CAE">
        <w:t>at of a comparison document. The comparison</w:t>
      </w:r>
      <w:r>
        <w:t xml:space="preserve"> document is </w:t>
      </w:r>
      <w:r w:rsidR="007E6370">
        <w:t xml:space="preserve">shown in </w:t>
      </w:r>
      <w:r w:rsidR="000741AD" w:rsidRPr="000741AD">
        <w:t xml:space="preserve">Appendix </w:t>
      </w:r>
      <w:r w:rsidR="007E6370">
        <w:t>O</w:t>
      </w:r>
      <w:r w:rsidR="000741AD" w:rsidRPr="000741AD">
        <w:t>ne</w:t>
      </w:r>
      <w:r w:rsidR="000741AD">
        <w:t>.</w:t>
      </w:r>
    </w:p>
    <w:p w:rsidR="000C5784" w:rsidRPr="000C5784" w:rsidRDefault="00BB707E" w:rsidP="000C5784">
      <w:pPr>
        <w:pStyle w:val="C1"/>
      </w:pPr>
      <w:r>
        <w:t>Details</w:t>
      </w:r>
    </w:p>
    <w:p w:rsidR="004E7B23" w:rsidRPr="00932329" w:rsidRDefault="000741AD" w:rsidP="00932329">
      <w:pPr>
        <w:pStyle w:val="C2"/>
        <w:rPr>
          <w:color w:val="00B050"/>
        </w:rPr>
      </w:pPr>
      <w:r>
        <w:t xml:space="preserve">The Housing Allocations Policy </w:t>
      </w:r>
      <w:r w:rsidR="00E96726">
        <w:t>must</w:t>
      </w:r>
      <w:r>
        <w:t xml:space="preserve"> incorporate </w:t>
      </w:r>
      <w:r w:rsidR="00932329" w:rsidRPr="00932329">
        <w:t xml:space="preserve">Government guidance </w:t>
      </w:r>
      <w:r w:rsidR="00EC396D">
        <w:t>relating to the allocation</w:t>
      </w:r>
      <w:r w:rsidR="00FF05E5">
        <w:t xml:space="preserve"> of social housing and </w:t>
      </w:r>
      <w:r w:rsidR="00EC396D">
        <w:t xml:space="preserve">housing </w:t>
      </w:r>
      <w:r w:rsidR="00FF05E5">
        <w:t xml:space="preserve">legislation </w:t>
      </w:r>
      <w:r w:rsidR="00EC396D">
        <w:t>released since the Housing Allocations Policy w</w:t>
      </w:r>
      <w:r>
        <w:t>as last updated in October 2013.</w:t>
      </w:r>
    </w:p>
    <w:p w:rsidR="00053BF1" w:rsidRDefault="00EC396D" w:rsidP="004E7B23">
      <w:pPr>
        <w:pStyle w:val="C3"/>
      </w:pPr>
      <w:r>
        <w:t>This in particular includes guidance around HM Forces personnel and their families</w:t>
      </w:r>
      <w:r w:rsidR="00C954DF">
        <w:t>,</w:t>
      </w:r>
      <w:r>
        <w:t xml:space="preserve"> the ‘Right to Move’</w:t>
      </w:r>
      <w:r w:rsidR="00C954DF">
        <w:t xml:space="preserve">, victims of domestic abuse and </w:t>
      </w:r>
      <w:r w:rsidR="001B2905">
        <w:t>the Homelessness Reduction Act 2017.</w:t>
      </w:r>
    </w:p>
    <w:p w:rsidR="001B2905" w:rsidRDefault="001B2905" w:rsidP="001B2905">
      <w:pPr>
        <w:pStyle w:val="C2"/>
      </w:pPr>
      <w:r>
        <w:t>The qualification criteria has been amended to ensure customers who qualify to join the Housing Register have tangible links to the district.</w:t>
      </w:r>
      <w:r w:rsidR="00E96726">
        <w:t xml:space="preserve"> </w:t>
      </w:r>
      <w:r w:rsidR="00E909FE">
        <w:t>Equally</w:t>
      </w:r>
      <w:r w:rsidR="00E96726">
        <w:t xml:space="preserve">, it ensures groups </w:t>
      </w:r>
      <w:r w:rsidR="00E909FE">
        <w:t xml:space="preserve">of </w:t>
      </w:r>
      <w:r w:rsidR="00E96726">
        <w:t xml:space="preserve">customers who are disadvantaged by local connection qualifying </w:t>
      </w:r>
      <w:r w:rsidR="00E909FE">
        <w:t>criteria by nature</w:t>
      </w:r>
      <w:r w:rsidR="00E96726">
        <w:t xml:space="preserve"> are not </w:t>
      </w:r>
      <w:r w:rsidR="005D7CAE">
        <w:t xml:space="preserve">automatically </w:t>
      </w:r>
      <w:r w:rsidR="00E96726">
        <w:t>excluded from</w:t>
      </w:r>
      <w:r w:rsidR="00E909FE">
        <w:t xml:space="preserve"> qualifying to join the Housing Register.</w:t>
      </w:r>
    </w:p>
    <w:p w:rsidR="00053BF1" w:rsidRPr="000C5784" w:rsidRDefault="001B2905" w:rsidP="00762022">
      <w:pPr>
        <w:pStyle w:val="C2"/>
      </w:pPr>
      <w:r>
        <w:t>The priority banding scheme has been amended to better reflect the housing need of customers approaching the Council’s fo</w:t>
      </w:r>
      <w:r w:rsidR="00207D1D">
        <w:t>r housing advice and assistance. This includes making provisions for customers with multiple needs to be awarded higher priority on the Housing Register.</w:t>
      </w:r>
      <w:r w:rsidRPr="00762022">
        <w:rPr>
          <w:color w:val="00B050"/>
        </w:rPr>
        <w:tab/>
      </w:r>
    </w:p>
    <w:p w:rsidR="000C5784" w:rsidRDefault="007203F8" w:rsidP="00762022">
      <w:pPr>
        <w:pStyle w:val="C2"/>
      </w:pPr>
      <w:r>
        <w:t>Other</w:t>
      </w:r>
      <w:r w:rsidR="008A24A0">
        <w:t xml:space="preserve"> amendments detailed in the comparison document</w:t>
      </w:r>
      <w:r>
        <w:t xml:space="preserve"> ensure</w:t>
      </w:r>
      <w:r w:rsidR="00FC5E7D">
        <w:t>s</w:t>
      </w:r>
      <w:r>
        <w:t xml:space="preserve"> the Policy is inclusive and </w:t>
      </w:r>
      <w:r w:rsidR="007C086A">
        <w:t>affordable rented</w:t>
      </w:r>
      <w:r>
        <w:t xml:space="preserve"> housing is a viable </w:t>
      </w:r>
      <w:r w:rsidR="007C086A">
        <w:t xml:space="preserve">housing </w:t>
      </w:r>
      <w:r>
        <w:t>option for Three Rivers</w:t>
      </w:r>
      <w:r w:rsidR="00E6659E">
        <w:t>’</w:t>
      </w:r>
      <w:r>
        <w:t xml:space="preserve"> residents who are unable to access other housing tenures. </w:t>
      </w:r>
    </w:p>
    <w:p w:rsidR="00D85FA1" w:rsidRDefault="00D85FA1" w:rsidP="00762022">
      <w:pPr>
        <w:pStyle w:val="C2"/>
      </w:pPr>
      <w:r>
        <w:t xml:space="preserve">The proposed changes are to be reviewed by Committee prior to statutory consultation with members of the public and our partners. </w:t>
      </w:r>
    </w:p>
    <w:p w:rsidR="00D85FA1" w:rsidRPr="000C5784" w:rsidRDefault="00D85FA1" w:rsidP="00762022">
      <w:pPr>
        <w:pStyle w:val="C2"/>
      </w:pPr>
      <w:r>
        <w:t>Following consultation, the final proposed Housing Allocations Policy will be brought back to a future Committee meeting for agreement.</w:t>
      </w:r>
    </w:p>
    <w:p w:rsidR="004E7B23" w:rsidRDefault="004E7B23" w:rsidP="004E7B23">
      <w:pPr>
        <w:pStyle w:val="C1"/>
      </w:pPr>
      <w:r>
        <w:t>Options and Reasons for Recommendations</w:t>
      </w:r>
    </w:p>
    <w:p w:rsidR="004E7B23" w:rsidRDefault="00DA3CDA" w:rsidP="00DA3CDA">
      <w:pPr>
        <w:pStyle w:val="C2"/>
      </w:pPr>
      <w:r w:rsidRPr="000C5784">
        <w:t xml:space="preserve">The Housing Allocations Policy comparison document is approved by </w:t>
      </w:r>
      <w:r w:rsidR="007E6370">
        <w:t>the Committee</w:t>
      </w:r>
      <w:r w:rsidRPr="000C5784">
        <w:t xml:space="preserve">. </w:t>
      </w:r>
    </w:p>
    <w:p w:rsidR="00642418" w:rsidRPr="000C5784" w:rsidRDefault="00642418" w:rsidP="00DA3CDA">
      <w:pPr>
        <w:pStyle w:val="C2"/>
      </w:pPr>
      <w:r>
        <w:t>The reason for this recommendation is to ensure the Council’</w:t>
      </w:r>
      <w:r w:rsidR="00C96DA9">
        <w:t xml:space="preserve">s </w:t>
      </w:r>
      <w:r w:rsidR="007E6370">
        <w:t>H</w:t>
      </w:r>
      <w:r w:rsidR="00C96DA9">
        <w:t xml:space="preserve">ousing </w:t>
      </w:r>
      <w:r w:rsidR="007E6370">
        <w:t>A</w:t>
      </w:r>
      <w:r w:rsidR="00C96DA9">
        <w:t xml:space="preserve">llocations </w:t>
      </w:r>
      <w:r w:rsidR="007E6370">
        <w:t>P</w:t>
      </w:r>
      <w:r>
        <w:t>olicy is fit for purpose, recognises the local needs of housing customers in the district and incorporates all relevant legislation and Government guidance.</w:t>
      </w:r>
    </w:p>
    <w:p w:rsidR="004E7B23" w:rsidRPr="00C41258" w:rsidRDefault="004E7B23" w:rsidP="004E7B23">
      <w:pPr>
        <w:pStyle w:val="C1"/>
      </w:pPr>
      <w:r w:rsidRPr="00C41258">
        <w:t>Policy/Budget Reference and Implications</w:t>
      </w:r>
    </w:p>
    <w:p w:rsidR="004E7B23" w:rsidRPr="00DB16F7" w:rsidRDefault="004E7B23" w:rsidP="005A283A">
      <w:pPr>
        <w:pStyle w:val="C2"/>
      </w:pPr>
      <w:r>
        <w:lastRenderedPageBreak/>
        <w:t xml:space="preserve">The </w:t>
      </w:r>
      <w:r w:rsidR="00474898" w:rsidRPr="0031443D">
        <w:t>recommendations in this report are within the Council’s agreed policy and budgets.  The relevant policy is entitled the Council’s Strategic Plan</w:t>
      </w:r>
      <w:r w:rsidR="00474898">
        <w:t>.</w:t>
      </w:r>
    </w:p>
    <w:p w:rsidR="004E7B23" w:rsidRDefault="004E7B23" w:rsidP="00AD78A1">
      <w:pPr>
        <w:pStyle w:val="C2"/>
      </w:pPr>
      <w:r>
        <w:t xml:space="preserve">The </w:t>
      </w:r>
      <w:r w:rsidRPr="00AD78A1">
        <w:t>recommendations</w:t>
      </w:r>
      <w:r>
        <w:t xml:space="preserve"> in this report relate to the achievement of the fo</w:t>
      </w:r>
      <w:r w:rsidR="00AD78A1">
        <w:t>llowing performance indicators</w:t>
      </w:r>
      <w:r w:rsidR="005A283A">
        <w:t>.</w:t>
      </w:r>
    </w:p>
    <w:p w:rsidR="00474898" w:rsidRPr="00CD11BA" w:rsidRDefault="00474898" w:rsidP="00474898">
      <w:pPr>
        <w:pStyle w:val="C3"/>
      </w:pPr>
      <w:r w:rsidRPr="00CD11BA">
        <w:t>HN01</w:t>
      </w:r>
      <w:r w:rsidRPr="00CD11BA">
        <w:tab/>
        <w:t>- Maximum number of households living in temporary accommodation on the last day of the quarter (snapshot)</w:t>
      </w:r>
    </w:p>
    <w:p w:rsidR="00474898" w:rsidRPr="00CD11BA" w:rsidRDefault="00474898" w:rsidP="00474898">
      <w:pPr>
        <w:pStyle w:val="C3"/>
      </w:pPr>
      <w:r w:rsidRPr="00CD11BA">
        <w:t>HN02</w:t>
      </w:r>
      <w:r w:rsidRPr="00CD11BA">
        <w:tab/>
        <w:t>- Maximum number of families in Bed &amp; Breakfast for more than six weeks</w:t>
      </w:r>
    </w:p>
    <w:p w:rsidR="00474898" w:rsidRPr="00CD11BA" w:rsidRDefault="00474898" w:rsidP="00474898">
      <w:pPr>
        <w:pStyle w:val="C3"/>
      </w:pPr>
      <w:r w:rsidRPr="00CD11BA">
        <w:t>HN03</w:t>
      </w:r>
      <w:r w:rsidRPr="00CD11BA">
        <w:tab/>
        <w:t>- Maximum number of  households in temporary accommodation throughout the year</w:t>
      </w:r>
    </w:p>
    <w:p w:rsidR="00474898" w:rsidRPr="00CD11BA" w:rsidRDefault="00474898" w:rsidP="00474898">
      <w:pPr>
        <w:pStyle w:val="C3"/>
      </w:pPr>
      <w:r w:rsidRPr="00CD11BA">
        <w:t>HN10</w:t>
      </w:r>
      <w:r w:rsidRPr="00CD11BA">
        <w:tab/>
        <w:t>- Number of households prevented from becoming homeless</w:t>
      </w:r>
    </w:p>
    <w:p w:rsidR="004E7B23" w:rsidRDefault="004E7B23" w:rsidP="004E7B23">
      <w:pPr>
        <w:pStyle w:val="C2"/>
      </w:pPr>
      <w:r>
        <w:t>The impact of the recommendations on this/these performance indicator(s) is:</w:t>
      </w:r>
    </w:p>
    <w:p w:rsidR="00441AC4" w:rsidRDefault="001D3E9A" w:rsidP="00441AC4">
      <w:pPr>
        <w:pStyle w:val="C3"/>
      </w:pPr>
      <w:r>
        <w:t>The</w:t>
      </w:r>
      <w:r w:rsidR="00D3735A">
        <w:t xml:space="preserve"> </w:t>
      </w:r>
      <w:r>
        <w:t xml:space="preserve">proposed </w:t>
      </w:r>
      <w:r w:rsidR="00391C9C">
        <w:t>pri</w:t>
      </w:r>
      <w:r w:rsidR="00D63E37">
        <w:t xml:space="preserve">ority awarded to customers in priority need and owed the ‘Relief duty’ will allow some customers </w:t>
      </w:r>
      <w:r w:rsidR="000262A1">
        <w:t xml:space="preserve">living in temporary accommodation </w:t>
      </w:r>
      <w:r w:rsidR="00D63E37">
        <w:t xml:space="preserve">to move into </w:t>
      </w:r>
      <w:r w:rsidR="007C086A">
        <w:t>‘</w:t>
      </w:r>
      <w:r w:rsidR="00D63E37">
        <w:t>permanent</w:t>
      </w:r>
      <w:r w:rsidR="007C086A">
        <w:t>’</w:t>
      </w:r>
      <w:r w:rsidR="00D63E37">
        <w:t xml:space="preserve"> accommodation </w:t>
      </w:r>
      <w:r w:rsidR="000262A1">
        <w:t xml:space="preserve">at </w:t>
      </w:r>
      <w:r w:rsidR="007E49EF">
        <w:t>an earlier stage during</w:t>
      </w:r>
      <w:r w:rsidR="007E6370">
        <w:t xml:space="preserve"> the </w:t>
      </w:r>
      <w:r w:rsidR="007E49EF">
        <w:t>homeless application</w:t>
      </w:r>
      <w:r w:rsidR="007E6370">
        <w:t xml:space="preserve"> process</w:t>
      </w:r>
      <w:r w:rsidR="007731CA">
        <w:t>.</w:t>
      </w:r>
      <w:r w:rsidR="000262A1">
        <w:t xml:space="preserve"> </w:t>
      </w:r>
    </w:p>
    <w:p w:rsidR="00F83323" w:rsidRDefault="001D3E9A" w:rsidP="00441AC4">
      <w:pPr>
        <w:pStyle w:val="C3"/>
      </w:pPr>
      <w:r>
        <w:t>The proposed</w:t>
      </w:r>
      <w:r w:rsidR="00D3735A">
        <w:t xml:space="preserve"> p</w:t>
      </w:r>
      <w:r w:rsidR="00F83323">
        <w:t xml:space="preserve">riority awarded to customers owed the ‘Prevent duty’ </w:t>
      </w:r>
      <w:r w:rsidR="00005135">
        <w:t xml:space="preserve">will prevent the homelessness of some customers who </w:t>
      </w:r>
      <w:r w:rsidR="00A95188">
        <w:t>may be</w:t>
      </w:r>
      <w:r w:rsidR="00005135">
        <w:t xml:space="preserve"> rehoused through the Housing Register before they </w:t>
      </w:r>
      <w:r w:rsidR="00A95188">
        <w:t>need</w:t>
      </w:r>
      <w:r w:rsidR="00005135">
        <w:t xml:space="preserve"> to leave their existing accommodation.</w:t>
      </w:r>
      <w:r w:rsidR="007731CA">
        <w:t xml:space="preserve"> </w:t>
      </w:r>
    </w:p>
    <w:p w:rsidR="00E909FE" w:rsidRDefault="00E909FE" w:rsidP="00441AC4">
      <w:pPr>
        <w:pStyle w:val="C3"/>
      </w:pPr>
      <w:r>
        <w:t xml:space="preserve">The introduction of composite needs (customers with multiple needs) </w:t>
      </w:r>
      <w:r w:rsidR="00D51FE6">
        <w:t xml:space="preserve">may encourage </w:t>
      </w:r>
      <w:r w:rsidR="00A95188">
        <w:t xml:space="preserve">some </w:t>
      </w:r>
      <w:r w:rsidR="00D51FE6">
        <w:t xml:space="preserve">customers living in unsuitable housing to remain in their current home if they feel they have a realistic prospect of being rehoused through the Housing Register. Without the provision of composite needs, customers living in housing they feel is so unsuitable </w:t>
      </w:r>
      <w:r w:rsidR="00A95188">
        <w:t>may choose to make</w:t>
      </w:r>
      <w:r w:rsidR="00D51FE6">
        <w:t xml:space="preserve"> a homeless application.</w:t>
      </w:r>
    </w:p>
    <w:p w:rsidR="007731CA" w:rsidRDefault="00C078C9" w:rsidP="00441AC4">
      <w:pPr>
        <w:pStyle w:val="C3"/>
      </w:pPr>
      <w:r>
        <w:t>The proposed changes will assist the Council to prevent homelessness (</w:t>
      </w:r>
      <w:r w:rsidR="000A6382">
        <w:t>HN10) and</w:t>
      </w:r>
      <w:r>
        <w:t xml:space="preserve"> reduce the demand on temporary accommodation (HN01, HN03)</w:t>
      </w:r>
      <w:r w:rsidR="000A6382">
        <w:t>. This in turn should negate the need to use bed and breakfast accommodation for families except in absolute emergencies (HN02).</w:t>
      </w:r>
    </w:p>
    <w:p w:rsidR="002D2F09" w:rsidRDefault="004E7B23" w:rsidP="007E6370">
      <w:pPr>
        <w:pStyle w:val="C1"/>
      </w:pPr>
      <w:r w:rsidRPr="00C41258">
        <w:t>Financial, Legal, Staffing, Environmental, Community Safety, Public Health, Customer Services Centre, Communications &amp; Website, Risk Management and Health &amp; Safety Implications</w:t>
      </w:r>
    </w:p>
    <w:p w:rsidR="007E6370" w:rsidRPr="007E6370" w:rsidRDefault="007E6370" w:rsidP="007E6370">
      <w:pPr>
        <w:pStyle w:val="C2"/>
      </w:pPr>
      <w:r>
        <w:t>None</w:t>
      </w:r>
      <w:r w:rsidR="005A4064">
        <w:t xml:space="preserve"> specific.</w:t>
      </w:r>
    </w:p>
    <w:p w:rsidR="004E7B23" w:rsidRPr="00C41258" w:rsidRDefault="004E7B23" w:rsidP="004E7B23">
      <w:pPr>
        <w:pStyle w:val="C1"/>
      </w:pPr>
      <w:r w:rsidRPr="00C41258">
        <w:t>Equal Opportunities Implications</w:t>
      </w:r>
    </w:p>
    <w:p w:rsidR="004E7B23" w:rsidRDefault="004E7B23" w:rsidP="004E7B23">
      <w:pPr>
        <w:pStyle w:val="C2"/>
      </w:pPr>
      <w:r>
        <w:t>Relevance Test</w:t>
      </w:r>
    </w:p>
    <w:tbl>
      <w:tblPr>
        <w:tblW w:w="808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4E7B23" w:rsidRPr="00A73AAD" w:rsidTr="00180935">
        <w:tc>
          <w:tcPr>
            <w:tcW w:w="6096" w:type="dxa"/>
          </w:tcPr>
          <w:p w:rsidR="004E7B23" w:rsidRPr="00A73AAD" w:rsidRDefault="004E7B23" w:rsidP="00A73AAD">
            <w:r w:rsidRPr="00A73AAD">
              <w:t>Has a relevance test been completed for Equality Impact?</w:t>
            </w:r>
          </w:p>
          <w:p w:rsidR="004E7B23" w:rsidRPr="00A73AAD" w:rsidRDefault="00E6659E" w:rsidP="00E6659E">
            <w:pPr>
              <w:jc w:val="both"/>
            </w:pPr>
            <w:r>
              <w:t xml:space="preserve">A relevance test </w:t>
            </w:r>
            <w:r w:rsidR="00271601" w:rsidRPr="00826520">
              <w:t>will be complete when the full Housing Allocations Policy is submitted to committee for consideration.</w:t>
            </w:r>
            <w:r w:rsidR="004E7B23" w:rsidRPr="00826520">
              <w:t xml:space="preserve"> </w:t>
            </w:r>
          </w:p>
        </w:tc>
        <w:tc>
          <w:tcPr>
            <w:tcW w:w="1984" w:type="dxa"/>
          </w:tcPr>
          <w:p w:rsidR="004E7B23" w:rsidRPr="00A73AAD" w:rsidRDefault="00B65521" w:rsidP="00B65521">
            <w:r>
              <w:t>No</w:t>
            </w:r>
          </w:p>
        </w:tc>
      </w:tr>
      <w:tr w:rsidR="004E7B23" w:rsidRPr="00A73AAD" w:rsidTr="00180935">
        <w:tc>
          <w:tcPr>
            <w:tcW w:w="6096" w:type="dxa"/>
          </w:tcPr>
          <w:p w:rsidR="004E7B23" w:rsidRPr="00A73AAD" w:rsidRDefault="004E7B23" w:rsidP="00A73AAD">
            <w:r w:rsidRPr="00A73AAD">
              <w:t>Did the relevance test conclude a full impact assessment was required?</w:t>
            </w:r>
          </w:p>
          <w:p w:rsidR="004E7B23" w:rsidRPr="00A73AAD" w:rsidRDefault="00271601" w:rsidP="00A73AAD">
            <w:r w:rsidRPr="00826520">
              <w:lastRenderedPageBreak/>
              <w:t>See above</w:t>
            </w:r>
            <w:r w:rsidR="004E7B23" w:rsidRPr="00826520">
              <w:t xml:space="preserve"> </w:t>
            </w:r>
          </w:p>
        </w:tc>
        <w:tc>
          <w:tcPr>
            <w:tcW w:w="1984" w:type="dxa"/>
          </w:tcPr>
          <w:p w:rsidR="004E7B23" w:rsidRPr="00A73AAD" w:rsidRDefault="00271601" w:rsidP="00B65521">
            <w:r>
              <w:lastRenderedPageBreak/>
              <w:t>n/a</w:t>
            </w:r>
          </w:p>
        </w:tc>
      </w:tr>
    </w:tbl>
    <w:p w:rsidR="007E6370" w:rsidRDefault="007E6370" w:rsidP="007E6370">
      <w:pPr>
        <w:pStyle w:val="C2"/>
        <w:numPr>
          <w:ilvl w:val="0"/>
          <w:numId w:val="0"/>
        </w:numPr>
      </w:pPr>
    </w:p>
    <w:p w:rsidR="004E7B23" w:rsidRDefault="004E7B23" w:rsidP="004E7B23">
      <w:pPr>
        <w:pStyle w:val="C2"/>
      </w:pPr>
      <w:r>
        <w:t>Impact Assessment</w:t>
      </w:r>
    </w:p>
    <w:p w:rsidR="004E7B23" w:rsidRDefault="00271601" w:rsidP="00826520">
      <w:pPr>
        <w:pStyle w:val="CGreenIndent"/>
      </w:pPr>
      <w:r w:rsidRPr="00826520">
        <w:rPr>
          <w:color w:val="auto"/>
        </w:rPr>
        <w:t>An equality impact assessment will be complete</w:t>
      </w:r>
      <w:r w:rsidR="007E6370">
        <w:rPr>
          <w:color w:val="auto"/>
        </w:rPr>
        <w:t>d</w:t>
      </w:r>
      <w:r w:rsidRPr="00826520">
        <w:rPr>
          <w:color w:val="auto"/>
        </w:rPr>
        <w:t xml:space="preserve"> when the full Housing Allocations Policy is submitted to </w:t>
      </w:r>
      <w:r w:rsidR="007E6370">
        <w:rPr>
          <w:color w:val="auto"/>
        </w:rPr>
        <w:t>C</w:t>
      </w:r>
      <w:r w:rsidRPr="00826520">
        <w:rPr>
          <w:color w:val="auto"/>
        </w:rPr>
        <w:t>ommittee for consideration</w:t>
      </w:r>
      <w:r w:rsidR="004E7B23">
        <w:t>.</w:t>
      </w:r>
      <w:r w:rsidR="004E7B23">
        <w:fldChar w:fldCharType="begin"/>
      </w:r>
      <w:r w:rsidR="004E7B23">
        <w:instrText xml:space="preserve">  </w:instrText>
      </w:r>
      <w:r w:rsidR="004E7B23">
        <w:fldChar w:fldCharType="end"/>
      </w:r>
    </w:p>
    <w:p w:rsidR="00D80B07" w:rsidRPr="00C41258" w:rsidRDefault="00D80B07" w:rsidP="004E7B23">
      <w:pPr>
        <w:pStyle w:val="C1"/>
      </w:pPr>
      <w:r>
        <w:t>Risk and Health &amp; Safety Implications</w:t>
      </w:r>
    </w:p>
    <w:p w:rsidR="00D80B07" w:rsidRDefault="00D80B07" w:rsidP="00D80B07">
      <w:pPr>
        <w:pStyle w:val="C2"/>
      </w:pPr>
      <w:r>
        <w:t xml:space="preserve">The Council has agreed its risk management strategy which can be found on the website at </w:t>
      </w:r>
      <w:hyperlink r:id="rId8" w:history="1">
        <w:r w:rsidR="00664AC9" w:rsidRPr="00246BD6">
          <w:rPr>
            <w:rStyle w:val="Hyperlink"/>
          </w:rPr>
          <w:t>https://www.threerivers.gov.uk</w:t>
        </w:r>
      </w:hyperlink>
      <w:r>
        <w:t>.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D80B07" w:rsidRPr="007E6370" w:rsidRDefault="00D80B07" w:rsidP="00D80B07">
      <w:pPr>
        <w:pStyle w:val="C2"/>
        <w:spacing w:after="200" w:line="276" w:lineRule="auto"/>
        <w:rPr>
          <w:rFonts w:cs="Arial"/>
        </w:rPr>
      </w:pPr>
      <w:r>
        <w:t xml:space="preserve">The subject of this report is covered by </w:t>
      </w:r>
      <w:r w:rsidRPr="00DC6305">
        <w:t xml:space="preserve">the </w:t>
      </w:r>
      <w:r w:rsidR="00DC6305" w:rsidRPr="00E6659E">
        <w:t>Housing Services</w:t>
      </w:r>
      <w:r w:rsidRPr="00E6659E">
        <w:t xml:space="preserve"> service</w:t>
      </w:r>
      <w:r w:rsidRPr="00DC6305">
        <w:t xml:space="preserve"> plan.  Any risks resulting from this report will be included in the risk register and</w:t>
      </w:r>
      <w:r w:rsidRPr="00D80B07">
        <w:t xml:space="preserve">, if necessary, </w:t>
      </w:r>
      <w:r w:rsidRPr="007E6370">
        <w:t>managed within this</w:t>
      </w:r>
      <w:r w:rsidR="005A4064">
        <w:t xml:space="preserve"> </w:t>
      </w:r>
      <w:r w:rsidRPr="007E6370">
        <w:t>plan.</w:t>
      </w:r>
    </w:p>
    <w:p w:rsidR="007E6370" w:rsidRPr="00D85FA1" w:rsidRDefault="007E6370" w:rsidP="007E6370">
      <w:pPr>
        <w:pStyle w:val="C1"/>
        <w:spacing w:after="200" w:line="276" w:lineRule="auto"/>
        <w:rPr>
          <w:rFonts w:cs="Arial"/>
        </w:rPr>
      </w:pPr>
      <w:r w:rsidRPr="007E6370">
        <w:rPr>
          <w:rFonts w:cs="Arial"/>
        </w:rPr>
        <w:t>Recommendation</w:t>
      </w:r>
      <w:bookmarkStart w:id="0" w:name="_GoBack"/>
      <w:bookmarkEnd w:id="0"/>
    </w:p>
    <w:p w:rsidR="007E6370" w:rsidRPr="00D85FA1" w:rsidRDefault="007E6370" w:rsidP="007E6370">
      <w:pPr>
        <w:pStyle w:val="C2"/>
        <w:spacing w:after="200" w:line="276" w:lineRule="auto"/>
        <w:rPr>
          <w:rFonts w:cs="Arial"/>
        </w:rPr>
      </w:pPr>
      <w:r w:rsidRPr="00D85FA1">
        <w:rPr>
          <w:rFonts w:cs="Arial"/>
        </w:rPr>
        <w:t xml:space="preserve">That the Committee agree the proposed changes to the Housing Allocations Policy in order to </w:t>
      </w:r>
      <w:r w:rsidR="00D85FA1" w:rsidRPr="00D85FA1">
        <w:rPr>
          <w:rFonts w:cs="Arial"/>
        </w:rPr>
        <w:t>consult with our residents on the proposed changes.</w:t>
      </w:r>
    </w:p>
    <w:p w:rsidR="004E7B23" w:rsidRPr="000E2368" w:rsidRDefault="004E7B23" w:rsidP="00886F56">
      <w:pPr>
        <w:pStyle w:val="CIndent"/>
      </w:pPr>
      <w:r w:rsidRPr="000E2368">
        <w:t>Report prepared by:</w:t>
      </w:r>
      <w:r w:rsidRPr="000E2368">
        <w:tab/>
      </w:r>
      <w:r w:rsidR="000E2368" w:rsidRPr="000E2368">
        <w:t>Kimberley Grout, Head of Housing Services</w:t>
      </w:r>
    </w:p>
    <w:p w:rsidR="004E7B23" w:rsidRDefault="004E7B23" w:rsidP="004E7B23"/>
    <w:p w:rsidR="004E7B23" w:rsidRPr="007D3C90" w:rsidRDefault="004E7B23" w:rsidP="00886F56">
      <w:pPr>
        <w:pStyle w:val="CBoldIndent"/>
      </w:pPr>
      <w:r w:rsidRPr="007D3C90">
        <w:t>Data Quality</w:t>
      </w:r>
    </w:p>
    <w:p w:rsidR="004E7B23" w:rsidRPr="000E2368" w:rsidRDefault="004E7B23" w:rsidP="007E6370">
      <w:pPr>
        <w:pStyle w:val="CIndent"/>
      </w:pPr>
      <w:r>
        <w:t>Data sources:</w:t>
      </w:r>
      <w:r w:rsidR="007E6370">
        <w:t xml:space="preserve"> n</w:t>
      </w:r>
      <w:r w:rsidR="000E2368" w:rsidRPr="000E2368">
        <w:t>one</w:t>
      </w:r>
    </w:p>
    <w:p w:rsidR="004E7B23" w:rsidRPr="000E2368" w:rsidRDefault="004E7B23" w:rsidP="007E6370">
      <w:pPr>
        <w:pStyle w:val="CIndent"/>
      </w:pPr>
      <w:r w:rsidRPr="000E2368">
        <w:t>Data checked by:</w:t>
      </w:r>
      <w:r w:rsidR="007E6370">
        <w:t xml:space="preserve"> </w:t>
      </w:r>
      <w:r w:rsidR="000E2368" w:rsidRPr="000E2368">
        <w:t>n</w:t>
      </w:r>
      <w:r w:rsidR="005A4064">
        <w:t>ot applicable</w:t>
      </w:r>
    </w:p>
    <w:p w:rsidR="004E7B23" w:rsidRPr="007D3C90" w:rsidRDefault="000E2368" w:rsidP="000E2368">
      <w:pPr>
        <w:pStyle w:val="CIndent"/>
      </w:pPr>
      <w:r>
        <w:t xml:space="preserve">Data rating: </w:t>
      </w:r>
      <w:r w:rsidR="007E6370">
        <w:t>n</w:t>
      </w:r>
      <w:r w:rsidR="005A4064">
        <w:t>ot applicable</w:t>
      </w:r>
    </w:p>
    <w:p w:rsidR="004E7B23" w:rsidRDefault="004E7B23" w:rsidP="004E7B23"/>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534"/>
      </w:tblGrid>
      <w:tr w:rsidR="004E7B23" w:rsidTr="00D41A55">
        <w:trPr>
          <w:trHeight w:hRule="exact" w:val="346"/>
        </w:trPr>
        <w:tc>
          <w:tcPr>
            <w:tcW w:w="392" w:type="dxa"/>
            <w:vAlign w:val="center"/>
          </w:tcPr>
          <w:p w:rsidR="004E7B23" w:rsidRDefault="004E7B23" w:rsidP="00D41A55">
            <w:pPr>
              <w:pStyle w:val="CTableBold11"/>
            </w:pPr>
            <w:r>
              <w:t>1</w:t>
            </w:r>
          </w:p>
        </w:tc>
        <w:tc>
          <w:tcPr>
            <w:tcW w:w="1276" w:type="dxa"/>
            <w:vAlign w:val="center"/>
          </w:tcPr>
          <w:p w:rsidR="004E7B23" w:rsidRDefault="004E7B23" w:rsidP="00D41A55">
            <w:pPr>
              <w:pStyle w:val="CTableBold11"/>
            </w:pPr>
            <w:r>
              <w:t>Poor</w:t>
            </w:r>
          </w:p>
        </w:tc>
        <w:tc>
          <w:tcPr>
            <w:tcW w:w="492" w:type="dxa"/>
            <w:vAlign w:val="center"/>
          </w:tcPr>
          <w:p w:rsidR="004E7B23" w:rsidRDefault="000E2368" w:rsidP="00D41A55">
            <w:pPr>
              <w:pStyle w:val="CTableBold11"/>
            </w:pPr>
            <w:r>
              <w:t>n/a</w:t>
            </w:r>
          </w:p>
        </w:tc>
      </w:tr>
      <w:tr w:rsidR="004E7B23" w:rsidTr="00D41A55">
        <w:trPr>
          <w:trHeight w:hRule="exact" w:val="346"/>
        </w:trPr>
        <w:tc>
          <w:tcPr>
            <w:tcW w:w="392" w:type="dxa"/>
            <w:vAlign w:val="center"/>
          </w:tcPr>
          <w:p w:rsidR="004E7B23" w:rsidRDefault="004E7B23" w:rsidP="00D41A55">
            <w:pPr>
              <w:pStyle w:val="CTableBold11"/>
            </w:pPr>
            <w:r>
              <w:t>2</w:t>
            </w:r>
          </w:p>
        </w:tc>
        <w:tc>
          <w:tcPr>
            <w:tcW w:w="1276" w:type="dxa"/>
            <w:vAlign w:val="center"/>
          </w:tcPr>
          <w:p w:rsidR="004E7B23" w:rsidRDefault="004E7B23" w:rsidP="00D41A55">
            <w:pPr>
              <w:pStyle w:val="CTableBold11"/>
            </w:pPr>
            <w:r>
              <w:t>Sufficient</w:t>
            </w:r>
          </w:p>
        </w:tc>
        <w:tc>
          <w:tcPr>
            <w:tcW w:w="492" w:type="dxa"/>
            <w:vAlign w:val="center"/>
          </w:tcPr>
          <w:p w:rsidR="004E7B23" w:rsidRDefault="000E2368" w:rsidP="00D41A55">
            <w:pPr>
              <w:pStyle w:val="CTableBold11"/>
            </w:pPr>
            <w:r>
              <w:t>n/a</w:t>
            </w:r>
          </w:p>
        </w:tc>
      </w:tr>
      <w:tr w:rsidR="004E7B23" w:rsidTr="00D41A55">
        <w:trPr>
          <w:trHeight w:hRule="exact" w:val="346"/>
        </w:trPr>
        <w:tc>
          <w:tcPr>
            <w:tcW w:w="392" w:type="dxa"/>
            <w:vAlign w:val="center"/>
          </w:tcPr>
          <w:p w:rsidR="004E7B23" w:rsidRDefault="004E7B23" w:rsidP="00D41A55">
            <w:pPr>
              <w:pStyle w:val="CTableBold11"/>
            </w:pPr>
            <w:r>
              <w:t>3</w:t>
            </w:r>
          </w:p>
        </w:tc>
        <w:tc>
          <w:tcPr>
            <w:tcW w:w="1276" w:type="dxa"/>
            <w:vAlign w:val="center"/>
          </w:tcPr>
          <w:p w:rsidR="004E7B23" w:rsidRDefault="004E7B23" w:rsidP="00D41A55">
            <w:pPr>
              <w:pStyle w:val="CTableBold11"/>
            </w:pPr>
            <w:r>
              <w:t>High</w:t>
            </w:r>
          </w:p>
        </w:tc>
        <w:tc>
          <w:tcPr>
            <w:tcW w:w="492" w:type="dxa"/>
            <w:vAlign w:val="center"/>
          </w:tcPr>
          <w:p w:rsidR="004E7B23" w:rsidRDefault="000E2368" w:rsidP="00D41A55">
            <w:pPr>
              <w:pStyle w:val="CTableBold11"/>
            </w:pPr>
            <w:r>
              <w:t>n/a</w:t>
            </w:r>
          </w:p>
        </w:tc>
      </w:tr>
    </w:tbl>
    <w:p w:rsidR="004E7B23" w:rsidRDefault="004E7B23" w:rsidP="004E7B23"/>
    <w:p w:rsidR="004E7B23" w:rsidRPr="005A4064" w:rsidRDefault="004E7B23" w:rsidP="00607A37">
      <w:pPr>
        <w:pStyle w:val="CBoldIndent"/>
        <w:rPr>
          <w:b w:val="0"/>
        </w:rPr>
      </w:pPr>
      <w:r w:rsidRPr="007D3C90">
        <w:t>Background Papers</w:t>
      </w:r>
      <w:r w:rsidR="005A4064">
        <w:t xml:space="preserve"> - </w:t>
      </w:r>
      <w:r w:rsidR="005A4064" w:rsidRPr="005A4064">
        <w:rPr>
          <w:b w:val="0"/>
        </w:rPr>
        <w:t>none</w:t>
      </w:r>
    </w:p>
    <w:p w:rsidR="004E7B23" w:rsidRDefault="004E7B23" w:rsidP="004E7B23"/>
    <w:p w:rsidR="004E7B23" w:rsidRPr="007D3C90" w:rsidRDefault="004E7B23" w:rsidP="00607A37">
      <w:pPr>
        <w:pStyle w:val="CBoldIndent"/>
      </w:pPr>
      <w:r w:rsidRPr="007D3C90">
        <w:t>APPENDICES / ATTACHMENTS</w:t>
      </w:r>
    </w:p>
    <w:p w:rsidR="000E2368" w:rsidRPr="004E7B23" w:rsidRDefault="000E2368" w:rsidP="005A4064">
      <w:pPr>
        <w:ind w:left="131" w:firstLine="720"/>
      </w:pPr>
      <w:r>
        <w:t xml:space="preserve">Appendix </w:t>
      </w:r>
      <w:r w:rsidR="007E6370">
        <w:t>O</w:t>
      </w:r>
      <w:r>
        <w:t>ne: Housing Allocations Policy comparison document</w:t>
      </w:r>
    </w:p>
    <w:p w:rsidR="00E84509" w:rsidRPr="004E7B23" w:rsidRDefault="00E84509" w:rsidP="004E7B23"/>
    <w:sectPr w:rsidR="00E84509" w:rsidRPr="004E7B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7A" w:rsidRDefault="0039487A">
      <w:r>
        <w:separator/>
      </w:r>
    </w:p>
  </w:endnote>
  <w:endnote w:type="continuationSeparator" w:id="0">
    <w:p w:rsidR="0039487A" w:rsidRDefault="0039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7125"/>
      <w:docPartObj>
        <w:docPartGallery w:val="Page Numbers (Bottom of Page)"/>
        <w:docPartUnique/>
      </w:docPartObj>
    </w:sdtPr>
    <w:sdtEndPr/>
    <w:sdtContent>
      <w:sdt>
        <w:sdtPr>
          <w:id w:val="345371267"/>
          <w:docPartObj>
            <w:docPartGallery w:val="Page Numbers (Top of Page)"/>
            <w:docPartUnique/>
          </w:docPartObj>
        </w:sdtPr>
        <w:sdtEndPr/>
        <w:sdtContent>
          <w:p w:rsidR="00385119" w:rsidRPr="00385119" w:rsidRDefault="00385119">
            <w:pPr>
              <w:pStyle w:val="Footer"/>
            </w:pPr>
            <w:r w:rsidRPr="00385119">
              <w:t xml:space="preserve">Page </w:t>
            </w:r>
            <w:r w:rsidRPr="00385119">
              <w:rPr>
                <w:bCs/>
                <w:sz w:val="24"/>
                <w:szCs w:val="24"/>
              </w:rPr>
              <w:fldChar w:fldCharType="begin"/>
            </w:r>
            <w:r w:rsidRPr="00385119">
              <w:rPr>
                <w:bCs/>
              </w:rPr>
              <w:instrText xml:space="preserve"> PAGE </w:instrText>
            </w:r>
            <w:r w:rsidRPr="00385119">
              <w:rPr>
                <w:bCs/>
                <w:sz w:val="24"/>
                <w:szCs w:val="24"/>
              </w:rPr>
              <w:fldChar w:fldCharType="separate"/>
            </w:r>
            <w:r w:rsidR="00664AC9">
              <w:rPr>
                <w:bCs/>
                <w:noProof/>
              </w:rPr>
              <w:t>3</w:t>
            </w:r>
            <w:r w:rsidRPr="00385119">
              <w:rPr>
                <w:bCs/>
                <w:sz w:val="24"/>
                <w:szCs w:val="24"/>
              </w:rPr>
              <w:fldChar w:fldCharType="end"/>
            </w:r>
            <w:r w:rsidRPr="00385119">
              <w:t xml:space="preserve"> of </w:t>
            </w:r>
            <w:r w:rsidRPr="00385119">
              <w:rPr>
                <w:bCs/>
                <w:sz w:val="24"/>
                <w:szCs w:val="24"/>
              </w:rPr>
              <w:fldChar w:fldCharType="begin"/>
            </w:r>
            <w:r w:rsidRPr="00385119">
              <w:rPr>
                <w:bCs/>
              </w:rPr>
              <w:instrText xml:space="preserve"> NUMPAGES  </w:instrText>
            </w:r>
            <w:r w:rsidRPr="00385119">
              <w:rPr>
                <w:bCs/>
                <w:sz w:val="24"/>
                <w:szCs w:val="24"/>
              </w:rPr>
              <w:fldChar w:fldCharType="separate"/>
            </w:r>
            <w:r w:rsidR="00664AC9">
              <w:rPr>
                <w:bCs/>
                <w:noProof/>
              </w:rPr>
              <w:t>3</w:t>
            </w:r>
            <w:r w:rsidRPr="00385119">
              <w:rPr>
                <w:bCs/>
                <w:sz w:val="24"/>
                <w:szCs w:val="24"/>
              </w:rPr>
              <w:fldChar w:fldCharType="end"/>
            </w:r>
          </w:p>
        </w:sdtContent>
      </w:sdt>
    </w:sdtContent>
  </w:sdt>
  <w:p w:rsidR="00385119" w:rsidRDefault="0038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7A" w:rsidRDefault="0039487A">
      <w:r>
        <w:separator/>
      </w:r>
    </w:p>
  </w:footnote>
  <w:footnote w:type="continuationSeparator" w:id="0">
    <w:p w:rsidR="0039487A" w:rsidRDefault="0039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5417"/>
    <w:multiLevelType w:val="hybridMultilevel"/>
    <w:tmpl w:val="47DC59E2"/>
    <w:name w:val="PC Headings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C6525"/>
    <w:multiLevelType w:val="multilevel"/>
    <w:tmpl w:val="FCD084E2"/>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26472E"/>
    <w:multiLevelType w:val="multilevel"/>
    <w:tmpl w:val="A3241BC0"/>
    <w:name w:val="PC Headings"/>
    <w:styleLink w:val="PCHeadings"/>
    <w:lvl w:ilvl="0">
      <w:start w:val="1"/>
      <w:numFmt w:val="decimal"/>
      <w:pStyle w:val="C1"/>
      <w:lvlText w:val="%1"/>
      <w:lvlJc w:val="left"/>
      <w:pPr>
        <w:ind w:left="851" w:hanging="851"/>
      </w:pPr>
      <w:rPr>
        <w:rFonts w:hint="default"/>
      </w:rPr>
    </w:lvl>
    <w:lvl w:ilvl="1">
      <w:start w:val="1"/>
      <w:numFmt w:val="decimal"/>
      <w:pStyle w:val="C2"/>
      <w:lvlText w:val="%1.%2"/>
      <w:lvlJc w:val="left"/>
      <w:pPr>
        <w:ind w:left="851" w:hanging="851"/>
      </w:pPr>
      <w:rPr>
        <w:rFonts w:hint="default"/>
      </w:rPr>
    </w:lvl>
    <w:lvl w:ilvl="2">
      <w:start w:val="1"/>
      <w:numFmt w:val="decimal"/>
      <w:pStyle w:val="C3"/>
      <w:lvlText w:val="%1.%2.%3"/>
      <w:lvlJc w:val="left"/>
      <w:pPr>
        <w:ind w:left="851" w:hanging="851"/>
      </w:pPr>
      <w:rPr>
        <w:rFonts w:hint="default"/>
      </w:rPr>
    </w:lvl>
    <w:lvl w:ilvl="3">
      <w:start w:val="1"/>
      <w:numFmt w:val="decimal"/>
      <w:pStyle w:val="C4"/>
      <w:lvlText w:val="%1.%2.%3.%4"/>
      <w:lvlJc w:val="left"/>
      <w:pPr>
        <w:ind w:left="851" w:hanging="851"/>
      </w:pPr>
      <w:rPr>
        <w:rFonts w:hint="default"/>
      </w:rPr>
    </w:lvl>
    <w:lvl w:ilvl="4">
      <w:start w:val="1"/>
      <w:numFmt w:val="decimal"/>
      <w:pStyle w:val="C5"/>
      <w:lvlText w:val="%1.%2.%3.%4.%5"/>
      <w:lvlJc w:val="left"/>
      <w:pPr>
        <w:ind w:left="851" w:hanging="851"/>
      </w:pPr>
      <w:rPr>
        <w:rFonts w:hint="default"/>
      </w:rPr>
    </w:lvl>
    <w:lvl w:ilvl="5">
      <w:start w:val="1"/>
      <w:numFmt w:val="decimal"/>
      <w:pStyle w:val="C6"/>
      <w:lvlText w:val="%1.%2.%3.%4.%5.%6"/>
      <w:lvlJc w:val="left"/>
      <w:pPr>
        <w:ind w:left="851" w:hanging="851"/>
      </w:pPr>
      <w:rPr>
        <w:rFonts w:hint="default"/>
      </w:rPr>
    </w:lvl>
    <w:lvl w:ilvl="6">
      <w:start w:val="1"/>
      <w:numFmt w:val="decimal"/>
      <w:pStyle w:val="C7"/>
      <w:lvlText w:val="%1.%2.%3.%4.%5.%6.%7"/>
      <w:lvlJc w:val="left"/>
      <w:pPr>
        <w:ind w:left="851" w:hanging="851"/>
      </w:pPr>
      <w:rPr>
        <w:rFonts w:hint="default"/>
      </w:rPr>
    </w:lvl>
    <w:lvl w:ilvl="7">
      <w:start w:val="1"/>
      <w:numFmt w:val="decimal"/>
      <w:pStyle w:val="C8"/>
      <w:lvlText w:val="%1.%2.%3.%4.%5.%6.%7.%8"/>
      <w:lvlJc w:val="left"/>
      <w:pPr>
        <w:ind w:left="851" w:hanging="851"/>
      </w:pPr>
      <w:rPr>
        <w:rFonts w:hint="default"/>
      </w:rPr>
    </w:lvl>
    <w:lvl w:ilvl="8">
      <w:start w:val="1"/>
      <w:numFmt w:val="decimal"/>
      <w:pStyle w:val="C9"/>
      <w:lvlText w:val="%1.%2.%3.%4.%5.%6.%7.%8.%9"/>
      <w:lvlJc w:val="left"/>
      <w:pPr>
        <w:ind w:left="851" w:hanging="851"/>
      </w:pPr>
      <w:rPr>
        <w:rFonts w:hint="default"/>
      </w:rPr>
    </w:lvl>
  </w:abstractNum>
  <w:abstractNum w:abstractNumId="3" w15:restartNumberingAfterBreak="0">
    <w:nsid w:val="3EAB6E23"/>
    <w:multiLevelType w:val="multilevel"/>
    <w:tmpl w:val="A3241BC0"/>
    <w:numStyleLink w:val="PCHeadings"/>
  </w:abstractNum>
  <w:abstractNum w:abstractNumId="4" w15:restartNumberingAfterBreak="0">
    <w:nsid w:val="42B9019E"/>
    <w:multiLevelType w:val="multilevel"/>
    <w:tmpl w:val="D90A0976"/>
    <w:lvl w:ilvl="0">
      <w:start w:val="1"/>
      <w:numFmt w:val="decimal"/>
      <w:pStyle w:val="ReportHeader"/>
      <w:lvlText w:val="%1."/>
      <w:lvlJc w:val="left"/>
      <w:pPr>
        <w:ind w:left="720" w:hanging="720"/>
      </w:pPr>
      <w:rPr>
        <w:rFonts w:hint="default"/>
      </w:rPr>
    </w:lvl>
    <w:lvl w:ilvl="1">
      <w:start w:val="1"/>
      <w:numFmt w:val="decimal"/>
      <w:lvlText w:val="%1.%2."/>
      <w:lvlJc w:val="left"/>
      <w:pPr>
        <w:ind w:left="1440" w:hanging="1440"/>
      </w:pPr>
      <w:rPr>
        <w:rFonts w:hint="default"/>
        <w:b w:val="0"/>
      </w:rPr>
    </w:lvl>
    <w:lvl w:ilvl="2">
      <w:start w:val="1"/>
      <w:numFmt w:val="decimal"/>
      <w:lvlText w:val="%1.%2.%3."/>
      <w:lvlJc w:val="left"/>
      <w:pPr>
        <w:ind w:left="0" w:firstLine="144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ED3E38"/>
    <w:multiLevelType w:val="hybridMultilevel"/>
    <w:tmpl w:val="7A72F71E"/>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6" w15:restartNumberingAfterBreak="0">
    <w:nsid w:val="5A775E69"/>
    <w:multiLevelType w:val="hybridMultilevel"/>
    <w:tmpl w:val="4B0A32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61473503"/>
    <w:multiLevelType w:val="hybridMultilevel"/>
    <w:tmpl w:val="DF1265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4D3093"/>
    <w:multiLevelType w:val="multilevel"/>
    <w:tmpl w:val="A3241BC0"/>
    <w:name w:val="PC Headings22"/>
    <w:numStyleLink w:val="PCHeadings"/>
  </w:abstractNum>
  <w:abstractNum w:abstractNumId="9" w15:restartNumberingAfterBreak="0">
    <w:nsid w:val="66285A1B"/>
    <w:multiLevelType w:val="hybridMultilevel"/>
    <w:tmpl w:val="2DC2F20E"/>
    <w:name w:val="PC 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A2E04"/>
    <w:multiLevelType w:val="multilevel"/>
    <w:tmpl w:val="A3241BC0"/>
    <w:numStyleLink w:val="PCHeadings"/>
  </w:abstractNum>
  <w:num w:numId="1">
    <w:abstractNumId w:val="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lvlOverride w:ilvl="0">
      <w:lvl w:ilvl="0">
        <w:start w:val="1"/>
        <w:numFmt w:val="decimal"/>
        <w:pStyle w:val="C1"/>
        <w:lvlText w:val="%1"/>
        <w:lvlJc w:val="left"/>
        <w:pPr>
          <w:ind w:left="851" w:hanging="851"/>
        </w:pPr>
        <w:rPr>
          <w:rFonts w:hint="default"/>
          <w:color w:val="auto"/>
        </w:rPr>
      </w:lvl>
    </w:lvlOverride>
    <w:lvlOverride w:ilvl="1">
      <w:lvl w:ilvl="1">
        <w:start w:val="1"/>
        <w:numFmt w:val="decimal"/>
        <w:pStyle w:val="C2"/>
        <w:lvlText w:val="%1.%2"/>
        <w:lvlJc w:val="left"/>
        <w:pPr>
          <w:ind w:left="851" w:hanging="851"/>
        </w:pPr>
        <w:rPr>
          <w:rFonts w:hint="default"/>
          <w:color w:val="auto"/>
        </w:rPr>
      </w:lvl>
    </w:lvlOverride>
    <w:lvlOverride w:ilvl="2">
      <w:lvl w:ilvl="2">
        <w:start w:val="1"/>
        <w:numFmt w:val="decimal"/>
        <w:pStyle w:val="C3"/>
        <w:lvlText w:val="%1.%2.%3"/>
        <w:lvlJc w:val="left"/>
        <w:pPr>
          <w:ind w:left="851" w:hanging="851"/>
        </w:pPr>
        <w:rPr>
          <w:rFonts w:hint="default"/>
          <w:color w:val="auto"/>
        </w:rPr>
      </w:lvl>
    </w:lvlOverride>
    <w:lvlOverride w:ilvl="3">
      <w:lvl w:ilvl="3">
        <w:start w:val="1"/>
        <w:numFmt w:val="decimal"/>
        <w:pStyle w:val="C4"/>
        <w:lvlText w:val="%1.%2.%3.%4"/>
        <w:lvlJc w:val="left"/>
        <w:pPr>
          <w:ind w:left="851" w:hanging="851"/>
        </w:pPr>
        <w:rPr>
          <w:rFonts w:hint="default"/>
        </w:rPr>
      </w:lvl>
    </w:lvlOverride>
    <w:lvlOverride w:ilvl="4">
      <w:lvl w:ilvl="4">
        <w:start w:val="1"/>
        <w:numFmt w:val="decimal"/>
        <w:pStyle w:val="C5"/>
        <w:lvlText w:val="%1.%2.%3.%4.%5"/>
        <w:lvlJc w:val="left"/>
        <w:pPr>
          <w:ind w:left="851" w:hanging="851"/>
        </w:pPr>
        <w:rPr>
          <w:rFonts w:hint="default"/>
        </w:rPr>
      </w:lvl>
    </w:lvlOverride>
    <w:lvlOverride w:ilvl="5">
      <w:lvl w:ilvl="5">
        <w:start w:val="1"/>
        <w:numFmt w:val="decimal"/>
        <w:pStyle w:val="C6"/>
        <w:lvlText w:val="%1.%2.%3.%4.%5.%6"/>
        <w:lvlJc w:val="left"/>
        <w:pPr>
          <w:ind w:left="851" w:hanging="851"/>
        </w:pPr>
        <w:rPr>
          <w:rFonts w:hint="default"/>
        </w:rPr>
      </w:lvl>
    </w:lvlOverride>
    <w:lvlOverride w:ilvl="6">
      <w:lvl w:ilvl="6">
        <w:start w:val="1"/>
        <w:numFmt w:val="decimal"/>
        <w:pStyle w:val="C7"/>
        <w:lvlText w:val="%1.%2.%3.%4.%5.%6.%7"/>
        <w:lvlJc w:val="left"/>
        <w:pPr>
          <w:ind w:left="851" w:hanging="851"/>
        </w:pPr>
        <w:rPr>
          <w:rFonts w:hint="default"/>
        </w:rPr>
      </w:lvl>
    </w:lvlOverride>
    <w:lvlOverride w:ilvl="7">
      <w:lvl w:ilvl="7">
        <w:start w:val="1"/>
        <w:numFmt w:val="decimal"/>
        <w:pStyle w:val="C8"/>
        <w:lvlText w:val="%1.%2.%3.%4.%5.%6.%7.%8"/>
        <w:lvlJc w:val="left"/>
        <w:pPr>
          <w:ind w:left="851" w:hanging="851"/>
        </w:pPr>
        <w:rPr>
          <w:rFonts w:hint="default"/>
        </w:rPr>
      </w:lvl>
    </w:lvlOverride>
    <w:lvlOverride w:ilvl="8">
      <w:lvl w:ilvl="8">
        <w:start w:val="1"/>
        <w:numFmt w:val="decimal"/>
        <w:pStyle w:val="C9"/>
        <w:lvlText w:val="%1.%2.%3.%4.%5.%6.%7.%8.%9"/>
        <w:lvlJc w:val="left"/>
        <w:pPr>
          <w:ind w:left="851" w:hanging="851"/>
        </w:pPr>
        <w:rPr>
          <w:rFonts w:hint="default"/>
        </w:rPr>
      </w:lvl>
    </w:lvlOverride>
  </w:num>
  <w:num w:numId="13">
    <w:abstractNumId w:val="0"/>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3C"/>
    <w:rsid w:val="00003E99"/>
    <w:rsid w:val="00005135"/>
    <w:rsid w:val="00012B8D"/>
    <w:rsid w:val="000262A1"/>
    <w:rsid w:val="00042980"/>
    <w:rsid w:val="00053BF1"/>
    <w:rsid w:val="000741AD"/>
    <w:rsid w:val="000A6382"/>
    <w:rsid w:val="000C5784"/>
    <w:rsid w:val="000E2368"/>
    <w:rsid w:val="000E3285"/>
    <w:rsid w:val="0015637B"/>
    <w:rsid w:val="00180935"/>
    <w:rsid w:val="001B242A"/>
    <w:rsid w:val="001B2905"/>
    <w:rsid w:val="001B4DCC"/>
    <w:rsid w:val="001B78AC"/>
    <w:rsid w:val="001C4E5E"/>
    <w:rsid w:val="001C5D62"/>
    <w:rsid w:val="001D1A77"/>
    <w:rsid w:val="001D3E9A"/>
    <w:rsid w:val="00207D1D"/>
    <w:rsid w:val="002324DB"/>
    <w:rsid w:val="00246F04"/>
    <w:rsid w:val="00251806"/>
    <w:rsid w:val="00265830"/>
    <w:rsid w:val="00271601"/>
    <w:rsid w:val="002B1F98"/>
    <w:rsid w:val="002C30E9"/>
    <w:rsid w:val="002D2F09"/>
    <w:rsid w:val="002D4770"/>
    <w:rsid w:val="002D6EA2"/>
    <w:rsid w:val="002F113C"/>
    <w:rsid w:val="00301FDF"/>
    <w:rsid w:val="003071E5"/>
    <w:rsid w:val="00385119"/>
    <w:rsid w:val="00391C9C"/>
    <w:rsid w:val="0039487A"/>
    <w:rsid w:val="00400D09"/>
    <w:rsid w:val="00403076"/>
    <w:rsid w:val="004214A6"/>
    <w:rsid w:val="00425CE8"/>
    <w:rsid w:val="00441AC4"/>
    <w:rsid w:val="004436D9"/>
    <w:rsid w:val="00474898"/>
    <w:rsid w:val="004A16DE"/>
    <w:rsid w:val="004E7B23"/>
    <w:rsid w:val="00540EE3"/>
    <w:rsid w:val="005A283A"/>
    <w:rsid w:val="005A4064"/>
    <w:rsid w:val="005D7CAE"/>
    <w:rsid w:val="005F39B6"/>
    <w:rsid w:val="00607A37"/>
    <w:rsid w:val="00610C34"/>
    <w:rsid w:val="00621F76"/>
    <w:rsid w:val="00642418"/>
    <w:rsid w:val="00664AC9"/>
    <w:rsid w:val="00681AD3"/>
    <w:rsid w:val="006B097C"/>
    <w:rsid w:val="006E0559"/>
    <w:rsid w:val="006E382E"/>
    <w:rsid w:val="007203F8"/>
    <w:rsid w:val="00731370"/>
    <w:rsid w:val="00762022"/>
    <w:rsid w:val="007731CA"/>
    <w:rsid w:val="00774990"/>
    <w:rsid w:val="007B00A8"/>
    <w:rsid w:val="007C086A"/>
    <w:rsid w:val="007D15F8"/>
    <w:rsid w:val="007E49EF"/>
    <w:rsid w:val="007E6370"/>
    <w:rsid w:val="007F43D5"/>
    <w:rsid w:val="00821E3C"/>
    <w:rsid w:val="008222EE"/>
    <w:rsid w:val="00826520"/>
    <w:rsid w:val="00863DB5"/>
    <w:rsid w:val="00886F56"/>
    <w:rsid w:val="008A24A0"/>
    <w:rsid w:val="008B71BB"/>
    <w:rsid w:val="008B7C08"/>
    <w:rsid w:val="00910252"/>
    <w:rsid w:val="009234E0"/>
    <w:rsid w:val="00930941"/>
    <w:rsid w:val="00932329"/>
    <w:rsid w:val="00946F2A"/>
    <w:rsid w:val="009C3625"/>
    <w:rsid w:val="009D2C05"/>
    <w:rsid w:val="009D33E8"/>
    <w:rsid w:val="009F5CA3"/>
    <w:rsid w:val="00A06B49"/>
    <w:rsid w:val="00A23D19"/>
    <w:rsid w:val="00A33156"/>
    <w:rsid w:val="00A42695"/>
    <w:rsid w:val="00A47356"/>
    <w:rsid w:val="00A55F9E"/>
    <w:rsid w:val="00A73AAD"/>
    <w:rsid w:val="00A76A3B"/>
    <w:rsid w:val="00A87286"/>
    <w:rsid w:val="00A90F2F"/>
    <w:rsid w:val="00A95188"/>
    <w:rsid w:val="00AD78A1"/>
    <w:rsid w:val="00AE244D"/>
    <w:rsid w:val="00B26102"/>
    <w:rsid w:val="00B27F09"/>
    <w:rsid w:val="00B65521"/>
    <w:rsid w:val="00B87301"/>
    <w:rsid w:val="00BB707E"/>
    <w:rsid w:val="00BC5F05"/>
    <w:rsid w:val="00BF6DF3"/>
    <w:rsid w:val="00C033B1"/>
    <w:rsid w:val="00C05A0E"/>
    <w:rsid w:val="00C078C9"/>
    <w:rsid w:val="00C07B8D"/>
    <w:rsid w:val="00C17728"/>
    <w:rsid w:val="00C27EFD"/>
    <w:rsid w:val="00C312BF"/>
    <w:rsid w:val="00C60AEA"/>
    <w:rsid w:val="00C66F73"/>
    <w:rsid w:val="00C84741"/>
    <w:rsid w:val="00C954DF"/>
    <w:rsid w:val="00C96DA9"/>
    <w:rsid w:val="00D04936"/>
    <w:rsid w:val="00D3735A"/>
    <w:rsid w:val="00D41A55"/>
    <w:rsid w:val="00D51FE6"/>
    <w:rsid w:val="00D63E37"/>
    <w:rsid w:val="00D71758"/>
    <w:rsid w:val="00D80B07"/>
    <w:rsid w:val="00D85FA1"/>
    <w:rsid w:val="00D92501"/>
    <w:rsid w:val="00DA3CDA"/>
    <w:rsid w:val="00DB16F7"/>
    <w:rsid w:val="00DC6305"/>
    <w:rsid w:val="00DC6318"/>
    <w:rsid w:val="00E1469E"/>
    <w:rsid w:val="00E21888"/>
    <w:rsid w:val="00E407BC"/>
    <w:rsid w:val="00E6659E"/>
    <w:rsid w:val="00E733B9"/>
    <w:rsid w:val="00E84509"/>
    <w:rsid w:val="00E909FE"/>
    <w:rsid w:val="00E96726"/>
    <w:rsid w:val="00EA0F74"/>
    <w:rsid w:val="00EA5C5E"/>
    <w:rsid w:val="00EC1584"/>
    <w:rsid w:val="00EC396D"/>
    <w:rsid w:val="00F041F6"/>
    <w:rsid w:val="00F6659D"/>
    <w:rsid w:val="00F744EB"/>
    <w:rsid w:val="00F80D14"/>
    <w:rsid w:val="00F83323"/>
    <w:rsid w:val="00F9271A"/>
    <w:rsid w:val="00FC5E7D"/>
    <w:rsid w:val="00F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16C85-5720-4873-A765-0F7EFA4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05"/>
    <w:pPr>
      <w:spacing w:before="120" w:after="120"/>
      <w:jc w:val="left"/>
    </w:pPr>
  </w:style>
  <w:style w:type="paragraph" w:styleId="Heading1">
    <w:name w:val="heading 1"/>
    <w:basedOn w:val="Normal"/>
    <w:next w:val="Normal"/>
    <w:link w:val="Heading1Char"/>
    <w:uiPriority w:val="9"/>
    <w:qFormat/>
    <w:rsid w:val="00A33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E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B2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B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CHeadings">
    <w:name w:val="PC Headings"/>
    <w:uiPriority w:val="99"/>
    <w:rsid w:val="007F43D5"/>
    <w:pPr>
      <w:numPr>
        <w:numId w:val="1"/>
      </w:numPr>
    </w:pPr>
  </w:style>
  <w:style w:type="paragraph" w:customStyle="1" w:styleId="C1">
    <w:name w:val="C1"/>
    <w:qFormat/>
    <w:rsid w:val="00A76A3B"/>
    <w:pPr>
      <w:numPr>
        <w:numId w:val="12"/>
      </w:numPr>
      <w:tabs>
        <w:tab w:val="left" w:pos="851"/>
      </w:tabs>
      <w:spacing w:after="220"/>
      <w:outlineLvl w:val="0"/>
    </w:pPr>
    <w:rPr>
      <w:b/>
    </w:rPr>
  </w:style>
  <w:style w:type="paragraph" w:customStyle="1" w:styleId="C2">
    <w:name w:val="C2"/>
    <w:basedOn w:val="C1"/>
    <w:qFormat/>
    <w:rsid w:val="00A76A3B"/>
    <w:pPr>
      <w:numPr>
        <w:ilvl w:val="1"/>
      </w:numPr>
      <w:outlineLvl w:val="1"/>
    </w:pPr>
    <w:rPr>
      <w:b w:val="0"/>
    </w:rPr>
  </w:style>
  <w:style w:type="paragraph" w:customStyle="1" w:styleId="StylePC2Green">
    <w:name w:val="Style PC2 + Green"/>
    <w:basedOn w:val="C2"/>
    <w:rsid w:val="00C84741"/>
    <w:pPr>
      <w:numPr>
        <w:ilvl w:val="0"/>
        <w:numId w:val="0"/>
      </w:numPr>
    </w:pPr>
    <w:rPr>
      <w:color w:val="00B050"/>
    </w:rPr>
  </w:style>
  <w:style w:type="paragraph" w:customStyle="1" w:styleId="C3">
    <w:name w:val="C3"/>
    <w:basedOn w:val="C2"/>
    <w:qFormat/>
    <w:rsid w:val="00A76A3B"/>
    <w:pPr>
      <w:numPr>
        <w:ilvl w:val="2"/>
      </w:numPr>
      <w:outlineLvl w:val="2"/>
    </w:pPr>
  </w:style>
  <w:style w:type="paragraph" w:customStyle="1" w:styleId="C4">
    <w:name w:val="C4"/>
    <w:basedOn w:val="C3"/>
    <w:qFormat/>
    <w:rsid w:val="00A76A3B"/>
    <w:pPr>
      <w:numPr>
        <w:ilvl w:val="3"/>
      </w:numPr>
      <w:outlineLvl w:val="3"/>
    </w:pPr>
  </w:style>
  <w:style w:type="paragraph" w:customStyle="1" w:styleId="C5">
    <w:name w:val="C5"/>
    <w:basedOn w:val="C4"/>
    <w:qFormat/>
    <w:rsid w:val="00A76A3B"/>
    <w:pPr>
      <w:numPr>
        <w:ilvl w:val="4"/>
      </w:numPr>
      <w:outlineLvl w:val="4"/>
    </w:pPr>
  </w:style>
  <w:style w:type="paragraph" w:customStyle="1" w:styleId="C6">
    <w:name w:val="C6"/>
    <w:basedOn w:val="C5"/>
    <w:qFormat/>
    <w:rsid w:val="00C84741"/>
    <w:pPr>
      <w:numPr>
        <w:ilvl w:val="5"/>
      </w:numPr>
    </w:pPr>
    <w:rPr>
      <w:u w:val="single"/>
    </w:rPr>
  </w:style>
  <w:style w:type="paragraph" w:customStyle="1" w:styleId="C7">
    <w:name w:val="C7"/>
    <w:basedOn w:val="C6"/>
    <w:qFormat/>
    <w:rsid w:val="00C84741"/>
    <w:pPr>
      <w:numPr>
        <w:ilvl w:val="6"/>
      </w:numPr>
    </w:pPr>
    <w:rPr>
      <w:color w:val="00B050"/>
      <w:u w:val="none"/>
    </w:rPr>
  </w:style>
  <w:style w:type="paragraph" w:customStyle="1" w:styleId="C8">
    <w:name w:val="C8"/>
    <w:basedOn w:val="C7"/>
    <w:qFormat/>
    <w:rsid w:val="00C84741"/>
    <w:pPr>
      <w:numPr>
        <w:ilvl w:val="7"/>
      </w:numPr>
      <w:jc w:val="center"/>
    </w:pPr>
    <w:rPr>
      <w:b/>
      <w:color w:val="auto"/>
    </w:rPr>
  </w:style>
  <w:style w:type="paragraph" w:customStyle="1" w:styleId="C9">
    <w:name w:val="C9"/>
    <w:basedOn w:val="C8"/>
    <w:qFormat/>
    <w:rsid w:val="00C84741"/>
    <w:pPr>
      <w:numPr>
        <w:ilvl w:val="8"/>
      </w:numPr>
      <w:jc w:val="both"/>
    </w:pPr>
    <w:rPr>
      <w:b w:val="0"/>
      <w:i/>
    </w:rPr>
  </w:style>
  <w:style w:type="paragraph" w:customStyle="1" w:styleId="CBoldCentre">
    <w:name w:val="CBoldCentre"/>
    <w:qFormat/>
    <w:rsid w:val="00EA0F74"/>
    <w:pPr>
      <w:jc w:val="center"/>
    </w:pPr>
    <w:rPr>
      <w:b/>
    </w:rPr>
  </w:style>
  <w:style w:type="paragraph" w:customStyle="1" w:styleId="CGreen">
    <w:name w:val="CGreen"/>
    <w:qFormat/>
    <w:rsid w:val="00EA0F74"/>
    <w:rPr>
      <w:color w:val="00B050"/>
    </w:rPr>
  </w:style>
  <w:style w:type="paragraph" w:customStyle="1" w:styleId="CIndent">
    <w:name w:val="CIndent"/>
    <w:basedOn w:val="Normal"/>
    <w:qFormat/>
    <w:rsid w:val="00EA0F74"/>
    <w:pPr>
      <w:ind w:left="851"/>
      <w:jc w:val="both"/>
    </w:pPr>
  </w:style>
  <w:style w:type="paragraph" w:customStyle="1" w:styleId="CItalic">
    <w:name w:val="CItalic"/>
    <w:qFormat/>
    <w:rsid w:val="00EA0F74"/>
    <w:pPr>
      <w:tabs>
        <w:tab w:val="left" w:pos="851"/>
      </w:tabs>
    </w:pPr>
    <w:rPr>
      <w:i/>
    </w:rPr>
  </w:style>
  <w:style w:type="paragraph" w:customStyle="1" w:styleId="CUnderline">
    <w:name w:val="CUnderline"/>
    <w:qFormat/>
    <w:rsid w:val="00EA0F74"/>
    <w:rPr>
      <w:u w:val="single"/>
    </w:rPr>
  </w:style>
  <w:style w:type="character" w:styleId="LineNumber">
    <w:name w:val="line number"/>
    <w:basedOn w:val="DefaultParagraphFont"/>
    <w:uiPriority w:val="99"/>
    <w:semiHidden/>
    <w:unhideWhenUsed/>
    <w:rsid w:val="00607A37"/>
  </w:style>
  <w:style w:type="paragraph" w:styleId="Header">
    <w:name w:val="header"/>
    <w:basedOn w:val="Normal"/>
    <w:link w:val="HeaderChar"/>
    <w:uiPriority w:val="99"/>
    <w:unhideWhenUsed/>
    <w:rsid w:val="00E84509"/>
    <w:pPr>
      <w:tabs>
        <w:tab w:val="center" w:pos="4513"/>
        <w:tab w:val="right" w:pos="9026"/>
      </w:tabs>
    </w:pPr>
  </w:style>
  <w:style w:type="character" w:customStyle="1" w:styleId="HeaderChar">
    <w:name w:val="Header Char"/>
    <w:basedOn w:val="DefaultParagraphFont"/>
    <w:link w:val="Header"/>
    <w:uiPriority w:val="99"/>
    <w:rsid w:val="00E84509"/>
    <w:rPr>
      <w:rFonts w:asciiTheme="minorHAnsi" w:hAnsiTheme="minorHAnsi"/>
    </w:rPr>
  </w:style>
  <w:style w:type="paragraph" w:styleId="BalloonText">
    <w:name w:val="Balloon Text"/>
    <w:basedOn w:val="Normal"/>
    <w:link w:val="BalloonTextChar"/>
    <w:uiPriority w:val="99"/>
    <w:semiHidden/>
    <w:unhideWhenUsed/>
    <w:rsid w:val="00E84509"/>
    <w:rPr>
      <w:rFonts w:ascii="Tahoma" w:hAnsi="Tahoma" w:cs="Tahoma"/>
      <w:sz w:val="16"/>
      <w:szCs w:val="16"/>
    </w:rPr>
  </w:style>
  <w:style w:type="character" w:customStyle="1" w:styleId="BalloonTextChar">
    <w:name w:val="Balloon Text Char"/>
    <w:basedOn w:val="DefaultParagraphFont"/>
    <w:link w:val="BalloonText"/>
    <w:uiPriority w:val="99"/>
    <w:semiHidden/>
    <w:rsid w:val="00E84509"/>
    <w:rPr>
      <w:rFonts w:ascii="Tahoma" w:hAnsi="Tahoma" w:cs="Tahoma"/>
      <w:sz w:val="16"/>
      <w:szCs w:val="16"/>
    </w:rPr>
  </w:style>
  <w:style w:type="table" w:styleId="TableGrid">
    <w:name w:val="Table Grid"/>
    <w:basedOn w:val="TableNormal"/>
    <w:uiPriority w:val="99"/>
    <w:rsid w:val="006E382E"/>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1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3156"/>
    <w:pPr>
      <w:outlineLvl w:val="9"/>
    </w:pPr>
    <w:rPr>
      <w:lang w:val="en-US" w:eastAsia="ja-JP"/>
    </w:rPr>
  </w:style>
  <w:style w:type="paragraph" w:styleId="Footer">
    <w:name w:val="footer"/>
    <w:basedOn w:val="Normal"/>
    <w:link w:val="FooterChar"/>
    <w:uiPriority w:val="99"/>
    <w:unhideWhenUsed/>
    <w:rsid w:val="00385119"/>
    <w:pPr>
      <w:tabs>
        <w:tab w:val="center" w:pos="4513"/>
        <w:tab w:val="right" w:pos="9026"/>
      </w:tabs>
    </w:pPr>
  </w:style>
  <w:style w:type="character" w:customStyle="1" w:styleId="FooterChar">
    <w:name w:val="Footer Char"/>
    <w:basedOn w:val="DefaultParagraphFont"/>
    <w:link w:val="Footer"/>
    <w:uiPriority w:val="99"/>
    <w:rsid w:val="00385119"/>
    <w:rPr>
      <w:rFonts w:asciiTheme="minorHAnsi" w:hAnsiTheme="minorHAnsi"/>
    </w:rPr>
  </w:style>
  <w:style w:type="character" w:customStyle="1" w:styleId="Heading2Char">
    <w:name w:val="Heading 2 Char"/>
    <w:basedOn w:val="DefaultParagraphFont"/>
    <w:link w:val="Heading2"/>
    <w:uiPriority w:val="9"/>
    <w:semiHidden/>
    <w:rsid w:val="004E7B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7B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B23"/>
    <w:rPr>
      <w:rFonts w:asciiTheme="majorHAnsi" w:eastAsiaTheme="majorEastAsia" w:hAnsiTheme="majorHAnsi" w:cstheme="majorBidi"/>
      <w:color w:val="243F60" w:themeColor="accent1" w:themeShade="7F"/>
    </w:rPr>
  </w:style>
  <w:style w:type="paragraph" w:customStyle="1" w:styleId="ReportHeader">
    <w:name w:val="Report Header"/>
    <w:basedOn w:val="Heading1"/>
    <w:qFormat/>
    <w:rsid w:val="004E7B23"/>
    <w:pPr>
      <w:keepNext w:val="0"/>
      <w:keepLines w:val="0"/>
      <w:numPr>
        <w:numId w:val="20"/>
      </w:numPr>
      <w:tabs>
        <w:tab w:val="left" w:pos="1267"/>
        <w:tab w:val="left" w:pos="1987"/>
        <w:tab w:val="left" w:pos="2707"/>
        <w:tab w:val="left" w:pos="3672"/>
      </w:tabs>
      <w:spacing w:before="120" w:after="240"/>
    </w:pPr>
    <w:rPr>
      <w:rFonts w:ascii="Arial" w:eastAsia="Times New Roman" w:hAnsi="Arial" w:cs="Times New Roman"/>
      <w:bCs w:val="0"/>
      <w:color w:val="auto"/>
      <w:sz w:val="22"/>
      <w:szCs w:val="20"/>
      <w:lang w:eastAsia="en-GB"/>
    </w:rPr>
  </w:style>
  <w:style w:type="paragraph" w:customStyle="1" w:styleId="ReportHeader1">
    <w:name w:val="Report Header 1"/>
    <w:basedOn w:val="Heading3"/>
    <w:next w:val="Heading3"/>
    <w:qFormat/>
    <w:rsid w:val="004E7B23"/>
    <w:pPr>
      <w:keepNext w:val="0"/>
      <w:keepLines w:val="0"/>
      <w:numPr>
        <w:ilvl w:val="1"/>
      </w:numPr>
      <w:tabs>
        <w:tab w:val="left" w:pos="1267"/>
        <w:tab w:val="left" w:pos="1987"/>
        <w:tab w:val="left" w:pos="2707"/>
        <w:tab w:val="left" w:pos="3672"/>
      </w:tabs>
      <w:spacing w:before="120"/>
    </w:pPr>
    <w:rPr>
      <w:rFonts w:ascii="Arial" w:eastAsia="Times New Roman" w:hAnsi="Arial" w:cs="Times New Roman"/>
      <w:bCs w:val="0"/>
      <w:color w:val="auto"/>
      <w:szCs w:val="20"/>
      <w:lang w:eastAsia="en-GB"/>
    </w:rPr>
  </w:style>
  <w:style w:type="paragraph" w:customStyle="1" w:styleId="CTableBoldCentre">
    <w:name w:val="CTableBoldCentre"/>
    <w:rsid w:val="00BF6DF3"/>
    <w:pPr>
      <w:jc w:val="center"/>
    </w:pPr>
    <w:rPr>
      <w:rFonts w:eastAsia="Times New Roman" w:cs="Times New Roman"/>
      <w:b/>
      <w:bCs/>
      <w:sz w:val="20"/>
      <w:szCs w:val="20"/>
    </w:rPr>
  </w:style>
  <w:style w:type="paragraph" w:customStyle="1" w:styleId="CommitteeReportSubHeader">
    <w:name w:val="Committee Report Sub Header"/>
    <w:basedOn w:val="ReportHeader1"/>
    <w:rsid w:val="004E7B23"/>
  </w:style>
  <w:style w:type="paragraph" w:customStyle="1" w:styleId="Letterlist">
    <w:name w:val="Letter list"/>
    <w:basedOn w:val="ReportHeader1"/>
    <w:qFormat/>
    <w:rsid w:val="004E7B23"/>
    <w:pPr>
      <w:numPr>
        <w:ilvl w:val="4"/>
      </w:numPr>
    </w:pPr>
  </w:style>
  <w:style w:type="paragraph" w:styleId="Caption">
    <w:name w:val="caption"/>
    <w:aliases w:val="TCaption"/>
    <w:basedOn w:val="Normal"/>
    <w:next w:val="Normal"/>
    <w:unhideWhenUsed/>
    <w:qFormat/>
    <w:rsid w:val="00180935"/>
    <w:pPr>
      <w:spacing w:after="200"/>
    </w:pPr>
    <w:rPr>
      <w:rFonts w:eastAsia="Times New Roman" w:cs="Times New Roman"/>
      <w:bCs/>
      <w:i/>
      <w:sz w:val="18"/>
      <w:szCs w:val="18"/>
      <w:lang w:eastAsia="en-GB"/>
    </w:rPr>
  </w:style>
  <w:style w:type="paragraph" w:customStyle="1" w:styleId="CGreenIndent">
    <w:name w:val="CGreenIndent"/>
    <w:basedOn w:val="Normal"/>
    <w:rsid w:val="00EA0F74"/>
    <w:pPr>
      <w:ind w:left="851"/>
    </w:pPr>
    <w:rPr>
      <w:color w:val="00B050"/>
    </w:rPr>
  </w:style>
  <w:style w:type="paragraph" w:customStyle="1" w:styleId="CBoldIndent">
    <w:name w:val="CBoldIndent"/>
    <w:rsid w:val="002D2F09"/>
    <w:pPr>
      <w:ind w:left="851"/>
    </w:pPr>
    <w:rPr>
      <w:rFonts w:eastAsia="Times New Roman" w:cs="Times New Roman"/>
      <w:b/>
      <w:bCs/>
      <w:szCs w:val="20"/>
    </w:rPr>
  </w:style>
  <w:style w:type="paragraph" w:customStyle="1" w:styleId="CTableBold10Center">
    <w:name w:val="CTableBold10Center"/>
    <w:basedOn w:val="CTableBold10"/>
    <w:rsid w:val="009F5CA3"/>
    <w:pPr>
      <w:jc w:val="center"/>
    </w:pPr>
    <w:rPr>
      <w:rFonts w:eastAsia="Times New Roman" w:cs="Times New Roman"/>
      <w:szCs w:val="20"/>
    </w:rPr>
  </w:style>
  <w:style w:type="paragraph" w:customStyle="1" w:styleId="CGreenLeft">
    <w:name w:val="CGreenLeft"/>
    <w:basedOn w:val="Normal"/>
    <w:rsid w:val="00731370"/>
    <w:rPr>
      <w:rFonts w:eastAsia="Times New Roman" w:cs="Times New Roman"/>
      <w:iCs/>
      <w:color w:val="00B050"/>
      <w:szCs w:val="20"/>
    </w:rPr>
  </w:style>
  <w:style w:type="paragraph" w:customStyle="1" w:styleId="CTableBold11">
    <w:name w:val="CTableBold11"/>
    <w:rsid w:val="00F744EB"/>
    <w:rPr>
      <w:b/>
    </w:rPr>
  </w:style>
  <w:style w:type="paragraph" w:customStyle="1" w:styleId="CTableBold10">
    <w:name w:val="CTableBold10"/>
    <w:rsid w:val="00F744EB"/>
    <w:rPr>
      <w:b/>
      <w:bCs/>
      <w:sz w:val="20"/>
    </w:rPr>
  </w:style>
  <w:style w:type="paragraph" w:customStyle="1" w:styleId="CTableCenter10">
    <w:name w:val="CTableCenter10"/>
    <w:rsid w:val="00F744EB"/>
    <w:pPr>
      <w:jc w:val="center"/>
    </w:pPr>
    <w:rPr>
      <w:rFonts w:eastAsia="Times New Roman" w:cs="Times New Roman"/>
      <w:sz w:val="20"/>
      <w:szCs w:val="20"/>
    </w:rPr>
  </w:style>
  <w:style w:type="paragraph" w:customStyle="1" w:styleId="CTable10">
    <w:name w:val="CTable10"/>
    <w:qFormat/>
    <w:rsid w:val="00A73AAD"/>
    <w:pPr>
      <w:tabs>
        <w:tab w:val="left" w:pos="252"/>
      </w:tabs>
    </w:pPr>
    <w:rPr>
      <w:sz w:val="20"/>
    </w:rPr>
  </w:style>
  <w:style w:type="paragraph" w:customStyle="1" w:styleId="StyleC2Green">
    <w:name w:val="Style C2 + Green"/>
    <w:basedOn w:val="C2"/>
    <w:rsid w:val="00731370"/>
    <w:rPr>
      <w:color w:val="00B050"/>
    </w:rPr>
  </w:style>
  <w:style w:type="paragraph" w:styleId="Revision">
    <w:name w:val="Revision"/>
    <w:hidden/>
    <w:uiPriority w:val="99"/>
    <w:semiHidden/>
    <w:rsid w:val="00621F76"/>
    <w:pPr>
      <w:jc w:val="left"/>
    </w:pPr>
  </w:style>
  <w:style w:type="paragraph" w:styleId="ListParagraph">
    <w:name w:val="List Paragraph"/>
    <w:basedOn w:val="Normal"/>
    <w:uiPriority w:val="34"/>
    <w:qFormat/>
    <w:rsid w:val="00D80B07"/>
    <w:pPr>
      <w:ind w:left="720"/>
      <w:contextualSpacing/>
    </w:pPr>
  </w:style>
  <w:style w:type="character" w:styleId="Hyperlink">
    <w:name w:val="Hyperlink"/>
    <w:basedOn w:val="DefaultParagraphFont"/>
    <w:uiPriority w:val="99"/>
    <w:unhideWhenUsed/>
    <w:rsid w:val="00664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river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thos\AppData\Local\Microsoft\Windows\Temporary%20Internet%20Files\Content.IE5\60DWCJFO\committe_report_template__May_2018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6AAF-FA01-47F6-9588-66257DC5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committe_report_template__May_2018_.dotx</Template>
  <TotalTime>16</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Haythorpe</dc:creator>
  <cp:lastModifiedBy>Jo Welton</cp:lastModifiedBy>
  <cp:revision>5</cp:revision>
  <cp:lastPrinted>2018-05-16T13:26:00Z</cp:lastPrinted>
  <dcterms:created xsi:type="dcterms:W3CDTF">2020-07-31T08:17:00Z</dcterms:created>
  <dcterms:modified xsi:type="dcterms:W3CDTF">2020-08-03T08:20:00Z</dcterms:modified>
</cp:coreProperties>
</file>