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D" w:rsidRDefault="00554A1D" w:rsidP="00B7461B">
      <w:pPr>
        <w:jc w:val="center"/>
        <w:rPr>
          <w:b/>
        </w:rPr>
      </w:pPr>
    </w:p>
    <w:p w:rsidR="000D4B99" w:rsidRDefault="000D4B99" w:rsidP="00B7461B">
      <w:pPr>
        <w:jc w:val="center"/>
        <w:rPr>
          <w:b/>
          <w:i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 w:rsidR="00B7461B">
        <w:rPr>
          <w:b/>
        </w:rPr>
        <w:t>AUDIT</w:t>
      </w:r>
      <w:r>
        <w:rPr>
          <w:b/>
        </w:rPr>
        <w:t xml:space="preserve"> COMMITTEE </w:t>
      </w:r>
      <w:r w:rsidR="00B7461B">
        <w:rPr>
          <w:b/>
        </w:rPr>
        <w:t>–</w:t>
      </w:r>
      <w:r>
        <w:rPr>
          <w:b/>
        </w:rPr>
        <w:t xml:space="preserve"> </w:t>
      </w:r>
      <w:r w:rsidR="003A0AFC">
        <w:rPr>
          <w:b/>
        </w:rPr>
        <w:t>26 SEPTEMBER</w:t>
      </w:r>
      <w:r w:rsidR="00CD716E">
        <w:rPr>
          <w:b/>
        </w:rPr>
        <w:t xml:space="preserve"> 2017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0D4B99" w:rsidRDefault="000D4B99">
      <w:pPr>
        <w:jc w:val="center"/>
      </w:pPr>
    </w:p>
    <w:p w:rsidR="000D4B99" w:rsidRDefault="000D4B99">
      <w:pPr>
        <w:jc w:val="center"/>
        <w:rPr>
          <w:i/>
          <w:color w:val="FF0000"/>
        </w:rPr>
      </w:pPr>
      <w:r>
        <w:rPr>
          <w:b/>
        </w:rPr>
        <w:t xml:space="preserve">PART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 xml:space="preserve">I - 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  <w:r>
        <w:rPr>
          <w:b/>
        </w:rPr>
        <w:t>DELEGATED</w:t>
      </w: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723221" w:rsidRDefault="00723221"/>
    <w:p w:rsidR="000D4B99" w:rsidRDefault="00895824" w:rsidP="002D69A9">
      <w:pPr>
        <w:keepNext/>
        <w:ind w:left="1267" w:hanging="1267"/>
        <w:jc w:val="left"/>
        <w:rPr>
          <w:i/>
          <w:color w:val="FF0000"/>
        </w:rPr>
      </w:pPr>
      <w:r>
        <w:rPr>
          <w:b/>
        </w:rPr>
        <w:t>1</w:t>
      </w:r>
      <w:r w:rsidR="00751BC7">
        <w:rPr>
          <w:b/>
        </w:rPr>
        <w:t>4</w:t>
      </w:r>
      <w:r w:rsidR="00B7461B">
        <w:rPr>
          <w:b/>
        </w:rPr>
        <w:t>.</w:t>
      </w:r>
      <w:r w:rsidR="00B7461B">
        <w:rPr>
          <w:b/>
        </w:rPr>
        <w:tab/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  <w:r w:rsidRPr="00895824">
        <w:rPr>
          <w:b/>
        </w:rPr>
        <w:t xml:space="preserve"> </w:t>
      </w:r>
      <w:r>
        <w:rPr>
          <w:b/>
        </w:rPr>
        <w:t xml:space="preserve">APPOINTMENT OF AUDITORS – UPDATE </w:t>
      </w:r>
      <w:r w:rsidR="000D4B99">
        <w:rPr>
          <w:b/>
        </w:rPr>
        <w:fldChar w:fldCharType="begin"/>
      </w:r>
      <w:r w:rsidR="000D4B99">
        <w:rPr>
          <w:b/>
        </w:rPr>
        <w:instrText xml:space="preserve">  </w:instrText>
      </w:r>
      <w:r w:rsidR="000D4B99">
        <w:rPr>
          <w:b/>
        </w:rPr>
        <w:fldChar w:fldCharType="end"/>
      </w:r>
    </w:p>
    <w:p w:rsidR="000D4B99" w:rsidRDefault="000D4B99">
      <w:pPr>
        <w:keepNext/>
        <w:ind w:left="1267" w:hanging="1267"/>
        <w:rPr>
          <w:i/>
          <w:color w:val="FF0000"/>
        </w:rPr>
      </w:pPr>
      <w:r>
        <w:rPr>
          <w:b/>
        </w:rPr>
        <w:tab/>
      </w:r>
      <w:r>
        <w:t>(</w:t>
      </w:r>
      <w:proofErr w:type="spellStart"/>
      <w:r w:rsidR="00A263A6">
        <w:t>DoF</w:t>
      </w:r>
      <w:proofErr w:type="spellEnd"/>
      <w:r>
        <w:fldChar w:fldCharType="begin"/>
      </w:r>
      <w:r>
        <w:instrText xml:space="preserve">  </w:instrText>
      </w:r>
      <w:r>
        <w:fldChar w:fldCharType="end"/>
      </w:r>
      <w:r>
        <w:t>)</w:t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  <w:r>
        <w:rPr>
          <w:b/>
          <w:i/>
          <w:sz w:val="24"/>
        </w:rPr>
        <w:fldChar w:fldCharType="begin"/>
      </w:r>
      <w:r>
        <w:rPr>
          <w:b/>
          <w:i/>
          <w:sz w:val="24"/>
        </w:rPr>
        <w:instrText xml:space="preserve">  </w:instrText>
      </w:r>
      <w:r>
        <w:rPr>
          <w:b/>
          <w:i/>
          <w:sz w:val="24"/>
        </w:rPr>
        <w:fldChar w:fldCharType="end"/>
      </w:r>
    </w:p>
    <w:p w:rsidR="000D4B99" w:rsidRDefault="000D4B99">
      <w:pPr>
        <w:ind w:left="1267" w:hanging="1267"/>
      </w:pPr>
    </w:p>
    <w:p w:rsidR="000D4B99" w:rsidRDefault="000D4B99">
      <w:pPr>
        <w:keepNext/>
        <w:ind w:left="1267" w:hanging="1267"/>
      </w:pPr>
      <w:r>
        <w:t>1.</w:t>
      </w:r>
      <w:r>
        <w:tab/>
      </w:r>
      <w:r>
        <w:rPr>
          <w:b/>
        </w:rPr>
        <w:t>Summary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  <w:rPr>
          <w:rFonts w:cs="Arial"/>
          <w:szCs w:val="22"/>
        </w:rPr>
      </w:pPr>
      <w:r>
        <w:t>1.1</w:t>
      </w:r>
      <w:r>
        <w:tab/>
      </w:r>
      <w:r w:rsidR="00895824" w:rsidRPr="00A97073">
        <w:rPr>
          <w:rFonts w:cs="Arial"/>
          <w:szCs w:val="22"/>
        </w:rPr>
        <w:t>This report gives an update on the appointment of the Council’s external auditor from</w:t>
      </w:r>
      <w:r w:rsidR="00845A07">
        <w:rPr>
          <w:rFonts w:cs="Arial"/>
          <w:szCs w:val="22"/>
        </w:rPr>
        <w:t xml:space="preserve"> financial year</w:t>
      </w:r>
      <w:r w:rsidR="00895824" w:rsidRPr="00A97073">
        <w:rPr>
          <w:rFonts w:cs="Arial"/>
          <w:szCs w:val="22"/>
        </w:rPr>
        <w:t xml:space="preserve"> 2018/19.</w:t>
      </w:r>
    </w:p>
    <w:p w:rsidR="00895824" w:rsidRDefault="00895824">
      <w:pPr>
        <w:ind w:left="1267" w:hanging="1267"/>
      </w:pPr>
    </w:p>
    <w:p w:rsidR="000D4B99" w:rsidRDefault="000D4B99">
      <w:pPr>
        <w:keepNext/>
        <w:ind w:left="1267" w:hanging="1267"/>
        <w:rPr>
          <w:b/>
        </w:rPr>
      </w:pPr>
      <w:r>
        <w:t>2.</w:t>
      </w:r>
      <w:r>
        <w:tab/>
      </w:r>
      <w:r>
        <w:rPr>
          <w:b/>
        </w:rPr>
        <w:t>Details</w:t>
      </w:r>
    </w:p>
    <w:p w:rsidR="00F30E22" w:rsidRDefault="000D4B99" w:rsidP="00572246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 w:rsidRPr="00723221">
        <w:rPr>
          <w:rFonts w:cs="Arial"/>
          <w:szCs w:val="22"/>
        </w:rPr>
        <w:t>2.1</w:t>
      </w:r>
      <w:r w:rsidRPr="00723221">
        <w:rPr>
          <w:rFonts w:cs="Arial"/>
          <w:szCs w:val="22"/>
        </w:rPr>
        <w:tab/>
      </w:r>
      <w:r w:rsidRPr="00723221">
        <w:rPr>
          <w:rFonts w:cs="Arial"/>
          <w:szCs w:val="22"/>
        </w:rPr>
        <w:fldChar w:fldCharType="begin"/>
      </w:r>
      <w:r w:rsidRPr="00723221">
        <w:rPr>
          <w:rFonts w:cs="Arial"/>
          <w:szCs w:val="22"/>
        </w:rPr>
        <w:instrText xml:space="preserve">  </w:instrText>
      </w:r>
      <w:r w:rsidRPr="00723221">
        <w:rPr>
          <w:rFonts w:cs="Arial"/>
          <w:szCs w:val="22"/>
        </w:rPr>
        <w:fldChar w:fldCharType="end"/>
      </w:r>
      <w:r w:rsidR="00895824">
        <w:rPr>
          <w:rFonts w:cs="Arial"/>
          <w:szCs w:val="22"/>
        </w:rPr>
        <w:t>At its meeting in November last year, this committee approved and recommended to Council the use of the Public Sector Audit A</w:t>
      </w:r>
      <w:r w:rsidR="00776875">
        <w:rPr>
          <w:rFonts w:cs="Arial"/>
          <w:szCs w:val="22"/>
        </w:rPr>
        <w:t>ppointments Ltd</w:t>
      </w:r>
      <w:r w:rsidR="00895824">
        <w:rPr>
          <w:rFonts w:cs="Arial"/>
          <w:szCs w:val="22"/>
        </w:rPr>
        <w:t xml:space="preserve"> (PSAA) to appoint the Council’s external auditors from 2018/19.  This was ratified and agreed at Council in December 2016. </w:t>
      </w:r>
    </w:p>
    <w:p w:rsidR="00895824" w:rsidRDefault="00F30E22" w:rsidP="00CF529B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>
        <w:rPr>
          <w:rFonts w:cs="Arial"/>
          <w:szCs w:val="22"/>
        </w:rPr>
        <w:t>2.2</w:t>
      </w:r>
      <w:r>
        <w:rPr>
          <w:rFonts w:cs="Arial"/>
          <w:szCs w:val="22"/>
        </w:rPr>
        <w:tab/>
      </w:r>
      <w:r w:rsidR="005943E8">
        <w:rPr>
          <w:rFonts w:cs="Arial"/>
          <w:szCs w:val="22"/>
        </w:rPr>
        <w:t>Th</w:t>
      </w:r>
      <w:r w:rsidR="00895824">
        <w:rPr>
          <w:rFonts w:cs="Arial"/>
          <w:szCs w:val="22"/>
        </w:rPr>
        <w:t xml:space="preserve">is was confirmed to PSAA and they have since proposed that the external auditors for this Council will be Ernst and Young LLP (EY).  </w:t>
      </w:r>
      <w:r w:rsidR="00CF529B" w:rsidRPr="00CF529B">
        <w:rPr>
          <w:rFonts w:cs="Arial"/>
          <w:szCs w:val="22"/>
        </w:rPr>
        <w:t>The PSAA Board will consider all proposed auditor appointments at its meeting on 14 December 2017, and</w:t>
      </w:r>
      <w:r w:rsidR="00CF529B">
        <w:rPr>
          <w:rFonts w:cs="Arial"/>
          <w:szCs w:val="22"/>
        </w:rPr>
        <w:t xml:space="preserve"> will write to the Council as s</w:t>
      </w:r>
      <w:r w:rsidR="00CF529B" w:rsidRPr="00CF529B">
        <w:rPr>
          <w:rFonts w:cs="Arial"/>
          <w:szCs w:val="22"/>
        </w:rPr>
        <w:t xml:space="preserve">oon as possible after the meeting </w:t>
      </w:r>
      <w:r w:rsidR="00CF529B">
        <w:rPr>
          <w:rFonts w:cs="Arial"/>
          <w:szCs w:val="22"/>
        </w:rPr>
        <w:t xml:space="preserve">to </w:t>
      </w:r>
      <w:r w:rsidR="00CF529B" w:rsidRPr="00CF529B">
        <w:rPr>
          <w:rFonts w:cs="Arial"/>
          <w:szCs w:val="22"/>
        </w:rPr>
        <w:t xml:space="preserve">confirm </w:t>
      </w:r>
      <w:r w:rsidR="00CF529B">
        <w:rPr>
          <w:rFonts w:cs="Arial"/>
          <w:szCs w:val="22"/>
        </w:rPr>
        <w:t xml:space="preserve">the </w:t>
      </w:r>
      <w:r w:rsidR="00CF529B" w:rsidRPr="00CF529B">
        <w:rPr>
          <w:rFonts w:cs="Arial"/>
          <w:szCs w:val="22"/>
        </w:rPr>
        <w:t>auditor appointment.</w:t>
      </w:r>
      <w:r w:rsidR="00CF529B">
        <w:rPr>
          <w:rFonts w:cs="Arial"/>
          <w:szCs w:val="22"/>
        </w:rPr>
        <w:t xml:space="preserve"> A</w:t>
      </w:r>
      <w:r w:rsidR="00895824">
        <w:rPr>
          <w:rFonts w:cs="Arial"/>
          <w:szCs w:val="22"/>
        </w:rPr>
        <w:t xml:space="preserve"> report will be brought to this committee asking them to approve the appointment following formal notification.</w:t>
      </w:r>
    </w:p>
    <w:p w:rsidR="00895824" w:rsidRDefault="00895824" w:rsidP="004D0BCD">
      <w:pPr>
        <w:spacing w:before="100" w:beforeAutospacing="1" w:after="100" w:afterAutospacing="1"/>
        <w:ind w:left="1276" w:hanging="1276"/>
        <w:rPr>
          <w:rFonts w:cs="Arial"/>
          <w:szCs w:val="22"/>
        </w:rPr>
      </w:pPr>
      <w:r>
        <w:rPr>
          <w:rFonts w:cs="Arial"/>
          <w:szCs w:val="22"/>
        </w:rPr>
        <w:t>2.3</w:t>
      </w:r>
      <w:r>
        <w:rPr>
          <w:rFonts w:cs="Arial"/>
          <w:szCs w:val="22"/>
        </w:rPr>
        <w:tab/>
        <w:t>The Director of Finance has no objections to EY being appointed as the Council’s external auditors from 2018/19.</w:t>
      </w:r>
    </w:p>
    <w:p w:rsidR="000D4B99" w:rsidRDefault="000D4B99" w:rsidP="00895824">
      <w:pPr>
        <w:spacing w:before="100" w:beforeAutospacing="1" w:after="100" w:afterAutospacing="1"/>
        <w:ind w:left="1276" w:hanging="1276"/>
      </w:pPr>
      <w:r>
        <w:t>3.</w:t>
      </w:r>
      <w:r>
        <w:tab/>
      </w:r>
      <w:r>
        <w:rPr>
          <w:b/>
        </w:rPr>
        <w:t>Options/Reasons for Recomme</w:t>
      </w:r>
      <w:bookmarkStart w:id="0" w:name="_GoBack"/>
      <w:bookmarkEnd w:id="0"/>
      <w:r>
        <w:rPr>
          <w:b/>
        </w:rPr>
        <w:t>ndation</w:t>
      </w:r>
    </w:p>
    <w:p w:rsidR="00B7461B" w:rsidRDefault="000D4B99">
      <w:pPr>
        <w:ind w:left="1267" w:hanging="1267"/>
      </w:pPr>
      <w:r>
        <w:t>3.1</w:t>
      </w:r>
      <w:r w:rsidR="00B7461B">
        <w:tab/>
      </w:r>
      <w:r>
        <w:tab/>
      </w:r>
      <w:r>
        <w:fldChar w:fldCharType="begin"/>
      </w:r>
      <w:r>
        <w:instrText xml:space="preserve">  </w:instrText>
      </w:r>
      <w:r>
        <w:fldChar w:fldCharType="end"/>
      </w:r>
      <w:r w:rsidR="00723221">
        <w:t>The recommendation enables the Committee to note the</w:t>
      </w:r>
      <w:r w:rsidR="00B17F0A">
        <w:t xml:space="preserve"> </w:t>
      </w:r>
      <w:r w:rsidR="00895824">
        <w:t>provisional appointment of EY as the Council’s external auditors from 2018/19</w:t>
      </w:r>
      <w:r w:rsidR="00CF529B">
        <w:t>.</w:t>
      </w:r>
    </w:p>
    <w:p w:rsidR="00B7461B" w:rsidRDefault="00B7461B">
      <w:pPr>
        <w:ind w:left="1267" w:hanging="1267"/>
      </w:pPr>
    </w:p>
    <w:p w:rsidR="000D4B99" w:rsidRDefault="000D4B99">
      <w:pPr>
        <w:keepNext/>
        <w:ind w:left="1267" w:hanging="1267"/>
      </w:pPr>
      <w:r>
        <w:t>4.</w:t>
      </w:r>
      <w:r>
        <w:tab/>
      </w:r>
      <w:r>
        <w:rPr>
          <w:b/>
        </w:rPr>
        <w:t>Policy/Budget Implications</w:t>
      </w:r>
    </w:p>
    <w:p w:rsidR="000D4B99" w:rsidRDefault="000D4B99">
      <w:pPr>
        <w:keepNext/>
        <w:ind w:left="1267" w:hanging="1267"/>
      </w:pPr>
    </w:p>
    <w:p w:rsidR="000D4B99" w:rsidRDefault="000D4B99">
      <w:pPr>
        <w:ind w:left="1267" w:hanging="1267"/>
      </w:pPr>
      <w:r>
        <w:t>4.1</w:t>
      </w:r>
      <w:r>
        <w:tab/>
        <w:t>The recommendations in this report are within the Council’s agreed policy and budgets.</w:t>
      </w:r>
      <w:r>
        <w:fldChar w:fldCharType="begin"/>
      </w:r>
      <w:r>
        <w:instrText xml:space="preserve">  </w:instrText>
      </w:r>
      <w:r>
        <w:fldChar w:fldCharType="end"/>
      </w:r>
    </w:p>
    <w:p w:rsidR="000D4B99" w:rsidRDefault="000D4B99">
      <w:pPr>
        <w:ind w:left="1267" w:hanging="1267"/>
      </w:pPr>
    </w:p>
    <w:p w:rsidR="000D4B99" w:rsidRDefault="00B7461B">
      <w:pPr>
        <w:keepNext/>
        <w:ind w:left="1267" w:hanging="1267"/>
      </w:pPr>
      <w:r>
        <w:t>5.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 xml:space="preserve">Legal, Equal Opportunities, Staffing, Environmental, Community Safety, Customer Services Centre </w:t>
      </w:r>
      <w:r w:rsidR="002D69A9">
        <w:rPr>
          <w:b/>
        </w:rPr>
        <w:t xml:space="preserve">and </w:t>
      </w:r>
      <w:r w:rsidR="000D4B99">
        <w:rPr>
          <w:b/>
        </w:rPr>
        <w:t>Website Implications</w:t>
      </w:r>
    </w:p>
    <w:p w:rsidR="000D4B99" w:rsidRDefault="000D4B99">
      <w:pPr>
        <w:keepNext/>
        <w:ind w:left="1267" w:hanging="1267"/>
      </w:pPr>
    </w:p>
    <w:p w:rsidR="000D4B99" w:rsidRDefault="00B7461B">
      <w:pPr>
        <w:ind w:left="1267" w:hanging="1267"/>
      </w:pPr>
      <w:r>
        <w:t>5.1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  <w:t>None specific.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6</w:t>
      </w:r>
      <w:r w:rsidR="000D4B99">
        <w:t>.</w:t>
      </w:r>
      <w:r w:rsidR="000D4B99">
        <w:tab/>
      </w:r>
      <w:r w:rsidR="000D4B99">
        <w:rPr>
          <w:b/>
        </w:rPr>
        <w:t>Financial Implications</w:t>
      </w:r>
    </w:p>
    <w:p w:rsidR="000D4B99" w:rsidRDefault="000D4B99">
      <w:pPr>
        <w:keepNext/>
        <w:ind w:left="1267" w:hanging="1267"/>
        <w:jc w:val="left"/>
      </w:pPr>
    </w:p>
    <w:p w:rsidR="000D4B99" w:rsidRPr="00B7461B" w:rsidRDefault="00A71D22">
      <w:pPr>
        <w:tabs>
          <w:tab w:val="left" w:pos="3330"/>
        </w:tabs>
        <w:ind w:left="1267" w:hanging="1267"/>
      </w:pPr>
      <w:r>
        <w:t>6</w:t>
      </w:r>
      <w:r w:rsidR="000D4B99">
        <w:t>.1</w:t>
      </w:r>
      <w:r w:rsidR="000D4B99">
        <w:rPr>
          <w:i/>
        </w:rPr>
        <w:tab/>
      </w:r>
      <w:r w:rsidR="000D4B99" w:rsidRPr="00B7461B">
        <w:fldChar w:fldCharType="begin"/>
      </w:r>
      <w:r w:rsidR="000D4B99" w:rsidRPr="00B7461B">
        <w:instrText xml:space="preserve">  </w:instrText>
      </w:r>
      <w:r w:rsidR="000D4B99" w:rsidRPr="00B7461B">
        <w:fldChar w:fldCharType="end"/>
      </w:r>
      <w:r w:rsidR="00B7461B" w:rsidRPr="00B7461B">
        <w:t>T</w:t>
      </w:r>
      <w:r w:rsidR="000D4B99" w:rsidRPr="00B7461B">
        <w:t>he</w:t>
      </w:r>
      <w:r w:rsidR="00895824">
        <w:t xml:space="preserve"> fees for the annual accounts audit will be included in future budgets.</w:t>
      </w:r>
      <w:r w:rsidR="000D4B99" w:rsidRPr="00B7461B">
        <w:t xml:space="preserve"> </w:t>
      </w:r>
    </w:p>
    <w:p w:rsidR="000D4B99" w:rsidRDefault="000D4B99">
      <w:pPr>
        <w:ind w:left="1267" w:hanging="1267"/>
      </w:pPr>
    </w:p>
    <w:p w:rsidR="000D4B99" w:rsidRDefault="00A71D22">
      <w:pPr>
        <w:keepNext/>
        <w:ind w:left="1267" w:hanging="1267"/>
      </w:pPr>
      <w:r>
        <w:t>7</w:t>
      </w:r>
      <w:r w:rsidR="000D4B99">
        <w:t>.</w:t>
      </w:r>
      <w:r w:rsidR="000D4B99">
        <w:tab/>
      </w:r>
      <w:r w:rsidR="000D4B99">
        <w:rPr>
          <w:b/>
        </w:rPr>
        <w:t>Risk Management Implications</w:t>
      </w:r>
    </w:p>
    <w:p w:rsidR="000D4B99" w:rsidRDefault="000D4B99">
      <w:pPr>
        <w:keepNext/>
        <w:ind w:left="1267" w:hanging="1267"/>
      </w:pPr>
    </w:p>
    <w:p w:rsidR="002D69A9" w:rsidRDefault="00A71D22" w:rsidP="00C5170B">
      <w:pPr>
        <w:ind w:left="1276" w:hanging="1276"/>
      </w:pPr>
      <w:r>
        <w:t>7</w:t>
      </w:r>
      <w:r w:rsidR="00C5170B" w:rsidRPr="00107D1F">
        <w:t>.1</w:t>
      </w:r>
      <w:r w:rsidR="00C5170B" w:rsidRPr="00107D1F">
        <w:tab/>
        <w:t>The</w:t>
      </w:r>
      <w:r w:rsidR="002D69A9">
        <w:t>re are no risks associated with the decision members are being asked to take.</w:t>
      </w:r>
    </w:p>
    <w:p w:rsidR="002D69A9" w:rsidRDefault="002D69A9" w:rsidP="00C5170B">
      <w:pPr>
        <w:ind w:left="1276" w:hanging="1276"/>
      </w:pPr>
    </w:p>
    <w:p w:rsidR="000D4B99" w:rsidRDefault="00A71D22">
      <w:pPr>
        <w:keepNext/>
        <w:ind w:left="1267" w:hanging="1267"/>
      </w:pPr>
      <w:r>
        <w:t>8</w:t>
      </w:r>
      <w:r w:rsidR="000D4B99">
        <w:t>.</w:t>
      </w:r>
      <w:r w:rsidR="000D4B99">
        <w:fldChar w:fldCharType="begin"/>
      </w:r>
      <w:r w:rsidR="000D4B99">
        <w:instrText xml:space="preserve">  </w:instrText>
      </w:r>
      <w:r w:rsidR="000D4B99">
        <w:fldChar w:fldCharType="end"/>
      </w:r>
      <w:r w:rsidR="000D4B99">
        <w:tab/>
      </w:r>
      <w:r w:rsidR="000D4B99">
        <w:rPr>
          <w:b/>
        </w:rPr>
        <w:t>Recommendation</w:t>
      </w:r>
    </w:p>
    <w:p w:rsidR="000D4B99" w:rsidRDefault="000D4B99">
      <w:pPr>
        <w:keepNext/>
        <w:ind w:left="1267" w:hanging="1267"/>
      </w:pPr>
    </w:p>
    <w:p w:rsidR="00CD716E" w:rsidRDefault="00A71D22" w:rsidP="00895824">
      <w:pPr>
        <w:ind w:left="1267" w:hanging="1267"/>
      </w:pPr>
      <w:r>
        <w:t>8</w:t>
      </w:r>
      <w:r w:rsidR="000D4B99">
        <w:t>.1</w:t>
      </w:r>
      <w:r w:rsidR="000D4B99">
        <w:tab/>
        <w:t xml:space="preserve">That </w:t>
      </w:r>
      <w:r w:rsidR="002D69A9">
        <w:t xml:space="preserve">the Committee notes the </w:t>
      </w:r>
      <w:r w:rsidR="00895824">
        <w:t>provisional appointment of EY and will be asked to formally approve this appointment at a future committee.</w:t>
      </w:r>
    </w:p>
    <w:p w:rsidR="00CD716E" w:rsidRDefault="00CD716E" w:rsidP="002D69A9">
      <w:pPr>
        <w:jc w:val="left"/>
      </w:pPr>
    </w:p>
    <w:p w:rsidR="00CD716E" w:rsidRDefault="00CD716E" w:rsidP="002D69A9">
      <w:pPr>
        <w:jc w:val="left"/>
      </w:pPr>
    </w:p>
    <w:p w:rsidR="00A263A6" w:rsidRDefault="00902C5C" w:rsidP="002D69A9">
      <w:pPr>
        <w:jc w:val="left"/>
      </w:pPr>
      <w:r>
        <w:tab/>
      </w:r>
      <w:r w:rsidR="00B17F0A">
        <w:t>R</w:t>
      </w:r>
      <w:r w:rsidR="000D4B99">
        <w:t>eport prepared by:</w:t>
      </w:r>
      <w:r w:rsidR="002D69A9">
        <w:t xml:space="preserve"> </w:t>
      </w:r>
      <w:r w:rsidR="00D45545">
        <w:t>Bob Watson</w:t>
      </w:r>
      <w:r w:rsidR="00A263A6">
        <w:t xml:space="preserve"> –</w:t>
      </w:r>
      <w:r w:rsidR="00FC1330">
        <w:t xml:space="preserve"> </w:t>
      </w:r>
      <w:r w:rsidR="00A263A6">
        <w:t xml:space="preserve">Head of Finance </w:t>
      </w:r>
    </w:p>
    <w:p w:rsidR="00A263A6" w:rsidRDefault="00A263A6" w:rsidP="002D69A9">
      <w:pPr>
        <w:jc w:val="left"/>
      </w:pPr>
    </w:p>
    <w:p w:rsidR="00571154" w:rsidRDefault="00571154">
      <w:pPr>
        <w:keepNext/>
        <w:ind w:left="1267" w:hanging="1267"/>
      </w:pPr>
    </w:p>
    <w:p w:rsidR="000E0CFF" w:rsidRDefault="000E0CFF" w:rsidP="000E0CFF">
      <w:pPr>
        <w:keepNext/>
        <w:ind w:left="1267" w:hanging="1267"/>
      </w:pPr>
      <w:r>
        <w:tab/>
      </w:r>
      <w:r>
        <w:rPr>
          <w:b/>
        </w:rPr>
        <w:t xml:space="preserve">Background Papers: </w:t>
      </w:r>
      <w:r>
        <w:tab/>
      </w:r>
      <w:r w:rsidR="00D8355D">
        <w:t>A</w:t>
      </w:r>
      <w:r w:rsidR="00895824">
        <w:t xml:space="preserve">udit Committee Agenda Item </w:t>
      </w:r>
      <w:r w:rsidR="00CF529B">
        <w:t xml:space="preserve">10 on 22 November 2016. </w:t>
      </w:r>
    </w:p>
    <w:sectPr w:rsidR="000E0CFF" w:rsidSect="00CF529B">
      <w:footerReference w:type="default" r:id="rId8"/>
      <w:pgSz w:w="11909" w:h="16834" w:code="9"/>
      <w:pgMar w:top="720" w:right="1412" w:bottom="403" w:left="1412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46" w:rsidRDefault="00572246">
      <w:r>
        <w:separator/>
      </w:r>
    </w:p>
  </w:endnote>
  <w:endnote w:type="continuationSeparator" w:id="0">
    <w:p w:rsidR="00572246" w:rsidRDefault="005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46" w:rsidRDefault="00572246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572246" w:rsidRDefault="00572246" w:rsidP="00F16851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46" w:rsidRDefault="00572246">
      <w:r>
        <w:separator/>
      </w:r>
    </w:p>
  </w:footnote>
  <w:footnote w:type="continuationSeparator" w:id="0">
    <w:p w:rsidR="00572246" w:rsidRDefault="0057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5D5"/>
    <w:multiLevelType w:val="multilevel"/>
    <w:tmpl w:val="70EC66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6B34F8"/>
    <w:multiLevelType w:val="multilevel"/>
    <w:tmpl w:val="BB34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77EA"/>
    <w:multiLevelType w:val="hybridMultilevel"/>
    <w:tmpl w:val="8932CD06"/>
    <w:lvl w:ilvl="0" w:tplc="0EECEC80">
      <w:start w:val="10"/>
      <w:numFmt w:val="bullet"/>
      <w:lvlText w:val=""/>
      <w:lvlJc w:val="left"/>
      <w:pPr>
        <w:tabs>
          <w:tab w:val="num" w:pos="1620"/>
        </w:tabs>
        <w:ind w:left="1620" w:hanging="12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01039D"/>
    <w:rsid w:val="00031D9F"/>
    <w:rsid w:val="000357CA"/>
    <w:rsid w:val="000453ED"/>
    <w:rsid w:val="000710A6"/>
    <w:rsid w:val="000D20A0"/>
    <w:rsid w:val="000D32DA"/>
    <w:rsid w:val="000D4B99"/>
    <w:rsid w:val="000E0CFF"/>
    <w:rsid w:val="000F61E1"/>
    <w:rsid w:val="00114717"/>
    <w:rsid w:val="00114CBA"/>
    <w:rsid w:val="00155D7C"/>
    <w:rsid w:val="00161E78"/>
    <w:rsid w:val="00195D86"/>
    <w:rsid w:val="001A027A"/>
    <w:rsid w:val="001A7082"/>
    <w:rsid w:val="001D40C7"/>
    <w:rsid w:val="00201291"/>
    <w:rsid w:val="00223033"/>
    <w:rsid w:val="00226D34"/>
    <w:rsid w:val="00232AD3"/>
    <w:rsid w:val="00245FB9"/>
    <w:rsid w:val="00263068"/>
    <w:rsid w:val="0027219C"/>
    <w:rsid w:val="00273383"/>
    <w:rsid w:val="0027724A"/>
    <w:rsid w:val="00281C37"/>
    <w:rsid w:val="00282B36"/>
    <w:rsid w:val="00282C6C"/>
    <w:rsid w:val="00295EC2"/>
    <w:rsid w:val="002B513E"/>
    <w:rsid w:val="002B6CBA"/>
    <w:rsid w:val="002D5875"/>
    <w:rsid w:val="002D69A9"/>
    <w:rsid w:val="002E13F3"/>
    <w:rsid w:val="002E72D9"/>
    <w:rsid w:val="002F7BC3"/>
    <w:rsid w:val="00307BAA"/>
    <w:rsid w:val="00311C81"/>
    <w:rsid w:val="0031308E"/>
    <w:rsid w:val="0031719A"/>
    <w:rsid w:val="00323833"/>
    <w:rsid w:val="003417EB"/>
    <w:rsid w:val="00351060"/>
    <w:rsid w:val="00365ADD"/>
    <w:rsid w:val="003749E5"/>
    <w:rsid w:val="00396A40"/>
    <w:rsid w:val="003A0AFC"/>
    <w:rsid w:val="003B3544"/>
    <w:rsid w:val="003B49AB"/>
    <w:rsid w:val="003C76D4"/>
    <w:rsid w:val="003D58BF"/>
    <w:rsid w:val="003E1ABF"/>
    <w:rsid w:val="003F540E"/>
    <w:rsid w:val="00407A8A"/>
    <w:rsid w:val="004228D5"/>
    <w:rsid w:val="00427F59"/>
    <w:rsid w:val="004356BA"/>
    <w:rsid w:val="00436095"/>
    <w:rsid w:val="0045057B"/>
    <w:rsid w:val="00495E7B"/>
    <w:rsid w:val="004C431B"/>
    <w:rsid w:val="004D0BCD"/>
    <w:rsid w:val="004E39DB"/>
    <w:rsid w:val="00505057"/>
    <w:rsid w:val="005055DE"/>
    <w:rsid w:val="005123AE"/>
    <w:rsid w:val="00516AFD"/>
    <w:rsid w:val="00536953"/>
    <w:rsid w:val="00550B8C"/>
    <w:rsid w:val="00554A1D"/>
    <w:rsid w:val="005651D9"/>
    <w:rsid w:val="00565C4A"/>
    <w:rsid w:val="00566553"/>
    <w:rsid w:val="00566554"/>
    <w:rsid w:val="00570F96"/>
    <w:rsid w:val="00571154"/>
    <w:rsid w:val="00572246"/>
    <w:rsid w:val="0057635F"/>
    <w:rsid w:val="005943E8"/>
    <w:rsid w:val="005A2A83"/>
    <w:rsid w:val="005A2FA4"/>
    <w:rsid w:val="005C7FEA"/>
    <w:rsid w:val="005E5A74"/>
    <w:rsid w:val="00600596"/>
    <w:rsid w:val="006023E3"/>
    <w:rsid w:val="0064394A"/>
    <w:rsid w:val="00685803"/>
    <w:rsid w:val="0069529D"/>
    <w:rsid w:val="006A7B67"/>
    <w:rsid w:val="006D45A5"/>
    <w:rsid w:val="006D4C70"/>
    <w:rsid w:val="00723221"/>
    <w:rsid w:val="00725802"/>
    <w:rsid w:val="007321B3"/>
    <w:rsid w:val="007378A4"/>
    <w:rsid w:val="00747389"/>
    <w:rsid w:val="007474C3"/>
    <w:rsid w:val="00751BC7"/>
    <w:rsid w:val="00753CE4"/>
    <w:rsid w:val="00755CA6"/>
    <w:rsid w:val="00776875"/>
    <w:rsid w:val="00783EB7"/>
    <w:rsid w:val="00793C12"/>
    <w:rsid w:val="007C6B35"/>
    <w:rsid w:val="007D369D"/>
    <w:rsid w:val="007D5741"/>
    <w:rsid w:val="007E7CB3"/>
    <w:rsid w:val="007E7F44"/>
    <w:rsid w:val="007F6340"/>
    <w:rsid w:val="007F69AD"/>
    <w:rsid w:val="00810B7E"/>
    <w:rsid w:val="00826610"/>
    <w:rsid w:val="00826BF5"/>
    <w:rsid w:val="00845A07"/>
    <w:rsid w:val="00857CDE"/>
    <w:rsid w:val="00860D2A"/>
    <w:rsid w:val="00864C7F"/>
    <w:rsid w:val="00871349"/>
    <w:rsid w:val="008723B7"/>
    <w:rsid w:val="00872E4A"/>
    <w:rsid w:val="00886050"/>
    <w:rsid w:val="00895824"/>
    <w:rsid w:val="008A14B4"/>
    <w:rsid w:val="008A41A7"/>
    <w:rsid w:val="008A4323"/>
    <w:rsid w:val="008B7538"/>
    <w:rsid w:val="008D40EB"/>
    <w:rsid w:val="0090192E"/>
    <w:rsid w:val="00902C5C"/>
    <w:rsid w:val="009268B0"/>
    <w:rsid w:val="0093198C"/>
    <w:rsid w:val="009424C0"/>
    <w:rsid w:val="009604B3"/>
    <w:rsid w:val="00964406"/>
    <w:rsid w:val="00964CF4"/>
    <w:rsid w:val="0096525A"/>
    <w:rsid w:val="00996255"/>
    <w:rsid w:val="00996D25"/>
    <w:rsid w:val="009B27B0"/>
    <w:rsid w:val="009D7BA4"/>
    <w:rsid w:val="009F2C3E"/>
    <w:rsid w:val="00A0131C"/>
    <w:rsid w:val="00A263A6"/>
    <w:rsid w:val="00A302AE"/>
    <w:rsid w:val="00A378B5"/>
    <w:rsid w:val="00A42CAC"/>
    <w:rsid w:val="00A64F96"/>
    <w:rsid w:val="00A71D22"/>
    <w:rsid w:val="00A75AFE"/>
    <w:rsid w:val="00A85174"/>
    <w:rsid w:val="00A922E0"/>
    <w:rsid w:val="00AA7D48"/>
    <w:rsid w:val="00AB2C4F"/>
    <w:rsid w:val="00AC2BE9"/>
    <w:rsid w:val="00AD7CDF"/>
    <w:rsid w:val="00AE5251"/>
    <w:rsid w:val="00AE6E3D"/>
    <w:rsid w:val="00AF626C"/>
    <w:rsid w:val="00B13659"/>
    <w:rsid w:val="00B17F0A"/>
    <w:rsid w:val="00B228B1"/>
    <w:rsid w:val="00B33BFB"/>
    <w:rsid w:val="00B42EB4"/>
    <w:rsid w:val="00B43C75"/>
    <w:rsid w:val="00B56FBE"/>
    <w:rsid w:val="00B7461B"/>
    <w:rsid w:val="00B933A0"/>
    <w:rsid w:val="00BB0025"/>
    <w:rsid w:val="00BB095F"/>
    <w:rsid w:val="00BC2D43"/>
    <w:rsid w:val="00BC6FEA"/>
    <w:rsid w:val="00BD584E"/>
    <w:rsid w:val="00BE2305"/>
    <w:rsid w:val="00BF0BF9"/>
    <w:rsid w:val="00C17F08"/>
    <w:rsid w:val="00C258F7"/>
    <w:rsid w:val="00C26192"/>
    <w:rsid w:val="00C42DEB"/>
    <w:rsid w:val="00C5170B"/>
    <w:rsid w:val="00C57C6C"/>
    <w:rsid w:val="00C773EC"/>
    <w:rsid w:val="00C814DB"/>
    <w:rsid w:val="00C842B9"/>
    <w:rsid w:val="00C854C8"/>
    <w:rsid w:val="00CA5CA1"/>
    <w:rsid w:val="00CA64A1"/>
    <w:rsid w:val="00CA77E6"/>
    <w:rsid w:val="00CB1134"/>
    <w:rsid w:val="00CC2F84"/>
    <w:rsid w:val="00CD716E"/>
    <w:rsid w:val="00CD7353"/>
    <w:rsid w:val="00CE15FA"/>
    <w:rsid w:val="00CF529B"/>
    <w:rsid w:val="00CF56BA"/>
    <w:rsid w:val="00D174AD"/>
    <w:rsid w:val="00D27230"/>
    <w:rsid w:val="00D27EBA"/>
    <w:rsid w:val="00D45545"/>
    <w:rsid w:val="00D537F4"/>
    <w:rsid w:val="00D5550D"/>
    <w:rsid w:val="00D673AA"/>
    <w:rsid w:val="00D7356D"/>
    <w:rsid w:val="00D82826"/>
    <w:rsid w:val="00D8355D"/>
    <w:rsid w:val="00D901F2"/>
    <w:rsid w:val="00D915C6"/>
    <w:rsid w:val="00D93D5C"/>
    <w:rsid w:val="00DC3595"/>
    <w:rsid w:val="00DE55D8"/>
    <w:rsid w:val="00DF4070"/>
    <w:rsid w:val="00E225B7"/>
    <w:rsid w:val="00E27967"/>
    <w:rsid w:val="00E27ADA"/>
    <w:rsid w:val="00E31A0B"/>
    <w:rsid w:val="00E32C70"/>
    <w:rsid w:val="00E3583A"/>
    <w:rsid w:val="00E426D4"/>
    <w:rsid w:val="00E538DF"/>
    <w:rsid w:val="00E562BA"/>
    <w:rsid w:val="00E754EE"/>
    <w:rsid w:val="00E777DC"/>
    <w:rsid w:val="00E875A5"/>
    <w:rsid w:val="00EA0F6F"/>
    <w:rsid w:val="00EA14E4"/>
    <w:rsid w:val="00EA46C8"/>
    <w:rsid w:val="00EA4937"/>
    <w:rsid w:val="00EB39A0"/>
    <w:rsid w:val="00EB4368"/>
    <w:rsid w:val="00EB44CF"/>
    <w:rsid w:val="00EC6CB0"/>
    <w:rsid w:val="00ED08D8"/>
    <w:rsid w:val="00EF1B52"/>
    <w:rsid w:val="00F01C01"/>
    <w:rsid w:val="00F14A9C"/>
    <w:rsid w:val="00F16851"/>
    <w:rsid w:val="00F20914"/>
    <w:rsid w:val="00F2136F"/>
    <w:rsid w:val="00F223DA"/>
    <w:rsid w:val="00F30E22"/>
    <w:rsid w:val="00F33061"/>
    <w:rsid w:val="00F34C39"/>
    <w:rsid w:val="00F456E2"/>
    <w:rsid w:val="00F63BB5"/>
    <w:rsid w:val="00F65759"/>
    <w:rsid w:val="00F70E26"/>
    <w:rsid w:val="00F72C39"/>
    <w:rsid w:val="00F825F8"/>
    <w:rsid w:val="00F8298A"/>
    <w:rsid w:val="00F9168A"/>
    <w:rsid w:val="00FA1322"/>
    <w:rsid w:val="00FB0A0E"/>
    <w:rsid w:val="00FB37FD"/>
    <w:rsid w:val="00FC1330"/>
    <w:rsid w:val="00FC5398"/>
    <w:rsid w:val="00FC6F84"/>
    <w:rsid w:val="00FD584D"/>
    <w:rsid w:val="00FD77EC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29B"/>
    <w:pPr>
      <w:tabs>
        <w:tab w:val="clear" w:pos="1260"/>
        <w:tab w:val="clear" w:pos="1980"/>
        <w:tab w:val="clear" w:pos="2700"/>
        <w:tab w:val="clear" w:pos="34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aliases w:val="2,Level 2 Heading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EA46C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table" w:styleId="TableGrid">
    <w:name w:val="Table Grid"/>
    <w:basedOn w:val="TableNormal"/>
    <w:rsid w:val="00C51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B513E"/>
    <w:rPr>
      <w:sz w:val="16"/>
      <w:szCs w:val="16"/>
    </w:rPr>
  </w:style>
  <w:style w:type="paragraph" w:styleId="BalloonText">
    <w:name w:val="Balloon Text"/>
    <w:basedOn w:val="Normal"/>
    <w:semiHidden/>
    <w:rsid w:val="00D27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8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529B"/>
    <w:pPr>
      <w:tabs>
        <w:tab w:val="clear" w:pos="1260"/>
        <w:tab w:val="clear" w:pos="1980"/>
        <w:tab w:val="clear" w:pos="2700"/>
        <w:tab w:val="clear" w:pos="3420"/>
      </w:tabs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Audit Committee 12.12..07: part i - (08) sic action plan</vt:lpstr>
    </vt:vector>
  </TitlesOfParts>
  <Company>Pre-installed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Audit Committee 12.12..07: part i - (08) sic action plan</dc:title>
  <dc:creator>Three Rivers DC</dc:creator>
  <cp:lastModifiedBy>Charlotte Taffel</cp:lastModifiedBy>
  <cp:revision>6</cp:revision>
  <cp:lastPrinted>2017-09-18T14:19:00Z</cp:lastPrinted>
  <dcterms:created xsi:type="dcterms:W3CDTF">2017-09-18T13:48:00Z</dcterms:created>
  <dcterms:modified xsi:type="dcterms:W3CDTF">2017-09-18T15:19:00Z</dcterms:modified>
</cp:coreProperties>
</file>