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2E" w:rsidRPr="000F4E42" w:rsidRDefault="00F31C45" w:rsidP="00193A2E">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rPr>
          <w:rFonts w:cs="Arial"/>
          <w:color w:val="000000"/>
          <w:szCs w:val="22"/>
        </w:rPr>
      </w:pPr>
      <w:r w:rsidRPr="000F4E42">
        <w:rPr>
          <w:rFonts w:cs="Arial"/>
          <w:color w:val="000000"/>
          <w:szCs w:val="22"/>
        </w:rPr>
        <w:t>FULL</w:t>
      </w:r>
      <w:r w:rsidR="00193A2E" w:rsidRPr="000F4E42">
        <w:rPr>
          <w:rFonts w:cs="Arial"/>
          <w:color w:val="000000"/>
          <w:szCs w:val="22"/>
        </w:rPr>
        <w:t xml:space="preserve"> COUNCIL – </w:t>
      </w:r>
      <w:r w:rsidR="00D4576C" w:rsidRPr="000F4E42">
        <w:rPr>
          <w:rFonts w:cs="Arial"/>
          <w:color w:val="000000"/>
          <w:szCs w:val="22"/>
        </w:rPr>
        <w:t xml:space="preserve">17 OCTOBER </w:t>
      </w:r>
      <w:r w:rsidR="00193A2E" w:rsidRPr="000F4E42">
        <w:rPr>
          <w:rFonts w:cs="Arial"/>
          <w:color w:val="000000"/>
          <w:szCs w:val="22"/>
        </w:rPr>
        <w:t>2017</w:t>
      </w:r>
    </w:p>
    <w:p w:rsidR="00F31C45" w:rsidRPr="000F4E42" w:rsidRDefault="00F31C45" w:rsidP="00193A2E">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rPr>
          <w:rFonts w:cs="Arial"/>
          <w:color w:val="000000"/>
          <w:szCs w:val="22"/>
        </w:rPr>
      </w:pPr>
    </w:p>
    <w:p w:rsidR="00193A2E" w:rsidRPr="000F4E42" w:rsidRDefault="008800C1" w:rsidP="00AC5438">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jc w:val="right"/>
        <w:rPr>
          <w:rFonts w:cs="Arial"/>
          <w:b w:val="0"/>
          <w:i/>
          <w:color w:val="000000"/>
          <w:szCs w:val="22"/>
        </w:rPr>
      </w:pPr>
      <w:r>
        <w:rPr>
          <w:rFonts w:cs="Arial"/>
          <w:b w:val="0"/>
          <w:i/>
          <w:color w:val="000000"/>
          <w:szCs w:val="22"/>
        </w:rPr>
        <w:t xml:space="preserve">Agenda item </w:t>
      </w:r>
      <w:r w:rsidR="00A208C9">
        <w:rPr>
          <w:rFonts w:cs="Arial"/>
          <w:b w:val="0"/>
          <w:i/>
          <w:color w:val="000000"/>
          <w:szCs w:val="22"/>
        </w:rPr>
        <w:t>4</w:t>
      </w:r>
    </w:p>
    <w:p w:rsidR="00193A2E" w:rsidRPr="000F4E42" w:rsidRDefault="00193A2E" w:rsidP="00AC5438">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jc w:val="right"/>
        <w:rPr>
          <w:rFonts w:cs="Arial"/>
          <w:b w:val="0"/>
          <w:i/>
          <w:color w:val="000000"/>
          <w:szCs w:val="22"/>
        </w:rPr>
      </w:pPr>
    </w:p>
    <w:p w:rsidR="00FE2303" w:rsidRPr="000F4E42" w:rsidRDefault="00FE2303" w:rsidP="00AC5438">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jc w:val="right"/>
        <w:rPr>
          <w:rFonts w:cs="Arial"/>
          <w:b w:val="0"/>
          <w:i/>
          <w:color w:val="000000"/>
          <w:szCs w:val="22"/>
        </w:rPr>
      </w:pPr>
    </w:p>
    <w:p w:rsidR="006B0ACF" w:rsidRPr="000F4E42" w:rsidRDefault="006B0ACF" w:rsidP="00193A2E">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rPr>
          <w:rFonts w:cs="Arial"/>
          <w:color w:val="000000"/>
          <w:szCs w:val="22"/>
        </w:rPr>
      </w:pPr>
      <w:r w:rsidRPr="000F4E42">
        <w:rPr>
          <w:rFonts w:cs="Arial"/>
          <w:color w:val="000000"/>
          <w:szCs w:val="22"/>
        </w:rPr>
        <w:t xml:space="preserve">Recommendations from </w:t>
      </w:r>
      <w:r w:rsidR="00F27E8D" w:rsidRPr="000F4E42">
        <w:rPr>
          <w:rFonts w:cs="Arial"/>
          <w:color w:val="000000"/>
          <w:szCs w:val="22"/>
        </w:rPr>
        <w:t xml:space="preserve">Policy and Resources </w:t>
      </w:r>
      <w:r w:rsidR="003E6F15" w:rsidRPr="000F4E42">
        <w:rPr>
          <w:rFonts w:cs="Arial"/>
          <w:color w:val="000000"/>
          <w:szCs w:val="22"/>
        </w:rPr>
        <w:t>Co</w:t>
      </w:r>
      <w:r w:rsidRPr="000F4E42">
        <w:rPr>
          <w:rFonts w:cs="Arial"/>
          <w:color w:val="000000"/>
          <w:szCs w:val="22"/>
        </w:rPr>
        <w:t>mmittee</w:t>
      </w:r>
      <w:r w:rsidR="00F754BA" w:rsidRPr="000F4E42">
        <w:rPr>
          <w:rFonts w:cs="Arial"/>
          <w:color w:val="000000"/>
          <w:szCs w:val="22"/>
        </w:rPr>
        <w:t xml:space="preserve"> held on </w:t>
      </w:r>
      <w:r w:rsidR="00D4576C" w:rsidRPr="000F4E42">
        <w:rPr>
          <w:rFonts w:cs="Arial"/>
          <w:color w:val="000000"/>
          <w:szCs w:val="22"/>
        </w:rPr>
        <w:t xml:space="preserve">17 July </w:t>
      </w:r>
      <w:r w:rsidR="00FE2303" w:rsidRPr="000F4E42">
        <w:rPr>
          <w:rFonts w:cs="Arial"/>
          <w:color w:val="000000"/>
          <w:szCs w:val="22"/>
        </w:rPr>
        <w:t>2017</w:t>
      </w:r>
    </w:p>
    <w:p w:rsidR="006B0ACF" w:rsidRPr="000F4E42" w:rsidRDefault="006B0ACF" w:rsidP="006B0ACF">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jc w:val="both"/>
        <w:rPr>
          <w:rFonts w:cs="Arial"/>
          <w:b w:val="0"/>
          <w:szCs w:val="22"/>
        </w:rPr>
      </w:pPr>
    </w:p>
    <w:p w:rsidR="002A34D4" w:rsidRPr="00CD3EE9" w:rsidRDefault="00CD3EE9" w:rsidP="00CD3EE9">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rPr>
          <w:rFonts w:cs="Arial"/>
          <w:b w:val="0"/>
          <w:szCs w:val="22"/>
        </w:rPr>
      </w:pPr>
      <w:r w:rsidRPr="00CD3EE9">
        <w:rPr>
          <w:rFonts w:cs="Arial"/>
          <w:b w:val="0"/>
          <w:szCs w:val="22"/>
        </w:rPr>
        <w:t>NONE</w:t>
      </w:r>
    </w:p>
    <w:p w:rsidR="000F4E42" w:rsidRPr="000F4E42" w:rsidRDefault="000F4E42" w:rsidP="006B0ACF">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jc w:val="both"/>
        <w:rPr>
          <w:rFonts w:cs="Arial"/>
          <w:szCs w:val="22"/>
        </w:rPr>
      </w:pPr>
    </w:p>
    <w:p w:rsidR="00D4576C" w:rsidRPr="000F4E42" w:rsidRDefault="00D4576C" w:rsidP="00D4576C">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rPr>
          <w:rFonts w:cs="Arial"/>
          <w:color w:val="000000"/>
          <w:szCs w:val="22"/>
        </w:rPr>
      </w:pPr>
      <w:r w:rsidRPr="000F4E42">
        <w:rPr>
          <w:rFonts w:cs="Arial"/>
          <w:color w:val="000000"/>
          <w:szCs w:val="22"/>
        </w:rPr>
        <w:t>Recommendations from Policy and Resources Committee held on 4 September 2017</w:t>
      </w:r>
    </w:p>
    <w:p w:rsidR="00F31C45" w:rsidRPr="000F4E42" w:rsidRDefault="00F31C45" w:rsidP="006B0ACF">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jc w:val="both"/>
        <w:rPr>
          <w:rFonts w:cs="Arial"/>
          <w:szCs w:val="22"/>
        </w:rPr>
      </w:pPr>
    </w:p>
    <w:p w:rsidR="000F4E42" w:rsidRPr="000F4E42" w:rsidRDefault="000F4E42" w:rsidP="006B0ACF">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jc w:val="both"/>
        <w:rPr>
          <w:rFonts w:cs="Arial"/>
          <w:szCs w:val="22"/>
        </w:rPr>
      </w:pPr>
    </w:p>
    <w:p w:rsidR="000F4E42" w:rsidRPr="000F4E42" w:rsidRDefault="000F4E42" w:rsidP="000F4E42">
      <w:pPr>
        <w:rPr>
          <w:rFonts w:ascii="Arial" w:hAnsi="Arial" w:cs="Arial"/>
          <w:b/>
          <w:sz w:val="22"/>
          <w:szCs w:val="22"/>
        </w:rPr>
      </w:pPr>
      <w:r w:rsidRPr="000F4E42">
        <w:rPr>
          <w:rFonts w:ascii="Arial" w:hAnsi="Arial" w:cs="Arial"/>
          <w:b/>
          <w:sz w:val="22"/>
          <w:szCs w:val="22"/>
        </w:rPr>
        <w:t>PR25/17</w:t>
      </w:r>
      <w:r w:rsidRPr="000F4E42">
        <w:rPr>
          <w:rFonts w:ascii="Arial" w:hAnsi="Arial" w:cs="Arial"/>
          <w:b/>
          <w:sz w:val="22"/>
          <w:szCs w:val="22"/>
        </w:rPr>
        <w:tab/>
        <w:t>CALENDAR OF MEETINGS 2018/2019</w:t>
      </w:r>
    </w:p>
    <w:p w:rsidR="000F4E42" w:rsidRPr="000F4E42" w:rsidRDefault="000F4E42" w:rsidP="000F4E42">
      <w:pPr>
        <w:rPr>
          <w:rFonts w:ascii="Arial" w:hAnsi="Arial" w:cs="Arial"/>
          <w:sz w:val="22"/>
          <w:szCs w:val="22"/>
        </w:rPr>
      </w:pPr>
    </w:p>
    <w:p w:rsidR="000F4E42" w:rsidRPr="000F4E42" w:rsidRDefault="000F4E42" w:rsidP="000F4E42">
      <w:pPr>
        <w:tabs>
          <w:tab w:val="left" w:pos="567"/>
        </w:tabs>
        <w:ind w:left="1440" w:right="6" w:hanging="1440"/>
        <w:jc w:val="both"/>
        <w:rPr>
          <w:rFonts w:ascii="Arial" w:hAnsi="Arial" w:cs="Arial"/>
          <w:sz w:val="22"/>
          <w:szCs w:val="22"/>
        </w:rPr>
      </w:pPr>
      <w:r w:rsidRPr="000F4E42">
        <w:rPr>
          <w:rFonts w:ascii="Arial" w:hAnsi="Arial" w:cs="Arial"/>
          <w:sz w:val="22"/>
          <w:szCs w:val="22"/>
        </w:rPr>
        <w:tab/>
      </w:r>
      <w:r w:rsidRPr="000F4E42">
        <w:rPr>
          <w:rFonts w:ascii="Arial" w:hAnsi="Arial" w:cs="Arial"/>
          <w:sz w:val="22"/>
          <w:szCs w:val="22"/>
        </w:rPr>
        <w:tab/>
        <w:t>That Council approve the Calendar of Meetings for 2018/2019 subject to any amendment above.</w:t>
      </w:r>
    </w:p>
    <w:p w:rsidR="000F4E42" w:rsidRPr="000F4E42" w:rsidRDefault="000F4E42" w:rsidP="006B0ACF">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jc w:val="both"/>
        <w:rPr>
          <w:rFonts w:cs="Arial"/>
          <w:szCs w:val="22"/>
        </w:rPr>
      </w:pPr>
    </w:p>
    <w:p w:rsidR="000F4E42" w:rsidRDefault="00E14E86" w:rsidP="00E14E86">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rPr>
          <w:rFonts w:cs="Arial"/>
          <w:szCs w:val="22"/>
        </w:rPr>
      </w:pPr>
      <w:r>
        <w:rPr>
          <w:rFonts w:cs="Arial"/>
          <w:szCs w:val="22"/>
        </w:rPr>
        <w:t>-</w:t>
      </w:r>
    </w:p>
    <w:p w:rsidR="00E14E86" w:rsidRDefault="00E14E86" w:rsidP="006B0ACF">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jc w:val="both"/>
        <w:rPr>
          <w:rFonts w:cs="Arial"/>
          <w:szCs w:val="22"/>
        </w:rPr>
      </w:pPr>
    </w:p>
    <w:p w:rsidR="00E14E86" w:rsidRPr="000F4E42" w:rsidRDefault="00E14E86" w:rsidP="006B0ACF">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jc w:val="both"/>
        <w:rPr>
          <w:rFonts w:cs="Arial"/>
          <w:szCs w:val="22"/>
        </w:rPr>
      </w:pPr>
    </w:p>
    <w:p w:rsidR="000F4E42" w:rsidRPr="000F4E42" w:rsidRDefault="000F4E42" w:rsidP="000F4E42">
      <w:pPr>
        <w:keepNext/>
        <w:ind w:left="1267" w:hanging="1267"/>
        <w:rPr>
          <w:rFonts w:ascii="Arial" w:hAnsi="Arial" w:cs="Arial"/>
          <w:b/>
          <w:sz w:val="22"/>
          <w:szCs w:val="22"/>
        </w:rPr>
      </w:pPr>
      <w:r w:rsidRPr="000F4E42">
        <w:rPr>
          <w:rFonts w:ascii="Arial" w:hAnsi="Arial" w:cs="Arial"/>
          <w:b/>
          <w:sz w:val="22"/>
          <w:szCs w:val="22"/>
        </w:rPr>
        <w:t>PR26/17</w:t>
      </w:r>
      <w:r w:rsidRPr="000F4E42">
        <w:rPr>
          <w:rFonts w:ascii="Arial" w:hAnsi="Arial" w:cs="Arial"/>
          <w:b/>
          <w:sz w:val="22"/>
          <w:szCs w:val="22"/>
        </w:rPr>
        <w:tab/>
        <w:t xml:space="preserve">AMENDMENT TO CURRENT SCHEME OF DELEGATION TO OFFICERS </w:t>
      </w:r>
    </w:p>
    <w:p w:rsidR="000F4E42" w:rsidRPr="000F4E42" w:rsidRDefault="000F4E42" w:rsidP="000F4E42">
      <w:pPr>
        <w:keepNext/>
        <w:ind w:left="1267" w:hanging="1267"/>
        <w:rPr>
          <w:rFonts w:ascii="Arial" w:hAnsi="Arial" w:cs="Arial"/>
          <w:sz w:val="22"/>
          <w:szCs w:val="22"/>
        </w:rPr>
      </w:pPr>
      <w:r w:rsidRPr="000F4E42">
        <w:rPr>
          <w:rFonts w:ascii="Arial" w:hAnsi="Arial" w:cs="Arial"/>
          <w:sz w:val="22"/>
          <w:szCs w:val="22"/>
        </w:rPr>
        <w:tab/>
      </w:r>
      <w:r w:rsidRPr="000F4E42">
        <w:rPr>
          <w:rFonts w:ascii="Arial" w:hAnsi="Arial" w:cs="Arial"/>
          <w:sz w:val="22"/>
          <w:szCs w:val="22"/>
        </w:rPr>
        <w:fldChar w:fldCharType="begin"/>
      </w:r>
      <w:r w:rsidRPr="000F4E42">
        <w:rPr>
          <w:rFonts w:ascii="Arial" w:hAnsi="Arial" w:cs="Arial"/>
          <w:sz w:val="22"/>
          <w:szCs w:val="22"/>
        </w:rPr>
        <w:instrText xml:space="preserve">  </w:instrText>
      </w:r>
      <w:r w:rsidRPr="000F4E42">
        <w:rPr>
          <w:rFonts w:ascii="Arial" w:hAnsi="Arial" w:cs="Arial"/>
          <w:sz w:val="22"/>
          <w:szCs w:val="22"/>
        </w:rPr>
        <w:fldChar w:fldCharType="end"/>
      </w:r>
      <w:r w:rsidRPr="000F4E42">
        <w:rPr>
          <w:rFonts w:ascii="Arial" w:hAnsi="Arial" w:cs="Arial"/>
          <w:sz w:val="22"/>
          <w:szCs w:val="22"/>
        </w:rPr>
        <w:t>Part 3 of the Council Constitution</w:t>
      </w:r>
    </w:p>
    <w:p w:rsidR="000F4E42" w:rsidRPr="000F4E42" w:rsidRDefault="000F4E42" w:rsidP="006B0ACF">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jc w:val="both"/>
        <w:rPr>
          <w:rFonts w:cs="Arial"/>
          <w:szCs w:val="22"/>
        </w:rPr>
      </w:pPr>
    </w:p>
    <w:p w:rsidR="000F4E42" w:rsidRPr="000F4E42" w:rsidRDefault="000F4E42" w:rsidP="00D54E86">
      <w:pPr>
        <w:ind w:left="1260"/>
        <w:rPr>
          <w:rFonts w:ascii="Arial" w:hAnsi="Arial" w:cs="Arial"/>
          <w:sz w:val="22"/>
          <w:szCs w:val="22"/>
        </w:rPr>
      </w:pPr>
      <w:r w:rsidRPr="000F4E42">
        <w:rPr>
          <w:rFonts w:ascii="Arial" w:hAnsi="Arial" w:cs="Arial"/>
          <w:sz w:val="22"/>
          <w:szCs w:val="22"/>
        </w:rPr>
        <w:t xml:space="preserve">That the Council’s Scheme of Delegation </w:t>
      </w:r>
      <w:proofErr w:type="gramStart"/>
      <w:r w:rsidRPr="000F4E42">
        <w:rPr>
          <w:rFonts w:ascii="Arial" w:hAnsi="Arial" w:cs="Arial"/>
          <w:sz w:val="22"/>
          <w:szCs w:val="22"/>
        </w:rPr>
        <w:t>be</w:t>
      </w:r>
      <w:proofErr w:type="gramEnd"/>
      <w:r w:rsidRPr="000F4E42">
        <w:rPr>
          <w:rFonts w:ascii="Arial" w:hAnsi="Arial" w:cs="Arial"/>
          <w:sz w:val="22"/>
          <w:szCs w:val="22"/>
        </w:rPr>
        <w:t xml:space="preserve"> amended as follows:-</w:t>
      </w:r>
    </w:p>
    <w:p w:rsidR="000F4E42" w:rsidRPr="000F4E42" w:rsidRDefault="000F4E42" w:rsidP="000F4E42">
      <w:pPr>
        <w:rPr>
          <w:rFonts w:ascii="Arial" w:hAnsi="Arial" w:cs="Arial"/>
          <w:sz w:val="22"/>
          <w:szCs w:val="22"/>
        </w:rPr>
      </w:pPr>
    </w:p>
    <w:p w:rsidR="000F4E42" w:rsidRPr="000F4E42" w:rsidRDefault="000F4E42" w:rsidP="000F4E42">
      <w:pPr>
        <w:ind w:left="3240" w:hanging="1980"/>
        <w:jc w:val="both"/>
        <w:rPr>
          <w:rFonts w:ascii="Arial" w:hAnsi="Arial" w:cs="Arial"/>
          <w:sz w:val="22"/>
          <w:szCs w:val="22"/>
        </w:rPr>
      </w:pPr>
      <w:r w:rsidRPr="000F4E42">
        <w:rPr>
          <w:rFonts w:ascii="Arial" w:hAnsi="Arial" w:cs="Arial"/>
          <w:b/>
          <w:sz w:val="22"/>
          <w:szCs w:val="22"/>
        </w:rPr>
        <w:t>11. Director of Community and Environmental Services</w:t>
      </w:r>
    </w:p>
    <w:p w:rsidR="000F4E42" w:rsidRPr="000F4E42" w:rsidRDefault="000F4E42" w:rsidP="000F4E42">
      <w:pPr>
        <w:pStyle w:val="ListParagraph"/>
        <w:ind w:left="2536" w:hanging="1276"/>
        <w:jc w:val="both"/>
        <w:rPr>
          <w:rFonts w:ascii="Arial" w:hAnsi="Arial" w:cs="Arial"/>
        </w:rPr>
      </w:pPr>
    </w:p>
    <w:p w:rsidR="000F4E42" w:rsidRPr="000F4E42" w:rsidRDefault="000F4E42" w:rsidP="000F4E42">
      <w:pPr>
        <w:keepNext/>
        <w:tabs>
          <w:tab w:val="left" w:pos="1260"/>
          <w:tab w:val="left" w:pos="1980"/>
          <w:tab w:val="left" w:pos="2700"/>
        </w:tabs>
        <w:ind w:left="2520" w:hanging="1260"/>
        <w:jc w:val="both"/>
        <w:rPr>
          <w:rFonts w:ascii="Arial" w:hAnsi="Arial" w:cs="Arial"/>
          <w:b/>
          <w:i/>
          <w:sz w:val="22"/>
          <w:szCs w:val="22"/>
        </w:rPr>
      </w:pPr>
      <w:r w:rsidRPr="000F4E42">
        <w:rPr>
          <w:rFonts w:ascii="Arial" w:hAnsi="Arial" w:cs="Arial"/>
          <w:sz w:val="22"/>
          <w:szCs w:val="22"/>
        </w:rPr>
        <w:t>11.5</w:t>
      </w:r>
      <w:r w:rsidRPr="000F4E42">
        <w:rPr>
          <w:rFonts w:ascii="Arial" w:hAnsi="Arial" w:cs="Arial"/>
          <w:sz w:val="22"/>
          <w:szCs w:val="22"/>
        </w:rPr>
        <w:tab/>
      </w:r>
      <w:r w:rsidRPr="000F4E42">
        <w:rPr>
          <w:rFonts w:ascii="Arial" w:hAnsi="Arial" w:cs="Arial"/>
          <w:b/>
          <w:i/>
          <w:sz w:val="22"/>
          <w:szCs w:val="22"/>
        </w:rPr>
        <w:t>Planning</w:t>
      </w:r>
    </w:p>
    <w:p w:rsidR="000F4E42" w:rsidRPr="000F4E42" w:rsidRDefault="000F4E42" w:rsidP="000F4E42">
      <w:pPr>
        <w:keepNext/>
        <w:tabs>
          <w:tab w:val="left" w:pos="1260"/>
          <w:tab w:val="left" w:pos="1980"/>
          <w:tab w:val="left" w:pos="2700"/>
        </w:tabs>
        <w:ind w:left="2520" w:hanging="1260"/>
        <w:jc w:val="both"/>
        <w:rPr>
          <w:rFonts w:ascii="Arial" w:hAnsi="Arial" w:cs="Arial"/>
          <w:sz w:val="22"/>
          <w:szCs w:val="22"/>
        </w:rPr>
      </w:pPr>
    </w:p>
    <w:p w:rsidR="000F4E42" w:rsidRPr="000F4E42" w:rsidRDefault="000F4E42" w:rsidP="000F4E42">
      <w:pPr>
        <w:tabs>
          <w:tab w:val="left" w:pos="1260"/>
          <w:tab w:val="left" w:pos="1980"/>
          <w:tab w:val="left" w:pos="2700"/>
        </w:tabs>
        <w:ind w:left="2520" w:hanging="1260"/>
        <w:jc w:val="both"/>
        <w:rPr>
          <w:rFonts w:ascii="Arial" w:hAnsi="Arial" w:cs="Arial"/>
          <w:sz w:val="22"/>
          <w:szCs w:val="22"/>
        </w:rPr>
      </w:pPr>
      <w:r w:rsidRPr="000F4E42">
        <w:rPr>
          <w:rFonts w:ascii="Arial" w:hAnsi="Arial" w:cs="Arial"/>
          <w:sz w:val="22"/>
          <w:szCs w:val="22"/>
        </w:rPr>
        <w:t>11.5.1</w:t>
      </w:r>
      <w:r w:rsidRPr="000F4E42">
        <w:rPr>
          <w:rFonts w:ascii="Arial" w:hAnsi="Arial" w:cs="Arial"/>
          <w:sz w:val="22"/>
          <w:szCs w:val="22"/>
        </w:rPr>
        <w:tab/>
        <w:t xml:space="preserve">That the Head of Regulatory Services is approved and authorised after having ensured that all statutory requirements have been complied with and after considering all representations received, to:- </w:t>
      </w:r>
    </w:p>
    <w:p w:rsidR="000F4E42" w:rsidRPr="000F4E42" w:rsidRDefault="000F4E42" w:rsidP="000F4E42">
      <w:pPr>
        <w:tabs>
          <w:tab w:val="left" w:pos="1260"/>
          <w:tab w:val="left" w:pos="1980"/>
          <w:tab w:val="left" w:pos="2700"/>
        </w:tabs>
        <w:ind w:left="2520" w:hanging="1260"/>
        <w:jc w:val="both"/>
        <w:rPr>
          <w:rFonts w:ascii="Arial" w:hAnsi="Arial" w:cs="Arial"/>
          <w:sz w:val="22"/>
          <w:szCs w:val="22"/>
        </w:rPr>
      </w:pPr>
    </w:p>
    <w:p w:rsidR="000F4E42" w:rsidRPr="000F4E42" w:rsidRDefault="000F4E42" w:rsidP="000F4E42">
      <w:pPr>
        <w:tabs>
          <w:tab w:val="left" w:pos="1260"/>
          <w:tab w:val="left" w:pos="1980"/>
          <w:tab w:val="left" w:pos="2700"/>
        </w:tabs>
        <w:ind w:left="2520" w:hanging="1260"/>
        <w:jc w:val="both"/>
        <w:rPr>
          <w:rFonts w:ascii="Arial" w:hAnsi="Arial" w:cs="Arial"/>
          <w:sz w:val="22"/>
          <w:szCs w:val="22"/>
        </w:rPr>
      </w:pPr>
      <w:r w:rsidRPr="000F4E42">
        <w:rPr>
          <w:rFonts w:ascii="Arial" w:hAnsi="Arial" w:cs="Arial"/>
          <w:b/>
          <w:sz w:val="22"/>
          <w:szCs w:val="22"/>
        </w:rPr>
        <w:tab/>
        <w:t>DETERMINE</w:t>
      </w:r>
      <w:r w:rsidRPr="000F4E42">
        <w:rPr>
          <w:rFonts w:ascii="Arial" w:hAnsi="Arial" w:cs="Arial"/>
          <w:sz w:val="22"/>
          <w:szCs w:val="22"/>
        </w:rPr>
        <w:t xml:space="preserve"> all types of application submitted under the Town and Country Planning Act 1990 and Planning (Listed Building and Conservation Areas) Act 1990 including the extension of time limits, agreement to minor amendments and non-material amendments to previously approved proposals provided that:-</w:t>
      </w:r>
    </w:p>
    <w:p w:rsidR="000F4E42" w:rsidRPr="000F4E42" w:rsidRDefault="000F4E42" w:rsidP="000F4E42">
      <w:pPr>
        <w:tabs>
          <w:tab w:val="left" w:pos="1260"/>
          <w:tab w:val="left" w:pos="1980"/>
          <w:tab w:val="left" w:pos="2700"/>
        </w:tabs>
        <w:ind w:left="2520" w:hanging="1260"/>
        <w:jc w:val="both"/>
        <w:rPr>
          <w:rFonts w:ascii="Arial" w:hAnsi="Arial" w:cs="Arial"/>
          <w:sz w:val="22"/>
          <w:szCs w:val="22"/>
        </w:rPr>
      </w:pPr>
    </w:p>
    <w:p w:rsidR="000F4E42" w:rsidRPr="000F4E42" w:rsidRDefault="000F4E42" w:rsidP="000F4E42">
      <w:pPr>
        <w:tabs>
          <w:tab w:val="left" w:pos="1260"/>
          <w:tab w:val="left" w:pos="1980"/>
          <w:tab w:val="left" w:pos="2700"/>
        </w:tabs>
        <w:ind w:left="3240" w:hanging="1980"/>
        <w:jc w:val="both"/>
        <w:rPr>
          <w:rFonts w:ascii="Arial" w:hAnsi="Arial" w:cs="Arial"/>
          <w:sz w:val="22"/>
          <w:szCs w:val="22"/>
        </w:rPr>
      </w:pPr>
      <w:r w:rsidRPr="000F4E42">
        <w:rPr>
          <w:rFonts w:ascii="Arial" w:hAnsi="Arial" w:cs="Arial"/>
          <w:sz w:val="22"/>
          <w:szCs w:val="22"/>
        </w:rPr>
        <w:tab/>
        <w:t>(1)</w:t>
      </w:r>
      <w:r w:rsidRPr="000F4E42">
        <w:rPr>
          <w:rFonts w:ascii="Arial" w:hAnsi="Arial" w:cs="Arial"/>
          <w:sz w:val="22"/>
          <w:szCs w:val="22"/>
        </w:rPr>
        <w:tab/>
        <w:t>For approvals; that they accord with the provisions of the appropriate development plan, other policy guidance or supplementary planning guidance.</w:t>
      </w:r>
    </w:p>
    <w:p w:rsidR="000F4E42" w:rsidRPr="000F4E42" w:rsidRDefault="000F4E42" w:rsidP="000F4E42">
      <w:pPr>
        <w:tabs>
          <w:tab w:val="left" w:pos="1260"/>
          <w:tab w:val="left" w:pos="1980"/>
          <w:tab w:val="left" w:pos="2700"/>
        </w:tabs>
        <w:ind w:left="3240" w:hanging="1980"/>
        <w:jc w:val="both"/>
        <w:rPr>
          <w:rFonts w:ascii="Arial" w:hAnsi="Arial" w:cs="Arial"/>
          <w:sz w:val="22"/>
          <w:szCs w:val="22"/>
        </w:rPr>
      </w:pPr>
    </w:p>
    <w:p w:rsidR="000F4E42" w:rsidRPr="000F4E42" w:rsidRDefault="000F4E42" w:rsidP="000F4E42">
      <w:pPr>
        <w:tabs>
          <w:tab w:val="left" w:pos="1260"/>
          <w:tab w:val="left" w:pos="1980"/>
          <w:tab w:val="left" w:pos="2700"/>
        </w:tabs>
        <w:ind w:left="3240" w:hanging="1980"/>
        <w:jc w:val="both"/>
        <w:rPr>
          <w:rFonts w:ascii="Arial" w:hAnsi="Arial" w:cs="Arial"/>
          <w:sz w:val="22"/>
          <w:szCs w:val="22"/>
        </w:rPr>
      </w:pPr>
      <w:r w:rsidRPr="000F4E42">
        <w:rPr>
          <w:rFonts w:ascii="Arial" w:hAnsi="Arial" w:cs="Arial"/>
          <w:sz w:val="22"/>
          <w:szCs w:val="22"/>
        </w:rPr>
        <w:tab/>
        <w:t>(2)</w:t>
      </w:r>
      <w:r w:rsidRPr="000F4E42">
        <w:rPr>
          <w:rFonts w:ascii="Arial" w:hAnsi="Arial" w:cs="Arial"/>
          <w:sz w:val="22"/>
          <w:szCs w:val="22"/>
        </w:rPr>
        <w:tab/>
        <w:t>The application had not been called in by any three Members of the District Council's Planning Committee or by the Parish Councils within the specified consultation period, and that the decision would not conflict with any objection received from three Members of the District Council's Planning Committee within the specified consultation period.</w:t>
      </w:r>
    </w:p>
    <w:p w:rsidR="000F4E42" w:rsidRPr="000F4E42" w:rsidRDefault="000F4E42" w:rsidP="000F4E42">
      <w:pPr>
        <w:tabs>
          <w:tab w:val="left" w:pos="1260"/>
          <w:tab w:val="left" w:pos="1980"/>
          <w:tab w:val="left" w:pos="2700"/>
        </w:tabs>
        <w:ind w:left="3240" w:hanging="1980"/>
        <w:rPr>
          <w:rFonts w:ascii="Arial" w:hAnsi="Arial" w:cs="Arial"/>
          <w:sz w:val="22"/>
          <w:szCs w:val="22"/>
        </w:rPr>
      </w:pPr>
    </w:p>
    <w:p w:rsidR="000F4E42" w:rsidRPr="000F4E42" w:rsidRDefault="000F4E42" w:rsidP="000F4E42">
      <w:pPr>
        <w:tabs>
          <w:tab w:val="left" w:pos="1260"/>
          <w:tab w:val="left" w:pos="1980"/>
          <w:tab w:val="left" w:pos="2700"/>
        </w:tabs>
        <w:ind w:left="3240" w:hanging="1980"/>
        <w:rPr>
          <w:rFonts w:ascii="Arial" w:hAnsi="Arial" w:cs="Arial"/>
          <w:sz w:val="22"/>
          <w:szCs w:val="22"/>
        </w:rPr>
      </w:pPr>
      <w:r w:rsidRPr="000F4E42">
        <w:rPr>
          <w:rFonts w:ascii="Arial" w:hAnsi="Arial" w:cs="Arial"/>
          <w:sz w:val="22"/>
          <w:szCs w:val="22"/>
        </w:rPr>
        <w:tab/>
        <w:t>(3)</w:t>
      </w:r>
      <w:r w:rsidRPr="000F4E42">
        <w:rPr>
          <w:rFonts w:ascii="Arial" w:hAnsi="Arial" w:cs="Arial"/>
          <w:sz w:val="22"/>
          <w:szCs w:val="22"/>
        </w:rPr>
        <w:tab/>
        <w:t>The decision would not conflict with an objection received from an adjoining local authority.</w:t>
      </w:r>
    </w:p>
    <w:p w:rsidR="000F4E42" w:rsidRPr="000F4E42" w:rsidRDefault="000F4E42" w:rsidP="000F4E42">
      <w:pPr>
        <w:tabs>
          <w:tab w:val="left" w:pos="1260"/>
          <w:tab w:val="left" w:pos="1980"/>
          <w:tab w:val="left" w:pos="2700"/>
        </w:tabs>
        <w:ind w:left="3240" w:hanging="1980"/>
        <w:rPr>
          <w:rFonts w:ascii="Arial" w:hAnsi="Arial" w:cs="Arial"/>
          <w:sz w:val="22"/>
          <w:szCs w:val="22"/>
        </w:rPr>
      </w:pPr>
    </w:p>
    <w:p w:rsidR="000F4E42" w:rsidRPr="000F4E42" w:rsidRDefault="000F4E42" w:rsidP="000F4E42">
      <w:pPr>
        <w:tabs>
          <w:tab w:val="left" w:pos="1260"/>
          <w:tab w:val="left" w:pos="1980"/>
          <w:tab w:val="left" w:pos="2700"/>
        </w:tabs>
        <w:ind w:left="3240" w:hanging="1980"/>
        <w:rPr>
          <w:rFonts w:ascii="Arial" w:hAnsi="Arial" w:cs="Arial"/>
          <w:sz w:val="22"/>
          <w:szCs w:val="22"/>
        </w:rPr>
      </w:pPr>
      <w:r w:rsidRPr="000F4E42">
        <w:rPr>
          <w:rFonts w:ascii="Arial" w:hAnsi="Arial" w:cs="Arial"/>
          <w:sz w:val="22"/>
          <w:szCs w:val="22"/>
        </w:rPr>
        <w:lastRenderedPageBreak/>
        <w:tab/>
        <w:t>(4)</w:t>
      </w:r>
      <w:r w:rsidRPr="000F4E42">
        <w:rPr>
          <w:rFonts w:ascii="Arial" w:hAnsi="Arial" w:cs="Arial"/>
          <w:sz w:val="22"/>
          <w:szCs w:val="22"/>
        </w:rPr>
        <w:tab/>
        <w:t xml:space="preserve">The Head of Regulatory Services considers it prudent to exercise his/her delegated authority, failing which s/he shall report the matter to the appropriate Committee.  </w:t>
      </w:r>
    </w:p>
    <w:p w:rsidR="000F4E42" w:rsidRPr="000F4E42" w:rsidRDefault="000F4E42" w:rsidP="000F4E42">
      <w:pPr>
        <w:tabs>
          <w:tab w:val="left" w:pos="1260"/>
          <w:tab w:val="left" w:pos="1980"/>
          <w:tab w:val="left" w:pos="2700"/>
        </w:tabs>
        <w:ind w:left="3240" w:hanging="198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 xml:space="preserve">That under Item 11.6, the following narrative be included:- </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keepNext/>
        <w:tabs>
          <w:tab w:val="left" w:pos="1260"/>
          <w:tab w:val="left" w:pos="1980"/>
          <w:tab w:val="left" w:pos="2700"/>
        </w:tabs>
        <w:ind w:left="1260" w:hanging="1260"/>
        <w:rPr>
          <w:rFonts w:ascii="Arial" w:hAnsi="Arial" w:cs="Arial"/>
          <w:b/>
          <w:i/>
          <w:sz w:val="22"/>
          <w:szCs w:val="22"/>
        </w:rPr>
      </w:pPr>
      <w:r w:rsidRPr="000F4E42">
        <w:rPr>
          <w:rFonts w:ascii="Arial" w:hAnsi="Arial" w:cs="Arial"/>
          <w:sz w:val="22"/>
          <w:szCs w:val="22"/>
        </w:rPr>
        <w:tab/>
        <w:t>11.6</w:t>
      </w:r>
      <w:r w:rsidRPr="000F4E42">
        <w:rPr>
          <w:rFonts w:ascii="Arial" w:hAnsi="Arial" w:cs="Arial"/>
          <w:sz w:val="22"/>
          <w:szCs w:val="22"/>
        </w:rPr>
        <w:tab/>
      </w:r>
      <w:r w:rsidRPr="000F4E42">
        <w:rPr>
          <w:rFonts w:ascii="Arial" w:hAnsi="Arial" w:cs="Arial"/>
          <w:b/>
          <w:i/>
          <w:sz w:val="22"/>
          <w:szCs w:val="22"/>
        </w:rPr>
        <w:t>Building Control, Building Regulations and delegation of functions from other authorities</w:t>
      </w:r>
    </w:p>
    <w:p w:rsidR="000F4E42" w:rsidRPr="000F4E42" w:rsidRDefault="000F4E42" w:rsidP="000F4E42">
      <w:pPr>
        <w:keepNext/>
        <w:tabs>
          <w:tab w:val="left" w:pos="1260"/>
          <w:tab w:val="left" w:pos="1980"/>
          <w:tab w:val="left" w:pos="2700"/>
        </w:tabs>
        <w:ind w:left="1260" w:hanging="1260"/>
        <w:rPr>
          <w:rFonts w:ascii="Arial" w:hAnsi="Arial" w:cs="Arial"/>
          <w:sz w:val="22"/>
          <w:szCs w:val="22"/>
          <w:u w:val="single"/>
        </w:rPr>
      </w:pPr>
    </w:p>
    <w:p w:rsidR="000F4E42" w:rsidRPr="000F4E42" w:rsidRDefault="000F4E42" w:rsidP="000F4E42">
      <w:pPr>
        <w:keepNext/>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ab/>
        <w:t xml:space="preserve">All the actions below, whether carried out for TRDC or any local authority for which </w:t>
      </w:r>
      <w:proofErr w:type="spellStart"/>
      <w:r w:rsidRPr="000F4E42">
        <w:rPr>
          <w:rFonts w:ascii="Arial" w:hAnsi="Arial" w:cs="Arial"/>
          <w:sz w:val="22"/>
          <w:szCs w:val="22"/>
        </w:rPr>
        <w:t>Broste</w:t>
      </w:r>
      <w:proofErr w:type="spellEnd"/>
      <w:r w:rsidRPr="000F4E42">
        <w:rPr>
          <w:rFonts w:ascii="Arial" w:hAnsi="Arial" w:cs="Arial"/>
          <w:sz w:val="22"/>
          <w:szCs w:val="22"/>
        </w:rPr>
        <w:t xml:space="preserve"> Rivers Ltd or its subsidiary companies carry out the Building Regulation, Building Control or other functions, or by an Approved Inspector, can only be enacted by the HRS if the relevant notice or certificate has been submitted to him or her by a qualified Building Control Surveyor or Approved Inspector.  </w:t>
      </w:r>
    </w:p>
    <w:p w:rsidR="000F4E42" w:rsidRPr="000F4E42" w:rsidRDefault="000F4E42" w:rsidP="000F4E42">
      <w:pPr>
        <w:keepNext/>
        <w:tabs>
          <w:tab w:val="left" w:pos="1260"/>
          <w:tab w:val="left" w:pos="1980"/>
          <w:tab w:val="left" w:pos="2700"/>
        </w:tabs>
        <w:ind w:left="1260" w:hanging="1260"/>
        <w:jc w:val="both"/>
        <w:rPr>
          <w:rFonts w:ascii="Arial" w:hAnsi="Arial" w:cs="Arial"/>
          <w:sz w:val="22"/>
          <w:szCs w:val="22"/>
        </w:rPr>
      </w:pP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 xml:space="preserve"> </w:t>
      </w:r>
      <w:r w:rsidRPr="000F4E42">
        <w:rPr>
          <w:rFonts w:ascii="Arial" w:hAnsi="Arial" w:cs="Arial"/>
          <w:sz w:val="22"/>
          <w:szCs w:val="22"/>
        </w:rPr>
        <w:tab/>
        <w:t xml:space="preserve">That an additional item be included as 11.6.6: </w:t>
      </w: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ab/>
        <w:t>11.6.6</w:t>
      </w:r>
      <w:r w:rsidRPr="000F4E42">
        <w:rPr>
          <w:rFonts w:ascii="Arial" w:hAnsi="Arial" w:cs="Arial"/>
          <w:sz w:val="22"/>
          <w:szCs w:val="22"/>
        </w:rPr>
        <w:tab/>
        <w:t>To carry out (</w:t>
      </w:r>
      <w:proofErr w:type="spellStart"/>
      <w:r w:rsidRPr="000F4E42">
        <w:rPr>
          <w:rFonts w:ascii="Arial" w:hAnsi="Arial" w:cs="Arial"/>
          <w:sz w:val="22"/>
          <w:szCs w:val="22"/>
        </w:rPr>
        <w:t>i</w:t>
      </w:r>
      <w:proofErr w:type="spellEnd"/>
      <w:r w:rsidRPr="000F4E42">
        <w:rPr>
          <w:rFonts w:ascii="Arial" w:hAnsi="Arial" w:cs="Arial"/>
          <w:sz w:val="22"/>
          <w:szCs w:val="22"/>
        </w:rPr>
        <w:t>) all other Building Control work for the Council and (ii) all Building Control work, functions or activities delegated to the Council which are by law delegable only to another local authority.</w:t>
      </w:r>
    </w:p>
    <w:p w:rsidR="000F4E42" w:rsidRPr="000F4E42" w:rsidRDefault="000F4E42" w:rsidP="000F4E42">
      <w:pPr>
        <w:keepNext/>
        <w:tabs>
          <w:tab w:val="left" w:pos="1260"/>
          <w:tab w:val="left" w:pos="1980"/>
          <w:tab w:val="left" w:pos="2700"/>
        </w:tabs>
        <w:ind w:left="1260" w:hanging="1260"/>
        <w:jc w:val="both"/>
        <w:rPr>
          <w:rFonts w:ascii="Arial" w:hAnsi="Arial" w:cs="Arial"/>
          <w:sz w:val="22"/>
          <w:szCs w:val="22"/>
        </w:rPr>
      </w:pP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ab/>
        <w:t>Paragraphs 11.5.2 to 11.5.23, Paragraphs 11.6.1 to 11.6.5 and Sections 11.7 and 11.8 will remain unchanged save for any reference in the text to Director of Community and Environmental Services being replaced with Head of Regulatory Services.</w:t>
      </w: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ab/>
        <w:t>That under Item 11.26, Paragraph 11.26.37 the Scheme of Delegation to Officers to include reference to the Director of Community and Environmental Services as follows:-</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keepNext/>
        <w:tabs>
          <w:tab w:val="left" w:pos="1260"/>
          <w:tab w:val="left" w:pos="1980"/>
          <w:tab w:val="left" w:pos="2700"/>
        </w:tabs>
        <w:rPr>
          <w:rFonts w:ascii="Arial" w:hAnsi="Arial" w:cs="Arial"/>
          <w:b/>
          <w:i/>
          <w:sz w:val="22"/>
          <w:szCs w:val="22"/>
        </w:rPr>
      </w:pPr>
      <w:r w:rsidRPr="000F4E42">
        <w:rPr>
          <w:rFonts w:ascii="Arial" w:hAnsi="Arial" w:cs="Arial"/>
          <w:sz w:val="22"/>
          <w:szCs w:val="22"/>
        </w:rPr>
        <w:tab/>
        <w:t>11.26</w:t>
      </w:r>
      <w:r w:rsidRPr="000F4E42">
        <w:rPr>
          <w:rFonts w:ascii="Arial" w:hAnsi="Arial" w:cs="Arial"/>
          <w:sz w:val="22"/>
          <w:szCs w:val="22"/>
        </w:rPr>
        <w:tab/>
      </w:r>
      <w:r w:rsidRPr="000F4E42">
        <w:rPr>
          <w:rFonts w:ascii="Arial" w:hAnsi="Arial" w:cs="Arial"/>
          <w:b/>
          <w:i/>
          <w:sz w:val="22"/>
          <w:szCs w:val="22"/>
        </w:rPr>
        <w:t>Enforcement</w:t>
      </w:r>
    </w:p>
    <w:p w:rsidR="000F4E42" w:rsidRPr="000F4E42" w:rsidRDefault="000F4E42" w:rsidP="000F4E42">
      <w:pPr>
        <w:tabs>
          <w:tab w:val="left" w:pos="1260"/>
          <w:tab w:val="left" w:pos="1980"/>
          <w:tab w:val="left" w:pos="2700"/>
        </w:tabs>
        <w:spacing w:line="238" w:lineRule="exact"/>
        <w:ind w:left="1260" w:hanging="1260"/>
        <w:rPr>
          <w:rFonts w:ascii="Arial" w:hAnsi="Arial" w:cs="Arial"/>
          <w:sz w:val="22"/>
          <w:szCs w:val="22"/>
        </w:rPr>
      </w:pPr>
      <w:r w:rsidRPr="000F4E42">
        <w:rPr>
          <w:rFonts w:ascii="Arial" w:hAnsi="Arial" w:cs="Arial"/>
          <w:sz w:val="22"/>
          <w:szCs w:val="22"/>
        </w:rPr>
        <w:tab/>
      </w:r>
    </w:p>
    <w:p w:rsidR="000F4E42" w:rsidRPr="000F4E42" w:rsidRDefault="000F4E42" w:rsidP="000F4E42">
      <w:pPr>
        <w:tabs>
          <w:tab w:val="left" w:pos="1260"/>
          <w:tab w:val="left" w:pos="1980"/>
          <w:tab w:val="left" w:pos="2700"/>
        </w:tabs>
        <w:spacing w:line="238" w:lineRule="exact"/>
        <w:ind w:left="1260" w:hanging="1260"/>
        <w:rPr>
          <w:rFonts w:ascii="Arial" w:hAnsi="Arial" w:cs="Arial"/>
          <w:sz w:val="22"/>
          <w:szCs w:val="22"/>
        </w:rPr>
      </w:pPr>
      <w:r w:rsidRPr="000F4E42">
        <w:rPr>
          <w:rFonts w:ascii="Arial" w:hAnsi="Arial" w:cs="Arial"/>
          <w:sz w:val="22"/>
          <w:szCs w:val="22"/>
        </w:rPr>
        <w:tab/>
        <w:t xml:space="preserve">11.26.37 </w:t>
      </w:r>
      <w:proofErr w:type="gramStart"/>
      <w:r w:rsidRPr="000F4E42">
        <w:rPr>
          <w:rFonts w:ascii="Arial" w:hAnsi="Arial" w:cs="Arial"/>
          <w:sz w:val="22"/>
          <w:szCs w:val="22"/>
        </w:rPr>
        <w:t>To</w:t>
      </w:r>
      <w:proofErr w:type="gramEnd"/>
      <w:r w:rsidRPr="000F4E42">
        <w:rPr>
          <w:rFonts w:ascii="Arial" w:hAnsi="Arial" w:cs="Arial"/>
          <w:sz w:val="22"/>
          <w:szCs w:val="22"/>
        </w:rPr>
        <w:t xml:space="preserve"> authorise action under the Anti-Social Behaviour Crime and Policing Act 2014 and all powers and remedies under that Act, consistent with the Council’s Community Safety Strategy.</w:t>
      </w:r>
    </w:p>
    <w:p w:rsidR="000F4E42" w:rsidRPr="000F4E42" w:rsidRDefault="000F4E42" w:rsidP="000F4E42">
      <w:pPr>
        <w:tabs>
          <w:tab w:val="left" w:pos="1260"/>
          <w:tab w:val="left" w:pos="1980"/>
          <w:tab w:val="left" w:pos="2700"/>
        </w:tabs>
        <w:spacing w:line="238" w:lineRule="exact"/>
        <w:ind w:left="1260" w:hanging="1260"/>
        <w:rPr>
          <w:rFonts w:ascii="Arial" w:hAnsi="Arial" w:cs="Arial"/>
          <w:sz w:val="22"/>
          <w:szCs w:val="22"/>
        </w:rPr>
      </w:pPr>
    </w:p>
    <w:p w:rsidR="000F4E42" w:rsidRPr="000F4E42" w:rsidRDefault="000F4E42" w:rsidP="000F4E42">
      <w:pPr>
        <w:tabs>
          <w:tab w:val="left" w:pos="1276"/>
        </w:tabs>
        <w:ind w:left="1276"/>
        <w:rPr>
          <w:rFonts w:ascii="Arial" w:hAnsi="Arial" w:cs="Arial"/>
          <w:sz w:val="22"/>
          <w:szCs w:val="22"/>
        </w:rPr>
      </w:pPr>
      <w:r w:rsidRPr="000F4E42">
        <w:rPr>
          <w:rFonts w:ascii="Arial" w:hAnsi="Arial" w:cs="Arial"/>
          <w:sz w:val="22"/>
          <w:szCs w:val="22"/>
        </w:rPr>
        <w:t xml:space="preserve">That the following be authorised persons to issue </w:t>
      </w:r>
      <w:r w:rsidRPr="000F4E42">
        <w:rPr>
          <w:rFonts w:ascii="Arial" w:hAnsi="Arial" w:cs="Arial"/>
          <w:iCs/>
          <w:sz w:val="22"/>
          <w:szCs w:val="22"/>
        </w:rPr>
        <w:t>Community Protection Notices (CPNs) and Fixed Penalty Notices (FPNs) for the breach of CPNs:</w:t>
      </w:r>
    </w:p>
    <w:p w:rsidR="000F4E42" w:rsidRPr="000F4E42" w:rsidRDefault="000F4E42" w:rsidP="000F4E42">
      <w:pPr>
        <w:tabs>
          <w:tab w:val="left" w:pos="1276"/>
        </w:tabs>
        <w:rPr>
          <w:rFonts w:ascii="Arial" w:hAnsi="Arial" w:cs="Arial"/>
          <w:sz w:val="22"/>
          <w:szCs w:val="22"/>
        </w:rPr>
      </w:pPr>
    </w:p>
    <w:p w:rsidR="000F4E42" w:rsidRPr="000F4E42" w:rsidRDefault="000F4E42" w:rsidP="000F4E42">
      <w:pPr>
        <w:ind w:left="1276"/>
        <w:rPr>
          <w:rFonts w:ascii="Arial" w:hAnsi="Arial" w:cs="Arial"/>
          <w:sz w:val="22"/>
          <w:szCs w:val="22"/>
        </w:rPr>
      </w:pPr>
      <w:r w:rsidRPr="000F4E42">
        <w:rPr>
          <w:rFonts w:ascii="Arial" w:hAnsi="Arial" w:cs="Arial"/>
          <w:sz w:val="22"/>
          <w:szCs w:val="22"/>
        </w:rPr>
        <w:t>Environmental Enforcement Officers, Residential Environmental Health Manager, Animal Control Enforcement Officer, Head of Community Partnerships and that the Director of Community and Environmental Services be delegated to add authorised persons as required.</w:t>
      </w:r>
    </w:p>
    <w:p w:rsidR="000F4E42" w:rsidRPr="000F4E42" w:rsidRDefault="000F4E42" w:rsidP="000F4E42">
      <w:pPr>
        <w:tabs>
          <w:tab w:val="left" w:pos="1260"/>
          <w:tab w:val="left" w:pos="1980"/>
          <w:tab w:val="left" w:pos="2700"/>
        </w:tabs>
        <w:spacing w:line="238" w:lineRule="exact"/>
        <w:ind w:left="1260" w:hanging="1260"/>
        <w:rPr>
          <w:rFonts w:ascii="Arial" w:hAnsi="Arial" w:cs="Arial"/>
          <w:sz w:val="22"/>
          <w:szCs w:val="22"/>
        </w:rPr>
      </w:pPr>
    </w:p>
    <w:p w:rsidR="000F4E42" w:rsidRPr="000F4E42" w:rsidRDefault="000F4E42" w:rsidP="000F4E42">
      <w:pPr>
        <w:ind w:left="1260"/>
        <w:rPr>
          <w:rFonts w:ascii="Arial" w:hAnsi="Arial" w:cs="Arial"/>
          <w:b/>
          <w:sz w:val="22"/>
          <w:szCs w:val="22"/>
        </w:rPr>
      </w:pPr>
      <w:r w:rsidRPr="000F4E42">
        <w:rPr>
          <w:rFonts w:ascii="Arial" w:hAnsi="Arial" w:cs="Arial"/>
          <w:b/>
          <w:sz w:val="22"/>
          <w:szCs w:val="22"/>
        </w:rPr>
        <w:t>Paragraphs 11.5.1 to 11.8 and Paragraph 11.26.37 (Part B of the Scheme of Delegation to Officers)</w:t>
      </w:r>
    </w:p>
    <w:p w:rsidR="000F4E42" w:rsidRPr="000F4E42" w:rsidRDefault="000F4E42" w:rsidP="000F4E42">
      <w:pPr>
        <w:ind w:left="1260"/>
        <w:rPr>
          <w:rFonts w:ascii="Arial" w:hAnsi="Arial" w:cs="Arial"/>
          <w:sz w:val="22"/>
          <w:szCs w:val="22"/>
        </w:rPr>
      </w:pPr>
    </w:p>
    <w:p w:rsidR="000F4E42" w:rsidRPr="000F4E42" w:rsidRDefault="000F4E42" w:rsidP="000F4E42">
      <w:pPr>
        <w:keepNext/>
        <w:tabs>
          <w:tab w:val="left" w:pos="1260"/>
          <w:tab w:val="left" w:pos="1980"/>
          <w:tab w:val="left" w:pos="2700"/>
        </w:tabs>
        <w:ind w:left="1260" w:hanging="1260"/>
        <w:rPr>
          <w:rFonts w:ascii="Arial" w:hAnsi="Arial" w:cs="Arial"/>
          <w:b/>
          <w:i/>
          <w:sz w:val="22"/>
          <w:szCs w:val="22"/>
        </w:rPr>
      </w:pPr>
      <w:r w:rsidRPr="000F4E42">
        <w:rPr>
          <w:rFonts w:ascii="Arial" w:hAnsi="Arial" w:cs="Arial"/>
          <w:sz w:val="22"/>
          <w:szCs w:val="22"/>
        </w:rPr>
        <w:tab/>
      </w:r>
      <w:r w:rsidRPr="000F4E42">
        <w:rPr>
          <w:rFonts w:ascii="Arial" w:hAnsi="Arial" w:cs="Arial"/>
          <w:b/>
          <w:i/>
          <w:sz w:val="22"/>
          <w:szCs w:val="22"/>
        </w:rPr>
        <w:t>Planning</w:t>
      </w:r>
    </w:p>
    <w:p w:rsidR="000F4E42" w:rsidRPr="000F4E42" w:rsidRDefault="000F4E42" w:rsidP="000F4E42">
      <w:pPr>
        <w:keepNext/>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 xml:space="preserve">That the Head of Regulatory Services is approved and authorised after having ensured that all statutory requirements have been complied with and after considering all representations received, to:- </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b/>
          <w:sz w:val="22"/>
          <w:szCs w:val="22"/>
        </w:rPr>
        <w:lastRenderedPageBreak/>
        <w:tab/>
        <w:t>DETERMINE</w:t>
      </w:r>
      <w:r w:rsidRPr="000F4E42">
        <w:rPr>
          <w:rFonts w:ascii="Arial" w:hAnsi="Arial" w:cs="Arial"/>
          <w:sz w:val="22"/>
          <w:szCs w:val="22"/>
        </w:rPr>
        <w:t xml:space="preserve"> all types of application submitted under the Town and Country Planning Act 1990 and Planning (Listed Building and Conservation Areas) Act 1990 including the extension of time limits, agreement to minor amendments and non-material amendments to previously approved proposals provided that:-</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980" w:hanging="1980"/>
        <w:rPr>
          <w:rFonts w:ascii="Arial" w:hAnsi="Arial" w:cs="Arial"/>
          <w:sz w:val="22"/>
          <w:szCs w:val="22"/>
        </w:rPr>
      </w:pPr>
      <w:r w:rsidRPr="000F4E42">
        <w:rPr>
          <w:rFonts w:ascii="Arial" w:hAnsi="Arial" w:cs="Arial"/>
          <w:sz w:val="22"/>
          <w:szCs w:val="22"/>
        </w:rPr>
        <w:tab/>
        <w:t>(1)</w:t>
      </w:r>
      <w:r w:rsidRPr="000F4E42">
        <w:rPr>
          <w:rFonts w:ascii="Arial" w:hAnsi="Arial" w:cs="Arial"/>
          <w:sz w:val="22"/>
          <w:szCs w:val="22"/>
        </w:rPr>
        <w:tab/>
        <w:t>For approvals; that they accord with the provisions of the appropriate development plan, other policy guidance or supplementary planning guidance.</w:t>
      </w:r>
    </w:p>
    <w:p w:rsidR="000F4E42" w:rsidRPr="000F4E42" w:rsidRDefault="000F4E42" w:rsidP="000F4E42">
      <w:pPr>
        <w:tabs>
          <w:tab w:val="left" w:pos="1260"/>
          <w:tab w:val="left" w:pos="1980"/>
          <w:tab w:val="left" w:pos="2700"/>
        </w:tabs>
        <w:ind w:left="1980" w:hanging="1980"/>
        <w:rPr>
          <w:rFonts w:ascii="Arial" w:hAnsi="Arial" w:cs="Arial"/>
          <w:sz w:val="22"/>
          <w:szCs w:val="22"/>
        </w:rPr>
      </w:pPr>
    </w:p>
    <w:p w:rsidR="000F4E42" w:rsidRPr="000F4E42" w:rsidRDefault="000F4E42" w:rsidP="000F4E42">
      <w:pPr>
        <w:tabs>
          <w:tab w:val="left" w:pos="1260"/>
          <w:tab w:val="left" w:pos="1980"/>
          <w:tab w:val="left" w:pos="2700"/>
        </w:tabs>
        <w:ind w:left="1980" w:hanging="1980"/>
        <w:rPr>
          <w:rFonts w:ascii="Arial" w:hAnsi="Arial" w:cs="Arial"/>
          <w:sz w:val="22"/>
          <w:szCs w:val="22"/>
        </w:rPr>
      </w:pPr>
      <w:r w:rsidRPr="000F4E42">
        <w:rPr>
          <w:rFonts w:ascii="Arial" w:hAnsi="Arial" w:cs="Arial"/>
          <w:sz w:val="22"/>
          <w:szCs w:val="22"/>
        </w:rPr>
        <w:tab/>
        <w:t>(2)</w:t>
      </w:r>
      <w:r w:rsidRPr="000F4E42">
        <w:rPr>
          <w:rFonts w:ascii="Arial" w:hAnsi="Arial" w:cs="Arial"/>
          <w:sz w:val="22"/>
          <w:szCs w:val="22"/>
        </w:rPr>
        <w:tab/>
        <w:t>The application had not been called in by any three Members of the District Council's Planning Committee or by the Parish Councils within the specified consultation period, and that the decision would not conflict with any objection received from three Members of the District Council's Planning Committee within the specified consultation period.</w:t>
      </w:r>
    </w:p>
    <w:p w:rsidR="000F4E42" w:rsidRPr="000F4E42" w:rsidRDefault="000F4E42" w:rsidP="000F4E42">
      <w:pPr>
        <w:tabs>
          <w:tab w:val="left" w:pos="1260"/>
          <w:tab w:val="left" w:pos="1980"/>
          <w:tab w:val="left" w:pos="2700"/>
        </w:tabs>
        <w:ind w:left="1980" w:hanging="1980"/>
        <w:rPr>
          <w:rFonts w:ascii="Arial" w:hAnsi="Arial" w:cs="Arial"/>
          <w:sz w:val="22"/>
          <w:szCs w:val="22"/>
        </w:rPr>
      </w:pPr>
    </w:p>
    <w:p w:rsidR="000F4E42" w:rsidRPr="000F4E42" w:rsidRDefault="000F4E42" w:rsidP="000F4E42">
      <w:pPr>
        <w:tabs>
          <w:tab w:val="left" w:pos="1260"/>
          <w:tab w:val="left" w:pos="1980"/>
          <w:tab w:val="left" w:pos="2700"/>
        </w:tabs>
        <w:ind w:left="1980" w:hanging="1980"/>
        <w:rPr>
          <w:rFonts w:ascii="Arial" w:hAnsi="Arial" w:cs="Arial"/>
          <w:sz w:val="22"/>
          <w:szCs w:val="22"/>
        </w:rPr>
      </w:pPr>
      <w:r w:rsidRPr="000F4E42">
        <w:rPr>
          <w:rFonts w:ascii="Arial" w:hAnsi="Arial" w:cs="Arial"/>
          <w:sz w:val="22"/>
          <w:szCs w:val="22"/>
        </w:rPr>
        <w:tab/>
        <w:t>(3)</w:t>
      </w:r>
      <w:r w:rsidRPr="000F4E42">
        <w:rPr>
          <w:rFonts w:ascii="Arial" w:hAnsi="Arial" w:cs="Arial"/>
          <w:sz w:val="22"/>
          <w:szCs w:val="22"/>
        </w:rPr>
        <w:tab/>
        <w:t>The decision would not conflict with an objection received from an adjoining local authority.</w:t>
      </w:r>
    </w:p>
    <w:p w:rsidR="000F4E42" w:rsidRPr="000F4E42" w:rsidRDefault="000F4E42" w:rsidP="000F4E42">
      <w:pPr>
        <w:tabs>
          <w:tab w:val="left" w:pos="1260"/>
          <w:tab w:val="left" w:pos="1980"/>
          <w:tab w:val="left" w:pos="2700"/>
        </w:tabs>
        <w:ind w:left="1980" w:hanging="1980"/>
        <w:rPr>
          <w:rFonts w:ascii="Arial" w:hAnsi="Arial" w:cs="Arial"/>
          <w:sz w:val="22"/>
          <w:szCs w:val="22"/>
        </w:rPr>
      </w:pPr>
    </w:p>
    <w:p w:rsidR="000F4E42" w:rsidRPr="000F4E42" w:rsidRDefault="000F4E42" w:rsidP="000F4E42">
      <w:pPr>
        <w:tabs>
          <w:tab w:val="left" w:pos="1260"/>
          <w:tab w:val="left" w:pos="1980"/>
          <w:tab w:val="left" w:pos="2700"/>
        </w:tabs>
        <w:ind w:left="1980" w:hanging="1980"/>
        <w:rPr>
          <w:rFonts w:ascii="Arial" w:hAnsi="Arial" w:cs="Arial"/>
          <w:sz w:val="22"/>
          <w:szCs w:val="22"/>
        </w:rPr>
      </w:pPr>
      <w:r w:rsidRPr="000F4E42">
        <w:rPr>
          <w:rFonts w:ascii="Arial" w:hAnsi="Arial" w:cs="Arial"/>
          <w:sz w:val="22"/>
          <w:szCs w:val="22"/>
        </w:rPr>
        <w:tab/>
        <w:t>(4)</w:t>
      </w:r>
      <w:r w:rsidRPr="000F4E42">
        <w:rPr>
          <w:rFonts w:ascii="Arial" w:hAnsi="Arial" w:cs="Arial"/>
          <w:sz w:val="22"/>
          <w:szCs w:val="22"/>
        </w:rPr>
        <w:tab/>
        <w:t xml:space="preserve">The Head of Regulatory Services considers it prudent to exercise his/her delegated authority, failing which s/he shall report the matter to the appropriate Committee.  </w:t>
      </w:r>
    </w:p>
    <w:p w:rsidR="000F4E42" w:rsidRPr="000F4E42" w:rsidRDefault="000F4E42" w:rsidP="000F4E42">
      <w:pPr>
        <w:tabs>
          <w:tab w:val="left" w:pos="1260"/>
          <w:tab w:val="left" w:pos="1980"/>
          <w:tab w:val="left" w:pos="2700"/>
        </w:tabs>
        <w:ind w:left="1980" w:hanging="1980"/>
        <w:rPr>
          <w:rFonts w:ascii="Arial" w:hAnsi="Arial" w:cs="Arial"/>
          <w:sz w:val="22"/>
          <w:szCs w:val="22"/>
        </w:rPr>
      </w:pP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ab/>
        <w:t>11.5.2</w:t>
      </w:r>
      <w:r w:rsidRPr="000F4E42">
        <w:rPr>
          <w:rFonts w:ascii="Arial" w:hAnsi="Arial" w:cs="Arial"/>
          <w:sz w:val="22"/>
          <w:szCs w:val="22"/>
        </w:rPr>
        <w:tab/>
        <w:t>Decisions taken by the Head of Regulatory Services in relation to paragraph (1) above shall be incorporated in the Information Bulletin for Members.  However, on receipt of a request from no fewer than three Members of the Planning Committee, or from the appropriate Committee of a Parish Council, any items under paragraph* (2) above shall not be dealt with under delegated powers but referred to the Planning Committee for determination in accordance with the procedure agreed at Minutes ST11/92 and ST32/95, provided such request is received from Members within 28 days of the application appearing on the weekly bulletin or within 21 days of notification of the planning application in the case of the Parish Councils.</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*Right of call-in does not apply to Certificates of Lawfulness Applications and Applications for Prior Approval.</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 xml:space="preserve">To authorise Section 106 obligations and their modification or discharge in cases </w:t>
      </w:r>
      <w:proofErr w:type="gramStart"/>
      <w:r w:rsidRPr="000F4E42">
        <w:rPr>
          <w:rFonts w:ascii="Arial" w:hAnsi="Arial" w:cs="Arial"/>
          <w:sz w:val="22"/>
          <w:szCs w:val="22"/>
        </w:rPr>
        <w:t>which would normally be delegated.</w:t>
      </w:r>
      <w:proofErr w:type="gramEnd"/>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To take all actions in respect of Environmental Impact Assessments, including but not limited to their approval.</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To take enforcement action, including the issue of planning contravention notices and notices requiring information as to interests in land, enforcement notices, breach of condition notices, stop notices, temporary stop notices, applications for an injunction (and other related applications) together with any prosecutions arising from a breach of planning control.</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To authorise the execution of works required by an enforcement notice and recover the costs reasonably incurred in doing so</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7" w:hanging="1267"/>
        <w:rPr>
          <w:rFonts w:ascii="Arial" w:hAnsi="Arial" w:cs="Arial"/>
          <w:sz w:val="22"/>
          <w:szCs w:val="22"/>
        </w:rPr>
      </w:pPr>
      <w:r w:rsidRPr="000F4E42">
        <w:rPr>
          <w:rFonts w:ascii="Arial" w:hAnsi="Arial" w:cs="Arial"/>
          <w:sz w:val="22"/>
          <w:szCs w:val="22"/>
        </w:rPr>
        <w:tab/>
        <w:t xml:space="preserve">To issue notices pursuant to Section 215 of the Town and Country Planning Act 1990 (as amended) in respect of derelict and untidy land, together with any prosecutions arising from  non-compliance with an S 215 Notice, under Section 216 of the Town and Country Planning Act 1990. </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 xml:space="preserve">To issue Certificates of Lawful Existing Use or Development and Proposed Use or Development pursuant to Sections 191 and 192 of the Town and Country Planning Act 1990 (as amended) </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To make determinations, give approvals and agree other matters relating to the exercise of permitted development rights.</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To authorise the making of Tree Preservation Orders in cases of urgency and to authorise and make and confirm Tree Preservation Orders where no objections have been received.</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r>
      <w:proofErr w:type="gramStart"/>
      <w:r w:rsidRPr="000F4E42">
        <w:rPr>
          <w:rFonts w:ascii="Arial" w:hAnsi="Arial" w:cs="Arial"/>
          <w:sz w:val="22"/>
          <w:szCs w:val="22"/>
        </w:rPr>
        <w:t>To revoke Tree Preservation Orders only in cases where significant trees on the site are also protected by other Tree Preservation Orders.</w:t>
      </w:r>
      <w:proofErr w:type="gramEnd"/>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r>
      <w:proofErr w:type="gramStart"/>
      <w:r w:rsidRPr="000F4E42">
        <w:rPr>
          <w:rFonts w:ascii="Arial" w:hAnsi="Arial" w:cs="Arial"/>
          <w:sz w:val="22"/>
          <w:szCs w:val="22"/>
        </w:rPr>
        <w:t>To modify Orders at the confirmation stage to correct drafting inaccuracies.</w:t>
      </w:r>
      <w:proofErr w:type="gramEnd"/>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980" w:hanging="1980"/>
        <w:rPr>
          <w:rFonts w:ascii="Arial" w:hAnsi="Arial" w:cs="Arial"/>
          <w:sz w:val="22"/>
          <w:szCs w:val="22"/>
        </w:rPr>
      </w:pPr>
      <w:r w:rsidRPr="000F4E42">
        <w:rPr>
          <w:rFonts w:ascii="Arial" w:hAnsi="Arial" w:cs="Arial"/>
          <w:sz w:val="22"/>
          <w:szCs w:val="22"/>
        </w:rPr>
        <w:tab/>
        <w:t>(1)</w:t>
      </w:r>
      <w:r w:rsidRPr="000F4E42">
        <w:rPr>
          <w:rFonts w:ascii="Arial" w:hAnsi="Arial" w:cs="Arial"/>
          <w:sz w:val="22"/>
          <w:szCs w:val="22"/>
        </w:rPr>
        <w:tab/>
        <w:t>To grant or refuse, following consultation with Members, via the Tree Bulletin, applications to lop, top or fell trees within a Tree Preservation Order or on land in the Council's ownership;</w:t>
      </w:r>
    </w:p>
    <w:p w:rsidR="000F4E42" w:rsidRPr="000F4E42" w:rsidRDefault="000F4E42" w:rsidP="000F4E42">
      <w:pPr>
        <w:tabs>
          <w:tab w:val="left" w:pos="1260"/>
          <w:tab w:val="left" w:pos="1980"/>
          <w:tab w:val="left" w:pos="2700"/>
        </w:tabs>
        <w:ind w:left="1980" w:hanging="1980"/>
        <w:rPr>
          <w:rFonts w:ascii="Arial" w:hAnsi="Arial" w:cs="Arial"/>
          <w:sz w:val="22"/>
          <w:szCs w:val="22"/>
        </w:rPr>
      </w:pPr>
    </w:p>
    <w:p w:rsidR="000F4E42" w:rsidRPr="000F4E42" w:rsidRDefault="000F4E42" w:rsidP="000F4E42">
      <w:pPr>
        <w:tabs>
          <w:tab w:val="left" w:pos="1260"/>
          <w:tab w:val="left" w:pos="1980"/>
          <w:tab w:val="left" w:pos="2700"/>
        </w:tabs>
        <w:ind w:left="1980" w:hanging="1980"/>
        <w:rPr>
          <w:rFonts w:ascii="Arial" w:hAnsi="Arial" w:cs="Arial"/>
          <w:sz w:val="22"/>
          <w:szCs w:val="22"/>
        </w:rPr>
      </w:pPr>
      <w:r w:rsidRPr="000F4E42">
        <w:rPr>
          <w:rFonts w:ascii="Arial" w:hAnsi="Arial" w:cs="Arial"/>
          <w:sz w:val="22"/>
          <w:szCs w:val="22"/>
        </w:rPr>
        <w:tab/>
        <w:t>(2)</w:t>
      </w:r>
      <w:r w:rsidRPr="000F4E42">
        <w:rPr>
          <w:rFonts w:ascii="Arial" w:hAnsi="Arial" w:cs="Arial"/>
          <w:sz w:val="22"/>
          <w:szCs w:val="22"/>
        </w:rPr>
        <w:tab/>
        <w:t>To determine, following consultation with Members, via the Tree Bulletin, applications to lop trees where such work is necessary in the interests of good forestry practice or to ensure the future health and safety of a tree;</w:t>
      </w:r>
    </w:p>
    <w:p w:rsidR="000F4E42" w:rsidRPr="000F4E42" w:rsidRDefault="000F4E42" w:rsidP="000F4E42">
      <w:pPr>
        <w:tabs>
          <w:tab w:val="left" w:pos="1260"/>
          <w:tab w:val="left" w:pos="1980"/>
          <w:tab w:val="left" w:pos="2700"/>
        </w:tabs>
        <w:ind w:left="1980" w:hanging="1980"/>
        <w:rPr>
          <w:rFonts w:ascii="Arial" w:hAnsi="Arial" w:cs="Arial"/>
          <w:sz w:val="22"/>
          <w:szCs w:val="22"/>
        </w:rPr>
      </w:pPr>
    </w:p>
    <w:p w:rsidR="000F4E42" w:rsidRPr="000F4E42" w:rsidRDefault="000F4E42" w:rsidP="000F4E42">
      <w:pPr>
        <w:tabs>
          <w:tab w:val="left" w:pos="1260"/>
          <w:tab w:val="left" w:pos="1980"/>
          <w:tab w:val="left" w:pos="2700"/>
        </w:tabs>
        <w:ind w:left="1980" w:hanging="1980"/>
        <w:rPr>
          <w:rFonts w:ascii="Arial" w:hAnsi="Arial" w:cs="Arial"/>
          <w:sz w:val="22"/>
          <w:szCs w:val="22"/>
        </w:rPr>
      </w:pPr>
      <w:r w:rsidRPr="000F4E42">
        <w:rPr>
          <w:rFonts w:ascii="Arial" w:hAnsi="Arial" w:cs="Arial"/>
          <w:sz w:val="22"/>
          <w:szCs w:val="22"/>
        </w:rPr>
        <w:tab/>
        <w:t>(3)</w:t>
      </w:r>
      <w:r w:rsidRPr="000F4E42">
        <w:rPr>
          <w:rFonts w:ascii="Arial" w:hAnsi="Arial" w:cs="Arial"/>
          <w:sz w:val="22"/>
          <w:szCs w:val="22"/>
        </w:rPr>
        <w:tab/>
        <w:t>To determine whether the Council's consent is required in cases where it is claimed the tree is dead, dying or dangerous or to abate a nuisance; and</w:t>
      </w:r>
    </w:p>
    <w:p w:rsidR="000F4E42" w:rsidRPr="000F4E42" w:rsidRDefault="000F4E42" w:rsidP="000F4E42">
      <w:pPr>
        <w:tabs>
          <w:tab w:val="left" w:pos="1260"/>
          <w:tab w:val="left" w:pos="1980"/>
          <w:tab w:val="left" w:pos="2700"/>
        </w:tabs>
        <w:ind w:left="1980" w:hanging="1980"/>
        <w:rPr>
          <w:rFonts w:ascii="Arial" w:hAnsi="Arial" w:cs="Arial"/>
          <w:sz w:val="22"/>
          <w:szCs w:val="22"/>
        </w:rPr>
      </w:pPr>
    </w:p>
    <w:p w:rsidR="000F4E42" w:rsidRPr="000F4E42" w:rsidRDefault="000F4E42" w:rsidP="000F4E42">
      <w:pPr>
        <w:pStyle w:val="BodyTextIndent3"/>
        <w:ind w:left="1980" w:hanging="1980"/>
        <w:rPr>
          <w:rFonts w:cs="Arial"/>
          <w:szCs w:val="22"/>
        </w:rPr>
      </w:pPr>
      <w:r w:rsidRPr="000F4E42">
        <w:rPr>
          <w:rFonts w:cs="Arial"/>
          <w:szCs w:val="22"/>
        </w:rPr>
        <w:tab/>
      </w:r>
      <w:r w:rsidRPr="000F4E42">
        <w:rPr>
          <w:rFonts w:cs="Arial"/>
          <w:i/>
          <w:szCs w:val="22"/>
        </w:rPr>
        <w:t>(4)</w:t>
      </w:r>
      <w:r w:rsidRPr="000F4E42">
        <w:rPr>
          <w:rFonts w:cs="Arial"/>
          <w:szCs w:val="22"/>
        </w:rPr>
        <w:tab/>
      </w:r>
      <w:r w:rsidRPr="000F4E42">
        <w:rPr>
          <w:rFonts w:cs="Arial"/>
          <w:i/>
          <w:szCs w:val="22"/>
        </w:rPr>
        <w:t>To consider, following consultation with Members via the Tree Bulletin, notices affecting trees in Conservation Areas and to determine whether or not a Tree Preservation Order should be made.</w:t>
      </w:r>
    </w:p>
    <w:p w:rsidR="000F4E42" w:rsidRPr="000F4E42" w:rsidRDefault="000F4E42" w:rsidP="000F4E42">
      <w:pPr>
        <w:pStyle w:val="BodyTextIndent3"/>
        <w:ind w:left="1980" w:hanging="1980"/>
        <w:rPr>
          <w:rFonts w:cs="Arial"/>
          <w:szCs w:val="22"/>
        </w:rPr>
      </w:pPr>
    </w:p>
    <w:p w:rsidR="000F4E42" w:rsidRPr="000F4E42" w:rsidRDefault="000F4E42" w:rsidP="000F4E42">
      <w:pPr>
        <w:tabs>
          <w:tab w:val="left" w:pos="1260"/>
          <w:tab w:val="left" w:pos="1980"/>
          <w:tab w:val="left" w:pos="2700"/>
        </w:tabs>
        <w:ind w:left="1980" w:hanging="1980"/>
        <w:rPr>
          <w:rFonts w:ascii="Arial" w:hAnsi="Arial" w:cs="Arial"/>
          <w:sz w:val="22"/>
          <w:szCs w:val="22"/>
        </w:rPr>
      </w:pPr>
      <w:r w:rsidRPr="000F4E42">
        <w:rPr>
          <w:rFonts w:ascii="Arial" w:hAnsi="Arial" w:cs="Arial"/>
          <w:sz w:val="22"/>
          <w:szCs w:val="22"/>
        </w:rPr>
        <w:tab/>
        <w:t>(5)</w:t>
      </w:r>
      <w:r w:rsidRPr="000F4E42">
        <w:rPr>
          <w:rFonts w:ascii="Arial" w:hAnsi="Arial" w:cs="Arial"/>
          <w:sz w:val="22"/>
          <w:szCs w:val="22"/>
        </w:rPr>
        <w:tab/>
        <w:t>To deal with hedgerow removal notices, following consultation with Members via the Tree Bulletin.</w:t>
      </w:r>
    </w:p>
    <w:p w:rsidR="000F4E42" w:rsidRPr="000F4E42" w:rsidRDefault="000F4E42" w:rsidP="000F4E42">
      <w:pPr>
        <w:tabs>
          <w:tab w:val="left" w:pos="1260"/>
          <w:tab w:val="left" w:pos="1980"/>
          <w:tab w:val="left" w:pos="2700"/>
        </w:tabs>
        <w:ind w:left="1980" w:hanging="198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To serve a completion notice</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To grant consent for the display of advertisements</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To authorise entry onto land</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To require the discontinuance of a use of land</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 xml:space="preserve">To institute prosecutions under Section 210 of the Town and Country Planning Act 1990 (as amended) for contravention of a Tree Preservation Order and for works carried out, which might be a prohibited by a Tree Preservation Order, to a tree in a Conservation Area, without notification having been made under Section 211. </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To determine the level of public consultation other than statutory consultation appropriate to each development control application.</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lastRenderedPageBreak/>
        <w:tab/>
        <w:t xml:space="preserve">To carry out consultations on behalf of the Local Planning Authority on Pastoral Schemes under Section 30 of the Pastoral Measures Act 1968, where no major planning implications are </w:t>
      </w:r>
      <w:proofErr w:type="gramStart"/>
      <w:r w:rsidRPr="000F4E42">
        <w:rPr>
          <w:rFonts w:ascii="Arial" w:hAnsi="Arial" w:cs="Arial"/>
          <w:sz w:val="22"/>
          <w:szCs w:val="22"/>
        </w:rPr>
        <w:t>involved,</w:t>
      </w:r>
      <w:proofErr w:type="gramEnd"/>
      <w:r w:rsidRPr="000F4E42">
        <w:rPr>
          <w:rFonts w:ascii="Arial" w:hAnsi="Arial" w:cs="Arial"/>
          <w:sz w:val="22"/>
          <w:szCs w:val="22"/>
        </w:rPr>
        <w:t xml:space="preserve"> such consultations to be the subject of a subsequent report to the Planning Committee.</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In consultation with the Solicitor of the Council, to authorise institution of High Court proceedings under the Town and Country Planning Act 1990 to appeal against a decision of the Secretary of State for Communities and Local Government in planning / enforcement appeals.</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To make and confirm Footpath Diversion Orders under the Town and Country Planning Acts in the event of no objections being received.</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tabs>
          <w:tab w:val="left" w:pos="1260"/>
          <w:tab w:val="left" w:pos="1980"/>
          <w:tab w:val="left" w:pos="2700"/>
        </w:tabs>
        <w:ind w:left="1260" w:hanging="1260"/>
        <w:rPr>
          <w:rFonts w:ascii="Arial" w:hAnsi="Arial" w:cs="Arial"/>
          <w:sz w:val="22"/>
          <w:szCs w:val="22"/>
        </w:rPr>
      </w:pPr>
      <w:r w:rsidRPr="000F4E42">
        <w:rPr>
          <w:rFonts w:ascii="Arial" w:hAnsi="Arial" w:cs="Arial"/>
          <w:sz w:val="22"/>
          <w:szCs w:val="22"/>
        </w:rPr>
        <w:tab/>
        <w:t>To take enforcement action in respect of listed buildings, unlisted buildings within a conservation area including an application for an injunction, temporary listings, Building Preservation Notices and Listed Buildings Enforcement Notices under the Planning (Listed Building and Conservation Areas) Act 1990.</w:t>
      </w:r>
    </w:p>
    <w:p w:rsidR="000F4E42" w:rsidRPr="000F4E42" w:rsidRDefault="000F4E42" w:rsidP="000F4E42">
      <w:pPr>
        <w:tabs>
          <w:tab w:val="left" w:pos="1260"/>
          <w:tab w:val="left" w:pos="1980"/>
          <w:tab w:val="left" w:pos="2700"/>
        </w:tabs>
        <w:ind w:left="1260" w:hanging="1260"/>
        <w:rPr>
          <w:rFonts w:ascii="Arial" w:hAnsi="Arial" w:cs="Arial"/>
          <w:sz w:val="22"/>
          <w:szCs w:val="22"/>
        </w:rPr>
      </w:pPr>
    </w:p>
    <w:p w:rsidR="000F4E42" w:rsidRPr="000F4E42" w:rsidRDefault="000F4E42" w:rsidP="000F4E42">
      <w:pPr>
        <w:pStyle w:val="ListParagraph"/>
        <w:ind w:left="1276" w:hanging="1276"/>
        <w:jc w:val="both"/>
        <w:rPr>
          <w:rFonts w:ascii="Arial" w:hAnsi="Arial" w:cs="Arial"/>
        </w:rPr>
      </w:pPr>
      <w:r w:rsidRPr="000F4E42">
        <w:rPr>
          <w:rFonts w:ascii="Arial" w:hAnsi="Arial" w:cs="Arial"/>
        </w:rPr>
        <w:tab/>
        <w:t>To grant or refuse requests for planning approval made pursuant to Section 20 and Schedule 17 of the High Speed Rail (London-West Midlands) Act 2017 and to impose conditions on approvals granted.</w:t>
      </w:r>
    </w:p>
    <w:p w:rsidR="000F4E42" w:rsidRPr="000F4E42" w:rsidRDefault="000F4E42" w:rsidP="000F4E42">
      <w:pPr>
        <w:ind w:left="1260"/>
        <w:rPr>
          <w:rFonts w:ascii="Arial" w:hAnsi="Arial" w:cs="Arial"/>
          <w:color w:val="FF0000"/>
          <w:sz w:val="22"/>
          <w:szCs w:val="22"/>
        </w:rPr>
      </w:pPr>
    </w:p>
    <w:p w:rsidR="000F4E42" w:rsidRPr="000F4E42" w:rsidRDefault="000F4E42" w:rsidP="000F4E42">
      <w:pPr>
        <w:keepNext/>
        <w:tabs>
          <w:tab w:val="left" w:pos="1260"/>
          <w:tab w:val="left" w:pos="1980"/>
          <w:tab w:val="left" w:pos="2700"/>
        </w:tabs>
        <w:ind w:left="1260" w:hanging="1260"/>
        <w:rPr>
          <w:rFonts w:ascii="Arial" w:hAnsi="Arial" w:cs="Arial"/>
          <w:b/>
          <w:i/>
          <w:sz w:val="22"/>
          <w:szCs w:val="22"/>
        </w:rPr>
      </w:pPr>
      <w:r w:rsidRPr="000F4E42">
        <w:rPr>
          <w:rFonts w:ascii="Arial" w:hAnsi="Arial" w:cs="Arial"/>
          <w:sz w:val="22"/>
          <w:szCs w:val="22"/>
        </w:rPr>
        <w:tab/>
      </w:r>
      <w:r w:rsidRPr="000F4E42">
        <w:rPr>
          <w:rFonts w:ascii="Arial" w:hAnsi="Arial" w:cs="Arial"/>
          <w:b/>
          <w:i/>
          <w:sz w:val="22"/>
          <w:szCs w:val="22"/>
        </w:rPr>
        <w:t>Building Control, Building Regulations and delegation of functions from other authorities</w:t>
      </w:r>
    </w:p>
    <w:p w:rsidR="000F4E42" w:rsidRPr="000F4E42" w:rsidRDefault="000F4E42" w:rsidP="000F4E42">
      <w:pPr>
        <w:keepNext/>
        <w:tabs>
          <w:tab w:val="left" w:pos="1260"/>
          <w:tab w:val="left" w:pos="1980"/>
          <w:tab w:val="left" w:pos="2700"/>
        </w:tabs>
        <w:ind w:left="1260" w:hanging="1260"/>
        <w:rPr>
          <w:rFonts w:ascii="Arial" w:hAnsi="Arial" w:cs="Arial"/>
          <w:sz w:val="22"/>
          <w:szCs w:val="22"/>
          <w:u w:val="single"/>
        </w:rPr>
      </w:pPr>
    </w:p>
    <w:p w:rsidR="000F4E42" w:rsidRPr="000F4E42" w:rsidRDefault="000F4E42" w:rsidP="000F4E42">
      <w:pPr>
        <w:keepNext/>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ab/>
        <w:t xml:space="preserve">All the actions below, whether carried out for TRDC or any local authority for which </w:t>
      </w:r>
      <w:proofErr w:type="spellStart"/>
      <w:r w:rsidRPr="000F4E42">
        <w:rPr>
          <w:rFonts w:ascii="Arial" w:hAnsi="Arial" w:cs="Arial"/>
          <w:sz w:val="22"/>
          <w:szCs w:val="22"/>
        </w:rPr>
        <w:t>Broste</w:t>
      </w:r>
      <w:proofErr w:type="spellEnd"/>
      <w:r w:rsidRPr="000F4E42">
        <w:rPr>
          <w:rFonts w:ascii="Arial" w:hAnsi="Arial" w:cs="Arial"/>
          <w:sz w:val="22"/>
          <w:szCs w:val="22"/>
        </w:rPr>
        <w:t xml:space="preserve"> Rivers Ltd or its subsidiary companies carry out the Building Regulation, Building Control or other functions, or by an Approved Inspector, can only be enacted by the HRS if the relevant notice or certificate has been submitted to him or her by a qualified Building Control Surveyor or Approved Inspector.   </w:t>
      </w:r>
    </w:p>
    <w:p w:rsidR="000F4E42" w:rsidRPr="000F4E42" w:rsidRDefault="000F4E42" w:rsidP="000F4E42">
      <w:pPr>
        <w:keepNext/>
        <w:tabs>
          <w:tab w:val="left" w:pos="1260"/>
          <w:tab w:val="left" w:pos="1980"/>
          <w:tab w:val="left" w:pos="2700"/>
        </w:tabs>
        <w:ind w:left="1260" w:hanging="1260"/>
        <w:jc w:val="both"/>
        <w:rPr>
          <w:rFonts w:ascii="Arial" w:hAnsi="Arial" w:cs="Arial"/>
          <w:sz w:val="22"/>
          <w:szCs w:val="22"/>
        </w:rPr>
      </w:pP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ab/>
      </w:r>
      <w:proofErr w:type="gramStart"/>
      <w:r w:rsidRPr="000F4E42">
        <w:rPr>
          <w:rFonts w:ascii="Arial" w:hAnsi="Arial" w:cs="Arial"/>
          <w:sz w:val="22"/>
          <w:szCs w:val="22"/>
        </w:rPr>
        <w:t>To approve or reject plans under the Building Regulations and other relevant legislation.</w:t>
      </w:r>
      <w:proofErr w:type="gramEnd"/>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ab/>
      </w:r>
      <w:proofErr w:type="gramStart"/>
      <w:r w:rsidRPr="000F4E42">
        <w:rPr>
          <w:rFonts w:ascii="Arial" w:hAnsi="Arial" w:cs="Arial"/>
          <w:sz w:val="22"/>
          <w:szCs w:val="22"/>
        </w:rPr>
        <w:t>To determine applications for relaxation and dispensation of Building Regulations.</w:t>
      </w:r>
      <w:proofErr w:type="gramEnd"/>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ab/>
        <w:t xml:space="preserve">To process and monitor Notices and Certificates submitted under the Building (Approved Inspectors Etc.) </w:t>
      </w:r>
      <w:proofErr w:type="gramStart"/>
      <w:r w:rsidRPr="000F4E42">
        <w:rPr>
          <w:rFonts w:ascii="Arial" w:hAnsi="Arial" w:cs="Arial"/>
          <w:sz w:val="22"/>
          <w:szCs w:val="22"/>
        </w:rPr>
        <w:t>Regulations.</w:t>
      </w:r>
      <w:proofErr w:type="gramEnd"/>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ab/>
      </w:r>
      <w:proofErr w:type="gramStart"/>
      <w:r w:rsidRPr="000F4E42">
        <w:rPr>
          <w:rFonts w:ascii="Arial" w:hAnsi="Arial" w:cs="Arial"/>
          <w:sz w:val="22"/>
          <w:szCs w:val="22"/>
        </w:rPr>
        <w:t>To serve Notices under Section 36 of the Building Act 1984.</w:t>
      </w:r>
      <w:proofErr w:type="gramEnd"/>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ab/>
        <w:t>To carry out inspections and issue certificates in accordance with the terms and conditions of the PRC Homes Scheme Handbook.</w:t>
      </w: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ab/>
        <w:t>To carry out (</w:t>
      </w:r>
      <w:proofErr w:type="spellStart"/>
      <w:r w:rsidRPr="000F4E42">
        <w:rPr>
          <w:rFonts w:ascii="Arial" w:hAnsi="Arial" w:cs="Arial"/>
          <w:sz w:val="22"/>
          <w:szCs w:val="22"/>
        </w:rPr>
        <w:t>i</w:t>
      </w:r>
      <w:proofErr w:type="spellEnd"/>
      <w:r w:rsidRPr="000F4E42">
        <w:rPr>
          <w:rFonts w:ascii="Arial" w:hAnsi="Arial" w:cs="Arial"/>
          <w:sz w:val="22"/>
          <w:szCs w:val="22"/>
        </w:rPr>
        <w:t>) all other Building Control work for the Council and (ii) all Building Control work, functions or activities delegated to the Council which are by law delegable only to another local authority.</w:t>
      </w: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p>
    <w:p w:rsidR="000F4E42" w:rsidRPr="000F4E42" w:rsidRDefault="000F4E42" w:rsidP="000F4E42">
      <w:pPr>
        <w:keepNext/>
        <w:tabs>
          <w:tab w:val="left" w:pos="1260"/>
          <w:tab w:val="left" w:pos="1980"/>
          <w:tab w:val="left" w:pos="2700"/>
        </w:tabs>
        <w:ind w:left="1260" w:hanging="1260"/>
        <w:jc w:val="both"/>
        <w:rPr>
          <w:rFonts w:ascii="Arial" w:hAnsi="Arial" w:cs="Arial"/>
          <w:sz w:val="22"/>
          <w:szCs w:val="22"/>
          <w:u w:val="single"/>
        </w:rPr>
      </w:pPr>
      <w:r w:rsidRPr="000F4E42">
        <w:rPr>
          <w:rFonts w:ascii="Arial" w:hAnsi="Arial" w:cs="Arial"/>
          <w:sz w:val="22"/>
          <w:szCs w:val="22"/>
        </w:rPr>
        <w:lastRenderedPageBreak/>
        <w:tab/>
      </w:r>
      <w:r w:rsidRPr="000F4E42">
        <w:rPr>
          <w:rFonts w:ascii="Arial" w:hAnsi="Arial" w:cs="Arial"/>
          <w:b/>
          <w:i/>
          <w:sz w:val="22"/>
          <w:szCs w:val="22"/>
        </w:rPr>
        <w:t>Fire Protection and Means of Escape</w:t>
      </w:r>
    </w:p>
    <w:p w:rsidR="000F4E42" w:rsidRPr="000F4E42" w:rsidRDefault="000F4E42" w:rsidP="000F4E42">
      <w:pPr>
        <w:keepNext/>
        <w:tabs>
          <w:tab w:val="left" w:pos="1260"/>
          <w:tab w:val="left" w:pos="1980"/>
          <w:tab w:val="left" w:pos="2700"/>
        </w:tabs>
        <w:ind w:left="1260" w:hanging="1260"/>
        <w:jc w:val="both"/>
        <w:rPr>
          <w:rFonts w:ascii="Arial" w:hAnsi="Arial" w:cs="Arial"/>
          <w:sz w:val="22"/>
          <w:szCs w:val="22"/>
          <w:u w:val="single"/>
        </w:rPr>
      </w:pP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ab/>
      </w:r>
      <w:proofErr w:type="gramStart"/>
      <w:r w:rsidRPr="000F4E42">
        <w:rPr>
          <w:rFonts w:ascii="Arial" w:hAnsi="Arial" w:cs="Arial"/>
          <w:sz w:val="22"/>
          <w:szCs w:val="22"/>
        </w:rPr>
        <w:t>To act under Section 72 of the Building Act 1984 (Means of escape from fire in the case of certain high buildings).</w:t>
      </w:r>
      <w:proofErr w:type="gramEnd"/>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p>
    <w:p w:rsidR="000F4E42" w:rsidRPr="000F4E42" w:rsidRDefault="000F4E42" w:rsidP="000F4E42">
      <w:pPr>
        <w:keepNext/>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ab/>
      </w:r>
      <w:r w:rsidRPr="000F4E42">
        <w:rPr>
          <w:rFonts w:ascii="Arial" w:hAnsi="Arial" w:cs="Arial"/>
          <w:b/>
          <w:i/>
          <w:sz w:val="22"/>
          <w:szCs w:val="22"/>
        </w:rPr>
        <w:t>Dangerous Structures and Excavations</w:t>
      </w: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ab/>
      </w:r>
      <w:proofErr w:type="gramStart"/>
      <w:r w:rsidRPr="000F4E42">
        <w:rPr>
          <w:rFonts w:ascii="Arial" w:hAnsi="Arial" w:cs="Arial"/>
          <w:sz w:val="22"/>
          <w:szCs w:val="22"/>
        </w:rPr>
        <w:t>To deal with dangerous structures under Section 78 of the Building Act 1984.</w:t>
      </w:r>
      <w:proofErr w:type="gramEnd"/>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r w:rsidRPr="000F4E42">
        <w:rPr>
          <w:rFonts w:ascii="Arial" w:hAnsi="Arial" w:cs="Arial"/>
          <w:sz w:val="22"/>
          <w:szCs w:val="22"/>
        </w:rPr>
        <w:tab/>
      </w:r>
      <w:proofErr w:type="gramStart"/>
      <w:r w:rsidRPr="000F4E42">
        <w:rPr>
          <w:rFonts w:ascii="Arial" w:hAnsi="Arial" w:cs="Arial"/>
          <w:sz w:val="22"/>
          <w:szCs w:val="22"/>
        </w:rPr>
        <w:t>To deal with dangerous excavations under Section 25 of the Local Government (Miscellaneous Provisions) Act 1976.</w:t>
      </w:r>
      <w:proofErr w:type="gramEnd"/>
    </w:p>
    <w:p w:rsidR="000F4E42" w:rsidRPr="000F4E42" w:rsidRDefault="000F4E42" w:rsidP="000F4E42">
      <w:pPr>
        <w:tabs>
          <w:tab w:val="left" w:pos="1260"/>
          <w:tab w:val="left" w:pos="1980"/>
          <w:tab w:val="left" w:pos="2700"/>
        </w:tabs>
        <w:ind w:left="1260" w:hanging="1260"/>
        <w:jc w:val="both"/>
        <w:rPr>
          <w:rFonts w:ascii="Arial" w:hAnsi="Arial" w:cs="Arial"/>
          <w:sz w:val="22"/>
          <w:szCs w:val="22"/>
        </w:rPr>
      </w:pPr>
    </w:p>
    <w:p w:rsidR="000F4E42" w:rsidRPr="000F4E42" w:rsidRDefault="000F4E42" w:rsidP="000F4E42">
      <w:pPr>
        <w:keepNext/>
        <w:tabs>
          <w:tab w:val="left" w:pos="1260"/>
          <w:tab w:val="left" w:pos="1980"/>
          <w:tab w:val="left" w:pos="2700"/>
        </w:tabs>
        <w:jc w:val="both"/>
        <w:rPr>
          <w:rFonts w:ascii="Arial" w:hAnsi="Arial" w:cs="Arial"/>
          <w:b/>
          <w:i/>
          <w:sz w:val="22"/>
          <w:szCs w:val="22"/>
        </w:rPr>
      </w:pPr>
      <w:r w:rsidRPr="000F4E42">
        <w:rPr>
          <w:rFonts w:ascii="Arial" w:hAnsi="Arial" w:cs="Arial"/>
          <w:sz w:val="22"/>
          <w:szCs w:val="22"/>
        </w:rPr>
        <w:tab/>
      </w:r>
      <w:r w:rsidRPr="000F4E42">
        <w:rPr>
          <w:rFonts w:ascii="Arial" w:hAnsi="Arial" w:cs="Arial"/>
          <w:b/>
          <w:i/>
          <w:sz w:val="22"/>
          <w:szCs w:val="22"/>
        </w:rPr>
        <w:t>Enforcement</w:t>
      </w:r>
    </w:p>
    <w:p w:rsidR="000F4E42" w:rsidRPr="000F4E42" w:rsidRDefault="000F4E42" w:rsidP="000F4E42">
      <w:pPr>
        <w:tabs>
          <w:tab w:val="left" w:pos="1260"/>
          <w:tab w:val="left" w:pos="1980"/>
          <w:tab w:val="left" w:pos="2700"/>
        </w:tabs>
        <w:spacing w:line="238" w:lineRule="exact"/>
        <w:ind w:left="1260" w:hanging="1260"/>
        <w:jc w:val="both"/>
        <w:rPr>
          <w:rFonts w:ascii="Arial" w:hAnsi="Arial" w:cs="Arial"/>
          <w:sz w:val="22"/>
          <w:szCs w:val="22"/>
        </w:rPr>
      </w:pPr>
      <w:r w:rsidRPr="000F4E42">
        <w:rPr>
          <w:rFonts w:ascii="Arial" w:hAnsi="Arial" w:cs="Arial"/>
          <w:sz w:val="22"/>
          <w:szCs w:val="22"/>
        </w:rPr>
        <w:tab/>
      </w:r>
    </w:p>
    <w:p w:rsidR="000F4E42" w:rsidRPr="000F4E42" w:rsidRDefault="000F4E42" w:rsidP="000F4E42">
      <w:pPr>
        <w:tabs>
          <w:tab w:val="left" w:pos="1260"/>
          <w:tab w:val="left" w:pos="1980"/>
          <w:tab w:val="left" w:pos="2700"/>
        </w:tabs>
        <w:spacing w:line="238" w:lineRule="exact"/>
        <w:ind w:left="1260" w:hanging="1260"/>
        <w:jc w:val="both"/>
        <w:rPr>
          <w:rFonts w:ascii="Arial" w:hAnsi="Arial" w:cs="Arial"/>
          <w:sz w:val="22"/>
          <w:szCs w:val="22"/>
        </w:rPr>
      </w:pPr>
      <w:r w:rsidRPr="000F4E42">
        <w:rPr>
          <w:rFonts w:ascii="Arial" w:hAnsi="Arial" w:cs="Arial"/>
          <w:sz w:val="22"/>
          <w:szCs w:val="22"/>
        </w:rPr>
        <w:tab/>
        <w:t xml:space="preserve">11.26.37 </w:t>
      </w:r>
      <w:proofErr w:type="gramStart"/>
      <w:r w:rsidRPr="000F4E42">
        <w:rPr>
          <w:rFonts w:ascii="Arial" w:hAnsi="Arial" w:cs="Arial"/>
          <w:sz w:val="22"/>
          <w:szCs w:val="22"/>
        </w:rPr>
        <w:t>To</w:t>
      </w:r>
      <w:proofErr w:type="gramEnd"/>
      <w:r w:rsidRPr="000F4E42">
        <w:rPr>
          <w:rFonts w:ascii="Arial" w:hAnsi="Arial" w:cs="Arial"/>
          <w:sz w:val="22"/>
          <w:szCs w:val="22"/>
        </w:rPr>
        <w:t xml:space="preserve"> authorise action under the Anti-Social Behaviour Crime and Policing Act 2014 and all powers and remedies under that Act, consistent with the Council’s Community Safety Strategy.</w:t>
      </w:r>
    </w:p>
    <w:p w:rsidR="000F4E42" w:rsidRPr="000F4E42" w:rsidRDefault="000F4E42" w:rsidP="000F4E42">
      <w:pPr>
        <w:tabs>
          <w:tab w:val="left" w:pos="1260"/>
          <w:tab w:val="left" w:pos="1980"/>
          <w:tab w:val="left" w:pos="2700"/>
        </w:tabs>
        <w:spacing w:line="238" w:lineRule="exact"/>
        <w:ind w:left="1260" w:hanging="1260"/>
        <w:jc w:val="both"/>
        <w:rPr>
          <w:rFonts w:ascii="Arial" w:hAnsi="Arial" w:cs="Arial"/>
          <w:sz w:val="22"/>
          <w:szCs w:val="22"/>
        </w:rPr>
      </w:pPr>
    </w:p>
    <w:p w:rsidR="000F4E42" w:rsidRPr="000F4E42" w:rsidRDefault="000F4E42" w:rsidP="000F4E42">
      <w:pPr>
        <w:tabs>
          <w:tab w:val="left" w:pos="1276"/>
        </w:tabs>
        <w:ind w:left="1276"/>
        <w:jc w:val="both"/>
        <w:rPr>
          <w:rFonts w:ascii="Arial" w:hAnsi="Arial" w:cs="Arial"/>
          <w:sz w:val="22"/>
          <w:szCs w:val="22"/>
        </w:rPr>
      </w:pPr>
      <w:r w:rsidRPr="000F4E42">
        <w:rPr>
          <w:rFonts w:ascii="Arial" w:hAnsi="Arial" w:cs="Arial"/>
          <w:sz w:val="22"/>
          <w:szCs w:val="22"/>
        </w:rPr>
        <w:t xml:space="preserve">That the following be authorised persons to issue </w:t>
      </w:r>
      <w:r w:rsidRPr="000F4E42">
        <w:rPr>
          <w:rFonts w:ascii="Arial" w:hAnsi="Arial" w:cs="Arial"/>
          <w:iCs/>
          <w:sz w:val="22"/>
          <w:szCs w:val="22"/>
        </w:rPr>
        <w:t>Community Protection Notices (CPNs) and Fixed Penalty Notices (FPNs) for the breach of CPNs:</w:t>
      </w:r>
    </w:p>
    <w:p w:rsidR="000F4E42" w:rsidRPr="000F4E42" w:rsidRDefault="000F4E42" w:rsidP="000F4E42">
      <w:pPr>
        <w:tabs>
          <w:tab w:val="left" w:pos="1276"/>
        </w:tabs>
        <w:jc w:val="both"/>
        <w:rPr>
          <w:rFonts w:ascii="Arial" w:hAnsi="Arial" w:cs="Arial"/>
          <w:sz w:val="22"/>
          <w:szCs w:val="22"/>
        </w:rPr>
      </w:pPr>
    </w:p>
    <w:p w:rsidR="000F4E42" w:rsidRPr="000F4E42" w:rsidRDefault="000F4E42" w:rsidP="000F4E42">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ind w:left="1260"/>
        <w:jc w:val="both"/>
        <w:rPr>
          <w:rFonts w:cs="Arial"/>
          <w:szCs w:val="22"/>
        </w:rPr>
      </w:pPr>
      <w:r w:rsidRPr="000F4E42">
        <w:rPr>
          <w:rFonts w:cs="Arial"/>
          <w:szCs w:val="22"/>
        </w:rPr>
        <w:t>Environmental Enforcement Officers, Residential Environmental Health Manager, Animal Control Enforcement Officer, Head of Community Partnerships and that the Director of Community and Environmental Services be delegated to add authorised persons as required.</w:t>
      </w:r>
    </w:p>
    <w:p w:rsidR="000F4E42" w:rsidRDefault="000F4E42" w:rsidP="006B0ACF">
      <w:pPr>
        <w:pStyle w:val="Title"/>
        <w:tabs>
          <w:tab w:val="clear" w:pos="1440"/>
          <w:tab w:val="clear" w:pos="2160"/>
          <w:tab w:val="clear" w:pos="2880"/>
          <w:tab w:val="clear" w:pos="3600"/>
          <w:tab w:val="clear" w:pos="4320"/>
          <w:tab w:val="left" w:pos="1260"/>
          <w:tab w:val="left" w:pos="1980"/>
          <w:tab w:val="left" w:pos="2700"/>
          <w:tab w:val="left" w:pos="3420"/>
        </w:tabs>
        <w:spacing w:line="240" w:lineRule="auto"/>
        <w:jc w:val="both"/>
        <w:rPr>
          <w:rFonts w:cs="Arial"/>
          <w:szCs w:val="22"/>
        </w:rPr>
      </w:pPr>
    </w:p>
    <w:p w:rsidR="0041700D" w:rsidRDefault="0041700D" w:rsidP="0041700D">
      <w:pPr>
        <w:pStyle w:val="Title"/>
        <w:tabs>
          <w:tab w:val="clear" w:pos="1440"/>
          <w:tab w:val="clear" w:pos="2160"/>
          <w:tab w:val="clear" w:pos="2880"/>
          <w:tab w:val="clear" w:pos="3600"/>
          <w:tab w:val="clear" w:pos="4320"/>
          <w:tab w:val="left" w:pos="1260"/>
          <w:tab w:val="left" w:pos="1980"/>
          <w:tab w:val="left" w:pos="2700"/>
          <w:tab w:val="left" w:pos="3420"/>
          <w:tab w:val="center" w:pos="4513"/>
          <w:tab w:val="left" w:pos="5746"/>
        </w:tabs>
        <w:spacing w:line="240" w:lineRule="auto"/>
        <w:jc w:val="left"/>
        <w:rPr>
          <w:rFonts w:cs="Arial"/>
          <w:szCs w:val="22"/>
        </w:rPr>
      </w:pPr>
      <w:r>
        <w:rPr>
          <w:rFonts w:cs="Arial"/>
          <w:szCs w:val="22"/>
        </w:rPr>
        <w:tab/>
      </w:r>
      <w:r>
        <w:rPr>
          <w:rFonts w:cs="Arial"/>
          <w:szCs w:val="22"/>
        </w:rPr>
        <w:tab/>
      </w:r>
    </w:p>
    <w:p w:rsidR="000F4E42" w:rsidRPr="000F4E42" w:rsidRDefault="000F4E42" w:rsidP="000F4E42">
      <w:pPr>
        <w:keepNext/>
        <w:tabs>
          <w:tab w:val="left" w:pos="1276"/>
        </w:tabs>
        <w:ind w:left="1275" w:hanging="1275"/>
        <w:rPr>
          <w:rFonts w:ascii="Arial" w:hAnsi="Arial" w:cs="Arial"/>
          <w:b/>
          <w:sz w:val="22"/>
          <w:szCs w:val="22"/>
        </w:rPr>
      </w:pPr>
      <w:r w:rsidRPr="000F4E42">
        <w:rPr>
          <w:rFonts w:ascii="Arial" w:hAnsi="Arial" w:cs="Arial"/>
          <w:b/>
          <w:sz w:val="22"/>
          <w:szCs w:val="22"/>
        </w:rPr>
        <w:t>PR27/17</w:t>
      </w:r>
      <w:r w:rsidRPr="000F4E42">
        <w:rPr>
          <w:rFonts w:ascii="Arial" w:hAnsi="Arial" w:cs="Arial"/>
          <w:b/>
          <w:sz w:val="22"/>
          <w:szCs w:val="22"/>
        </w:rPr>
        <w:tab/>
        <w:t>SOUTH OXHEY INITIATIVE</w:t>
      </w:r>
    </w:p>
    <w:p w:rsidR="000F4E42" w:rsidRPr="000F4E42" w:rsidRDefault="000F4E42" w:rsidP="000F4E42">
      <w:pPr>
        <w:keepNext/>
        <w:tabs>
          <w:tab w:val="left" w:pos="1276"/>
        </w:tabs>
        <w:ind w:left="1275" w:hanging="1275"/>
        <w:rPr>
          <w:rFonts w:ascii="Arial" w:hAnsi="Arial" w:cs="Arial"/>
          <w:sz w:val="22"/>
          <w:szCs w:val="22"/>
        </w:rPr>
      </w:pPr>
    </w:p>
    <w:p w:rsidR="000F4E42" w:rsidRPr="00DC251F" w:rsidRDefault="000F4E42" w:rsidP="00DC251F">
      <w:pPr>
        <w:pStyle w:val="ListParagraph"/>
        <w:numPr>
          <w:ilvl w:val="0"/>
          <w:numId w:val="9"/>
        </w:numPr>
        <w:spacing w:line="240" w:lineRule="auto"/>
        <w:jc w:val="both"/>
        <w:rPr>
          <w:rFonts w:ascii="Arial" w:hAnsi="Arial" w:cs="Arial"/>
        </w:rPr>
      </w:pPr>
      <w:r w:rsidRPr="00DC251F">
        <w:rPr>
          <w:rFonts w:ascii="Arial" w:hAnsi="Arial" w:cs="Arial"/>
        </w:rPr>
        <w:t xml:space="preserve">It resolves to authorise the appropriation of the additional land subject to the release of a restrictive covenant held by London Borough of Bromley at Former Tennis Courts, land west of the </w:t>
      </w:r>
      <w:proofErr w:type="spellStart"/>
      <w:r w:rsidRPr="00DC251F">
        <w:rPr>
          <w:rFonts w:ascii="Arial" w:hAnsi="Arial" w:cs="Arial"/>
        </w:rPr>
        <w:t>Oxhey</w:t>
      </w:r>
      <w:proofErr w:type="spellEnd"/>
      <w:r w:rsidRPr="00DC251F">
        <w:rPr>
          <w:rFonts w:ascii="Arial" w:hAnsi="Arial" w:cs="Arial"/>
        </w:rPr>
        <w:t xml:space="preserve"> Pavilion (the Site) within </w:t>
      </w:r>
      <w:proofErr w:type="spellStart"/>
      <w:r w:rsidRPr="00DC251F">
        <w:rPr>
          <w:rFonts w:ascii="Arial" w:hAnsi="Arial" w:cs="Arial"/>
        </w:rPr>
        <w:t>Oxhey</w:t>
      </w:r>
      <w:proofErr w:type="spellEnd"/>
      <w:r w:rsidRPr="00DC251F">
        <w:rPr>
          <w:rFonts w:ascii="Arial" w:hAnsi="Arial" w:cs="Arial"/>
        </w:rPr>
        <w:t xml:space="preserve"> Playing Fields (as shown on the plan at Appendix B which is owned freehold by the Council) having first considered any objections received to the same under the provisions of Section 122 of the Local Government Act 1972 to enable the Council to override third party rights and easements pursuant to Section 203 of the Housing and Planning Act 2016;</w:t>
      </w:r>
    </w:p>
    <w:p w:rsidR="00DC251F" w:rsidRDefault="00DC251F" w:rsidP="00DC251F">
      <w:pPr>
        <w:pStyle w:val="ListParagraph"/>
        <w:spacing w:line="240" w:lineRule="auto"/>
        <w:ind w:left="1636"/>
        <w:jc w:val="both"/>
        <w:rPr>
          <w:rFonts w:ascii="Arial" w:hAnsi="Arial" w:cs="Arial"/>
        </w:rPr>
      </w:pPr>
    </w:p>
    <w:p w:rsidR="000F4E42" w:rsidRDefault="000F4E42" w:rsidP="00DC251F">
      <w:pPr>
        <w:pStyle w:val="ListParagraph"/>
        <w:numPr>
          <w:ilvl w:val="0"/>
          <w:numId w:val="9"/>
        </w:numPr>
        <w:spacing w:line="240" w:lineRule="auto"/>
        <w:jc w:val="both"/>
        <w:rPr>
          <w:rFonts w:ascii="Arial" w:hAnsi="Arial" w:cs="Arial"/>
        </w:rPr>
      </w:pPr>
      <w:r w:rsidRPr="00DC251F">
        <w:rPr>
          <w:rFonts w:ascii="Arial" w:hAnsi="Arial" w:cs="Arial"/>
        </w:rPr>
        <w:t>It authorises the disposal of the Site as public open space pursuant to s.233 of the Town and Country Planning Act 1990 by virtue of a lease for 20 years to the 14th Watford Scout group (to be added to the demise of land already authorised to be disposed to the Scouts) having first considered any objections received to the same; and</w:t>
      </w:r>
    </w:p>
    <w:p w:rsidR="00DC251F" w:rsidRPr="00DC251F" w:rsidRDefault="00DC251F" w:rsidP="00DC251F">
      <w:pPr>
        <w:pStyle w:val="ListParagraph"/>
        <w:spacing w:line="240" w:lineRule="auto"/>
        <w:rPr>
          <w:rFonts w:ascii="Arial" w:hAnsi="Arial" w:cs="Arial"/>
        </w:rPr>
      </w:pPr>
    </w:p>
    <w:p w:rsidR="000F4E42" w:rsidRDefault="000F4E42" w:rsidP="00DC251F">
      <w:pPr>
        <w:pStyle w:val="ListParagraph"/>
        <w:numPr>
          <w:ilvl w:val="0"/>
          <w:numId w:val="9"/>
        </w:numPr>
        <w:spacing w:line="240" w:lineRule="auto"/>
        <w:jc w:val="both"/>
        <w:rPr>
          <w:rFonts w:ascii="Arial" w:hAnsi="Arial" w:cs="Arial"/>
        </w:rPr>
      </w:pPr>
      <w:r w:rsidRPr="00DC251F">
        <w:rPr>
          <w:rFonts w:ascii="Arial" w:hAnsi="Arial" w:cs="Arial"/>
        </w:rPr>
        <w:t>That the consideration of any objections be delegated to the Chief Executive in consultation with the Chair of Policy &amp; Resources Committee.</w:t>
      </w:r>
    </w:p>
    <w:p w:rsidR="00DC251F" w:rsidRPr="00DC251F" w:rsidRDefault="00DC251F" w:rsidP="00DC251F">
      <w:pPr>
        <w:pStyle w:val="ListParagraph"/>
        <w:spacing w:line="240" w:lineRule="auto"/>
        <w:rPr>
          <w:rFonts w:ascii="Arial" w:hAnsi="Arial" w:cs="Arial"/>
        </w:rPr>
      </w:pPr>
    </w:p>
    <w:p w:rsidR="000F4E42" w:rsidRDefault="000F4E42" w:rsidP="00DC251F">
      <w:pPr>
        <w:pStyle w:val="ListParagraph"/>
        <w:numPr>
          <w:ilvl w:val="0"/>
          <w:numId w:val="9"/>
        </w:numPr>
        <w:spacing w:line="240" w:lineRule="auto"/>
        <w:jc w:val="both"/>
        <w:rPr>
          <w:rFonts w:ascii="Arial" w:hAnsi="Arial" w:cs="Arial"/>
        </w:rPr>
      </w:pPr>
      <w:r w:rsidRPr="00DC251F">
        <w:rPr>
          <w:rFonts w:ascii="Arial" w:hAnsi="Arial" w:cs="Arial"/>
        </w:rPr>
        <w:t xml:space="preserve">That in doing so the Council has considered the provisions of the Equalities Act 2010 and the Human Rights Act 1998 contained in paragraph 5 of the report in Appendix A so far as they might be applicable in deciding whether or not to authorise the appropriation as outlined in this report and resolves the following: with regard to Article 1 of Protocol 1 it is considered that in balancing the rights of the individuals who are affected by the appropriation against the benefit to the community of proceeding with the appropriation, the appropriation resulting in the interference with the individuals rights is </w:t>
      </w:r>
      <w:r w:rsidRPr="00DC251F">
        <w:rPr>
          <w:rFonts w:ascii="Arial" w:hAnsi="Arial" w:cs="Arial"/>
        </w:rPr>
        <w:lastRenderedPageBreak/>
        <w:t>justified in the interests of providing the relocation of an essential community use for a scouting facility.</w:t>
      </w:r>
    </w:p>
    <w:p w:rsidR="00E14E86" w:rsidRPr="00E14E86" w:rsidRDefault="00E14E86" w:rsidP="00E14E86">
      <w:pPr>
        <w:pStyle w:val="ListParagraph"/>
        <w:rPr>
          <w:rFonts w:ascii="Arial" w:hAnsi="Arial" w:cs="Arial"/>
        </w:rPr>
      </w:pPr>
    </w:p>
    <w:p w:rsidR="00D4576C" w:rsidRPr="000F4E42" w:rsidRDefault="00D4576C" w:rsidP="000F4E42">
      <w:pPr>
        <w:keepNext/>
        <w:tabs>
          <w:tab w:val="left" w:pos="1276"/>
        </w:tabs>
        <w:ind w:left="1275" w:hanging="1275"/>
        <w:rPr>
          <w:rFonts w:ascii="Arial" w:hAnsi="Arial" w:cs="Arial"/>
          <w:b/>
          <w:sz w:val="22"/>
          <w:szCs w:val="22"/>
        </w:rPr>
      </w:pPr>
      <w:r w:rsidRPr="000F4E42">
        <w:rPr>
          <w:rFonts w:ascii="Arial" w:hAnsi="Arial" w:cs="Arial"/>
          <w:b/>
          <w:sz w:val="22"/>
          <w:szCs w:val="22"/>
        </w:rPr>
        <w:t>PR30/17</w:t>
      </w:r>
      <w:r w:rsidRPr="000F4E42">
        <w:rPr>
          <w:rFonts w:ascii="Arial" w:hAnsi="Arial" w:cs="Arial"/>
          <w:b/>
          <w:sz w:val="22"/>
          <w:szCs w:val="22"/>
        </w:rPr>
        <w:tab/>
        <w:t>BUDGET MONITORING – MONTH 4 (July)</w:t>
      </w:r>
    </w:p>
    <w:p w:rsidR="00D4576C" w:rsidRPr="000F4E42" w:rsidRDefault="00D4576C" w:rsidP="00D4576C">
      <w:pPr>
        <w:keepNext/>
        <w:ind w:left="1267" w:hanging="1267"/>
        <w:rPr>
          <w:rFonts w:ascii="Arial" w:hAnsi="Arial" w:cs="Arial"/>
          <w:sz w:val="22"/>
          <w:szCs w:val="22"/>
        </w:rPr>
      </w:pPr>
    </w:p>
    <w:p w:rsidR="000F4E42" w:rsidRPr="000F4E42" w:rsidRDefault="000F4E42" w:rsidP="000F4E42">
      <w:pPr>
        <w:keepNext/>
        <w:tabs>
          <w:tab w:val="left" w:pos="567"/>
        </w:tabs>
        <w:ind w:left="1267" w:hanging="1267"/>
        <w:rPr>
          <w:rFonts w:ascii="Arial" w:hAnsi="Arial" w:cs="Arial"/>
          <w:sz w:val="22"/>
          <w:szCs w:val="22"/>
        </w:rPr>
      </w:pPr>
      <w:r w:rsidRPr="000F4E42">
        <w:rPr>
          <w:rFonts w:ascii="Arial" w:hAnsi="Arial" w:cs="Arial"/>
          <w:sz w:val="22"/>
          <w:szCs w:val="22"/>
        </w:rPr>
        <w:tab/>
      </w:r>
      <w:r w:rsidRPr="000F4E42">
        <w:rPr>
          <w:rFonts w:ascii="Arial" w:hAnsi="Arial" w:cs="Arial"/>
          <w:sz w:val="22"/>
          <w:szCs w:val="22"/>
        </w:rPr>
        <w:tab/>
        <w:t>That the following revenue and capital budget variations be approved and incorporated into the three-year medium-term financial plan:-</w:t>
      </w:r>
    </w:p>
    <w:p w:rsidR="000F4E42" w:rsidRPr="000F4E42" w:rsidRDefault="000F4E42" w:rsidP="000F4E42">
      <w:pPr>
        <w:keepNext/>
        <w:tabs>
          <w:tab w:val="left" w:pos="567"/>
        </w:tabs>
        <w:ind w:left="1267" w:hanging="1267"/>
        <w:rPr>
          <w:rFonts w:ascii="Arial" w:hAnsi="Arial" w:cs="Arial"/>
          <w:sz w:val="22"/>
          <w:szCs w:val="22"/>
        </w:rPr>
      </w:pPr>
    </w:p>
    <w:tbl>
      <w:tblPr>
        <w:tblW w:w="793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1247"/>
        <w:gridCol w:w="1134"/>
        <w:gridCol w:w="1134"/>
      </w:tblGrid>
      <w:tr w:rsidR="000F4E42" w:rsidRPr="000F4E42" w:rsidTr="000B7602">
        <w:tc>
          <w:tcPr>
            <w:tcW w:w="4423" w:type="dxa"/>
            <w:tcBorders>
              <w:top w:val="single" w:sz="4" w:space="0" w:color="auto"/>
              <w:left w:val="single" w:sz="4" w:space="0" w:color="auto"/>
              <w:bottom w:val="single" w:sz="4" w:space="0" w:color="auto"/>
              <w:right w:val="single" w:sz="4" w:space="0" w:color="auto"/>
            </w:tcBorders>
            <w:vAlign w:val="center"/>
            <w:hideMark/>
          </w:tcPr>
          <w:p w:rsidR="000F4E42" w:rsidRPr="000F4E42" w:rsidRDefault="000F4E42" w:rsidP="000B7602">
            <w:pPr>
              <w:widowControl w:val="0"/>
              <w:tabs>
                <w:tab w:val="left" w:pos="1260"/>
                <w:tab w:val="left" w:pos="1980"/>
                <w:tab w:val="left" w:pos="2700"/>
                <w:tab w:val="left" w:pos="3420"/>
              </w:tabs>
              <w:spacing w:line="256" w:lineRule="auto"/>
              <w:jc w:val="center"/>
              <w:rPr>
                <w:rFonts w:ascii="Arial" w:hAnsi="Arial" w:cs="Arial"/>
                <w:b/>
                <w:sz w:val="22"/>
                <w:szCs w:val="22"/>
                <w:lang w:eastAsia="en-US"/>
              </w:rPr>
            </w:pPr>
            <w:r w:rsidRPr="000F4E42">
              <w:rPr>
                <w:rFonts w:ascii="Arial" w:hAnsi="Arial" w:cs="Arial"/>
                <w:b/>
                <w:sz w:val="22"/>
                <w:szCs w:val="22"/>
                <w:lang w:eastAsia="en-US"/>
              </w:rPr>
              <w:t>Variance</w:t>
            </w:r>
          </w:p>
        </w:tc>
        <w:tc>
          <w:tcPr>
            <w:tcW w:w="1247" w:type="dxa"/>
            <w:tcBorders>
              <w:top w:val="single" w:sz="4" w:space="0" w:color="auto"/>
              <w:left w:val="single" w:sz="4" w:space="0" w:color="auto"/>
              <w:bottom w:val="single" w:sz="4" w:space="0" w:color="auto"/>
              <w:right w:val="single" w:sz="4" w:space="0" w:color="auto"/>
            </w:tcBorders>
            <w:hideMark/>
          </w:tcPr>
          <w:p w:rsidR="000F4E42" w:rsidRPr="000F4E42" w:rsidRDefault="000F4E42" w:rsidP="000B7602">
            <w:pPr>
              <w:widowControl w:val="0"/>
              <w:spacing w:line="256" w:lineRule="auto"/>
              <w:jc w:val="center"/>
              <w:rPr>
                <w:rFonts w:ascii="Arial" w:hAnsi="Arial" w:cs="Arial"/>
                <w:b/>
                <w:sz w:val="22"/>
                <w:szCs w:val="22"/>
                <w:lang w:eastAsia="en-US"/>
              </w:rPr>
            </w:pPr>
            <w:r w:rsidRPr="000F4E42">
              <w:rPr>
                <w:rFonts w:ascii="Arial" w:hAnsi="Arial" w:cs="Arial"/>
                <w:b/>
                <w:sz w:val="22"/>
                <w:szCs w:val="22"/>
                <w:lang w:eastAsia="en-US"/>
              </w:rPr>
              <w:t>2017/18</w:t>
            </w:r>
          </w:p>
          <w:p w:rsidR="000F4E42" w:rsidRPr="000F4E42" w:rsidRDefault="000F4E42" w:rsidP="000B7602">
            <w:pPr>
              <w:widowControl w:val="0"/>
              <w:tabs>
                <w:tab w:val="left" w:pos="1260"/>
                <w:tab w:val="left" w:pos="1980"/>
                <w:tab w:val="left" w:pos="2700"/>
                <w:tab w:val="left" w:pos="3420"/>
              </w:tabs>
              <w:spacing w:line="256" w:lineRule="auto"/>
              <w:jc w:val="center"/>
              <w:rPr>
                <w:rFonts w:ascii="Arial" w:hAnsi="Arial" w:cs="Arial"/>
                <w:b/>
                <w:sz w:val="22"/>
                <w:szCs w:val="22"/>
                <w:lang w:eastAsia="en-US"/>
              </w:rPr>
            </w:pPr>
            <w:r w:rsidRPr="000F4E42">
              <w:rPr>
                <w:rFonts w:ascii="Arial" w:hAnsi="Arial" w:cs="Arial"/>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F4E42" w:rsidRPr="000F4E42" w:rsidRDefault="000F4E42" w:rsidP="000B7602">
            <w:pPr>
              <w:widowControl w:val="0"/>
              <w:spacing w:line="256" w:lineRule="auto"/>
              <w:jc w:val="center"/>
              <w:rPr>
                <w:rFonts w:ascii="Arial" w:hAnsi="Arial" w:cs="Arial"/>
                <w:b/>
                <w:sz w:val="22"/>
                <w:szCs w:val="22"/>
                <w:lang w:eastAsia="en-US"/>
              </w:rPr>
            </w:pPr>
            <w:r w:rsidRPr="000F4E42">
              <w:rPr>
                <w:rFonts w:ascii="Arial" w:hAnsi="Arial" w:cs="Arial"/>
                <w:b/>
                <w:sz w:val="22"/>
                <w:szCs w:val="22"/>
                <w:lang w:eastAsia="en-US"/>
              </w:rPr>
              <w:t>2018/19</w:t>
            </w:r>
          </w:p>
          <w:p w:rsidR="000F4E42" w:rsidRPr="000F4E42" w:rsidRDefault="000F4E42" w:rsidP="000B7602">
            <w:pPr>
              <w:widowControl w:val="0"/>
              <w:tabs>
                <w:tab w:val="left" w:pos="1260"/>
                <w:tab w:val="left" w:pos="1980"/>
                <w:tab w:val="left" w:pos="2700"/>
                <w:tab w:val="left" w:pos="3420"/>
              </w:tabs>
              <w:spacing w:line="256" w:lineRule="auto"/>
              <w:jc w:val="center"/>
              <w:rPr>
                <w:rFonts w:ascii="Arial" w:hAnsi="Arial" w:cs="Arial"/>
                <w:b/>
                <w:sz w:val="22"/>
                <w:szCs w:val="22"/>
                <w:lang w:eastAsia="en-US"/>
              </w:rPr>
            </w:pPr>
            <w:r w:rsidRPr="000F4E42">
              <w:rPr>
                <w:rFonts w:ascii="Arial" w:hAnsi="Arial" w:cs="Arial"/>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F4E42" w:rsidRPr="000F4E42" w:rsidRDefault="000F4E42" w:rsidP="000B7602">
            <w:pPr>
              <w:widowControl w:val="0"/>
              <w:spacing w:line="256" w:lineRule="auto"/>
              <w:jc w:val="center"/>
              <w:rPr>
                <w:rFonts w:ascii="Arial" w:hAnsi="Arial" w:cs="Arial"/>
                <w:b/>
                <w:sz w:val="22"/>
                <w:szCs w:val="22"/>
                <w:lang w:eastAsia="en-US"/>
              </w:rPr>
            </w:pPr>
            <w:r w:rsidRPr="000F4E42">
              <w:rPr>
                <w:rFonts w:ascii="Arial" w:hAnsi="Arial" w:cs="Arial"/>
                <w:b/>
                <w:sz w:val="22"/>
                <w:szCs w:val="22"/>
                <w:lang w:eastAsia="en-US"/>
              </w:rPr>
              <w:t>2019/20</w:t>
            </w:r>
          </w:p>
          <w:p w:rsidR="000F4E42" w:rsidRPr="000F4E42" w:rsidRDefault="000F4E42" w:rsidP="000B7602">
            <w:pPr>
              <w:widowControl w:val="0"/>
              <w:tabs>
                <w:tab w:val="left" w:pos="1260"/>
                <w:tab w:val="left" w:pos="1980"/>
                <w:tab w:val="left" w:pos="2700"/>
                <w:tab w:val="left" w:pos="3420"/>
              </w:tabs>
              <w:spacing w:line="256" w:lineRule="auto"/>
              <w:jc w:val="center"/>
              <w:rPr>
                <w:rFonts w:ascii="Arial" w:hAnsi="Arial" w:cs="Arial"/>
                <w:b/>
                <w:sz w:val="22"/>
                <w:szCs w:val="22"/>
                <w:lang w:eastAsia="en-US"/>
              </w:rPr>
            </w:pPr>
            <w:r w:rsidRPr="000F4E42">
              <w:rPr>
                <w:rFonts w:ascii="Arial" w:hAnsi="Arial" w:cs="Arial"/>
                <w:b/>
                <w:sz w:val="22"/>
                <w:szCs w:val="22"/>
                <w:lang w:eastAsia="en-US"/>
              </w:rPr>
              <w:t>£</w:t>
            </w:r>
          </w:p>
        </w:tc>
      </w:tr>
      <w:tr w:rsidR="000F4E42" w:rsidRPr="000F4E42" w:rsidTr="000B7602">
        <w:trPr>
          <w:trHeight w:val="372"/>
        </w:trPr>
        <w:tc>
          <w:tcPr>
            <w:tcW w:w="4423" w:type="dxa"/>
            <w:tcBorders>
              <w:top w:val="single" w:sz="4" w:space="0" w:color="auto"/>
              <w:left w:val="single" w:sz="4" w:space="0" w:color="auto"/>
              <w:bottom w:val="single" w:sz="4" w:space="0" w:color="auto"/>
              <w:right w:val="single" w:sz="4" w:space="0" w:color="auto"/>
            </w:tcBorders>
            <w:vAlign w:val="center"/>
            <w:hideMark/>
          </w:tcPr>
          <w:p w:rsidR="000F4E42" w:rsidRPr="000F4E42" w:rsidRDefault="000F4E42" w:rsidP="000B7602">
            <w:pPr>
              <w:widowControl w:val="0"/>
              <w:tabs>
                <w:tab w:val="left" w:pos="1260"/>
                <w:tab w:val="left" w:pos="1980"/>
                <w:tab w:val="left" w:pos="2700"/>
                <w:tab w:val="left" w:pos="3420"/>
              </w:tabs>
              <w:spacing w:before="60" w:after="60" w:line="256" w:lineRule="auto"/>
              <w:rPr>
                <w:rFonts w:ascii="Arial" w:hAnsi="Arial" w:cs="Arial"/>
                <w:sz w:val="22"/>
                <w:szCs w:val="22"/>
                <w:lang w:eastAsia="en-US"/>
              </w:rPr>
            </w:pPr>
            <w:r w:rsidRPr="000F4E42">
              <w:rPr>
                <w:rFonts w:ascii="Arial" w:hAnsi="Arial" w:cs="Arial"/>
                <w:b/>
                <w:sz w:val="22"/>
                <w:szCs w:val="22"/>
                <w:lang w:eastAsia="en-US"/>
              </w:rPr>
              <w:t xml:space="preserve">Revenue </w:t>
            </w:r>
            <w:r w:rsidRPr="000F4E42">
              <w:rPr>
                <w:rFonts w:ascii="Arial" w:hAnsi="Arial" w:cs="Arial"/>
                <w:sz w:val="22"/>
                <w:szCs w:val="22"/>
                <w:lang w:eastAsia="en-US"/>
              </w:rPr>
              <w:t>- (Favourable)/ Unfavourable</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4E42" w:rsidRPr="000F4E42" w:rsidRDefault="000F4E42" w:rsidP="000B7602">
            <w:pPr>
              <w:widowControl w:val="0"/>
              <w:tabs>
                <w:tab w:val="left" w:pos="1260"/>
                <w:tab w:val="left" w:pos="1980"/>
                <w:tab w:val="left" w:pos="2700"/>
                <w:tab w:val="left" w:pos="3420"/>
              </w:tabs>
              <w:spacing w:before="60" w:after="60" w:line="256" w:lineRule="auto"/>
              <w:jc w:val="right"/>
              <w:rPr>
                <w:rFonts w:ascii="Arial" w:hAnsi="Arial" w:cs="Arial"/>
                <w:sz w:val="22"/>
                <w:szCs w:val="22"/>
                <w:lang w:eastAsia="en-US"/>
              </w:rPr>
            </w:pPr>
            <w:r w:rsidRPr="000F4E42">
              <w:rPr>
                <w:rFonts w:ascii="Arial" w:hAnsi="Arial" w:cs="Arial"/>
                <w:sz w:val="22"/>
                <w:szCs w:val="22"/>
                <w:lang w:eastAsia="en-US"/>
              </w:rPr>
              <w:t>(145,630)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4E42" w:rsidRPr="000F4E42" w:rsidRDefault="000F4E42" w:rsidP="000B7602">
            <w:pPr>
              <w:widowControl w:val="0"/>
              <w:tabs>
                <w:tab w:val="left" w:pos="1260"/>
                <w:tab w:val="left" w:pos="1980"/>
                <w:tab w:val="left" w:pos="2700"/>
                <w:tab w:val="left" w:pos="3420"/>
              </w:tabs>
              <w:spacing w:before="60" w:after="60" w:line="256" w:lineRule="auto"/>
              <w:ind w:right="7"/>
              <w:jc w:val="right"/>
              <w:rPr>
                <w:rFonts w:ascii="Arial" w:hAnsi="Arial" w:cs="Arial"/>
                <w:sz w:val="22"/>
                <w:szCs w:val="22"/>
                <w:lang w:eastAsia="en-US"/>
              </w:rPr>
            </w:pPr>
            <w:r w:rsidRPr="000F4E42">
              <w:rPr>
                <w:rFonts w:ascii="Arial" w:hAnsi="Arial" w:cs="Arial"/>
                <w:sz w:val="22"/>
                <w:szCs w:val="22"/>
                <w:lang w:eastAsia="en-US"/>
              </w:rPr>
              <w:t>10,380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4E42" w:rsidRPr="000F4E42" w:rsidRDefault="000F4E42" w:rsidP="000B7602">
            <w:pPr>
              <w:widowControl w:val="0"/>
              <w:tabs>
                <w:tab w:val="left" w:pos="1260"/>
                <w:tab w:val="left" w:pos="1980"/>
                <w:tab w:val="left" w:pos="2700"/>
                <w:tab w:val="left" w:pos="3420"/>
              </w:tabs>
              <w:spacing w:before="60" w:after="60" w:line="256" w:lineRule="auto"/>
              <w:ind w:right="7"/>
              <w:jc w:val="right"/>
              <w:rPr>
                <w:rFonts w:ascii="Arial" w:hAnsi="Arial" w:cs="Arial"/>
                <w:sz w:val="22"/>
                <w:szCs w:val="22"/>
                <w:lang w:eastAsia="en-US"/>
              </w:rPr>
            </w:pPr>
            <w:r w:rsidRPr="000F4E42">
              <w:rPr>
                <w:rFonts w:ascii="Arial" w:hAnsi="Arial" w:cs="Arial"/>
                <w:sz w:val="22"/>
                <w:szCs w:val="22"/>
                <w:lang w:eastAsia="en-US"/>
              </w:rPr>
              <w:t>6,830</w:t>
            </w:r>
          </w:p>
        </w:tc>
      </w:tr>
      <w:tr w:rsidR="000F4E42" w:rsidRPr="000F4E42" w:rsidTr="000B7602">
        <w:trPr>
          <w:trHeight w:val="291"/>
        </w:trPr>
        <w:tc>
          <w:tcPr>
            <w:tcW w:w="4423" w:type="dxa"/>
            <w:tcBorders>
              <w:top w:val="single" w:sz="4" w:space="0" w:color="auto"/>
              <w:left w:val="single" w:sz="4" w:space="0" w:color="auto"/>
              <w:bottom w:val="single" w:sz="4" w:space="0" w:color="auto"/>
              <w:right w:val="single" w:sz="4" w:space="0" w:color="auto"/>
            </w:tcBorders>
            <w:vAlign w:val="center"/>
            <w:hideMark/>
          </w:tcPr>
          <w:p w:rsidR="000F4E42" w:rsidRPr="000F4E42" w:rsidRDefault="000F4E42" w:rsidP="000B7602">
            <w:pPr>
              <w:widowControl w:val="0"/>
              <w:tabs>
                <w:tab w:val="left" w:pos="1260"/>
                <w:tab w:val="left" w:pos="1980"/>
                <w:tab w:val="left" w:pos="2700"/>
                <w:tab w:val="left" w:pos="3420"/>
              </w:tabs>
              <w:spacing w:before="60" w:after="60" w:line="256" w:lineRule="auto"/>
              <w:rPr>
                <w:rFonts w:ascii="Arial" w:hAnsi="Arial" w:cs="Arial"/>
                <w:sz w:val="22"/>
                <w:szCs w:val="22"/>
                <w:lang w:eastAsia="en-US"/>
              </w:rPr>
            </w:pPr>
            <w:r w:rsidRPr="000F4E42">
              <w:rPr>
                <w:rFonts w:ascii="Arial" w:hAnsi="Arial" w:cs="Arial"/>
                <w:b/>
                <w:sz w:val="22"/>
                <w:szCs w:val="22"/>
                <w:lang w:eastAsia="en-US"/>
              </w:rPr>
              <w:t>Capital</w:t>
            </w:r>
            <w:r w:rsidRPr="000F4E42">
              <w:rPr>
                <w:rFonts w:ascii="Arial" w:hAnsi="Arial" w:cs="Arial"/>
                <w:sz w:val="22"/>
                <w:szCs w:val="22"/>
                <w:lang w:eastAsia="en-US"/>
              </w:rPr>
              <w:t xml:space="preserve"> - Increase / (Decrease)</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4E42" w:rsidRPr="000F4E42" w:rsidRDefault="000F4E42" w:rsidP="000B7602">
            <w:pPr>
              <w:widowControl w:val="0"/>
              <w:tabs>
                <w:tab w:val="left" w:pos="1260"/>
                <w:tab w:val="left" w:pos="1980"/>
                <w:tab w:val="left" w:pos="2700"/>
                <w:tab w:val="left" w:pos="3420"/>
              </w:tabs>
              <w:spacing w:before="60" w:after="60" w:line="256" w:lineRule="auto"/>
              <w:jc w:val="right"/>
              <w:rPr>
                <w:rFonts w:ascii="Arial" w:hAnsi="Arial" w:cs="Arial"/>
                <w:color w:val="365F91"/>
                <w:sz w:val="22"/>
                <w:szCs w:val="22"/>
                <w:lang w:eastAsia="en-US"/>
              </w:rPr>
            </w:pPr>
            <w:r w:rsidRPr="000F4E42">
              <w:rPr>
                <w:rFonts w:ascii="Arial" w:hAnsi="Arial" w:cs="Arial"/>
                <w:sz w:val="22"/>
                <w:szCs w:val="22"/>
                <w:lang w:eastAsia="en-US"/>
              </w:rPr>
              <w:t>(9,500)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4E42" w:rsidRPr="000F4E42" w:rsidRDefault="000F4E42" w:rsidP="000B7602">
            <w:pPr>
              <w:widowControl w:val="0"/>
              <w:tabs>
                <w:tab w:val="left" w:pos="1260"/>
                <w:tab w:val="left" w:pos="1980"/>
                <w:tab w:val="left" w:pos="2700"/>
                <w:tab w:val="left" w:pos="3420"/>
              </w:tabs>
              <w:spacing w:before="60" w:after="60" w:line="256" w:lineRule="auto"/>
              <w:ind w:right="7"/>
              <w:jc w:val="right"/>
              <w:rPr>
                <w:rFonts w:ascii="Arial" w:hAnsi="Arial" w:cs="Arial"/>
                <w:sz w:val="22"/>
                <w:szCs w:val="22"/>
                <w:lang w:eastAsia="en-US"/>
              </w:rPr>
            </w:pPr>
            <w:r w:rsidRPr="000F4E42">
              <w:rPr>
                <w:rFonts w:ascii="Arial" w:hAnsi="Arial" w:cs="Arial"/>
                <w:sz w:val="22"/>
                <w:szCs w:val="22"/>
                <w:lang w:eastAsia="en-US"/>
              </w:rPr>
              <w:t>67,500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4E42" w:rsidRPr="000F4E42" w:rsidRDefault="000F4E42" w:rsidP="000B7602">
            <w:pPr>
              <w:widowControl w:val="0"/>
              <w:tabs>
                <w:tab w:val="left" w:pos="1260"/>
                <w:tab w:val="left" w:pos="1980"/>
                <w:tab w:val="left" w:pos="2700"/>
                <w:tab w:val="left" w:pos="3420"/>
              </w:tabs>
              <w:spacing w:before="60" w:after="60" w:line="256" w:lineRule="auto"/>
              <w:ind w:right="7"/>
              <w:jc w:val="right"/>
              <w:rPr>
                <w:rFonts w:ascii="Arial" w:hAnsi="Arial" w:cs="Arial"/>
                <w:sz w:val="22"/>
                <w:szCs w:val="22"/>
                <w:lang w:eastAsia="en-US"/>
              </w:rPr>
            </w:pPr>
            <w:r w:rsidRPr="000F4E42">
              <w:rPr>
                <w:rFonts w:ascii="Arial" w:hAnsi="Arial" w:cs="Arial"/>
                <w:sz w:val="22"/>
                <w:szCs w:val="22"/>
                <w:lang w:eastAsia="en-US"/>
              </w:rPr>
              <w:t>0</w:t>
            </w:r>
          </w:p>
        </w:tc>
      </w:tr>
    </w:tbl>
    <w:p w:rsidR="00D4576C" w:rsidRPr="00DC251F" w:rsidRDefault="00D4576C" w:rsidP="00D4576C">
      <w:pPr>
        <w:ind w:left="1267" w:hanging="1267"/>
        <w:rPr>
          <w:rFonts w:ascii="Arial" w:hAnsi="Arial" w:cs="Arial"/>
          <w:sz w:val="22"/>
          <w:szCs w:val="22"/>
        </w:rPr>
      </w:pPr>
    </w:p>
    <w:p w:rsidR="00DC251F" w:rsidRDefault="00DC251F" w:rsidP="000F4E42">
      <w:pPr>
        <w:keepNext/>
        <w:tabs>
          <w:tab w:val="left" w:pos="1276"/>
        </w:tabs>
        <w:ind w:left="1275" w:hanging="1275"/>
        <w:rPr>
          <w:rFonts w:ascii="Arial" w:hAnsi="Arial" w:cs="Arial"/>
          <w:b/>
          <w:sz w:val="22"/>
          <w:szCs w:val="22"/>
        </w:rPr>
      </w:pPr>
    </w:p>
    <w:p w:rsidR="00E14E86" w:rsidRDefault="00E14E86" w:rsidP="00E14E86">
      <w:pPr>
        <w:keepNext/>
        <w:tabs>
          <w:tab w:val="left" w:pos="1276"/>
        </w:tabs>
        <w:ind w:left="1275" w:hanging="1275"/>
        <w:jc w:val="center"/>
        <w:rPr>
          <w:rFonts w:ascii="Arial" w:hAnsi="Arial" w:cs="Arial"/>
          <w:b/>
          <w:sz w:val="22"/>
          <w:szCs w:val="22"/>
        </w:rPr>
      </w:pPr>
    </w:p>
    <w:sectPr w:rsidR="00E14E8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81" w:rsidRDefault="00A03D81" w:rsidP="00A03D81">
      <w:r>
        <w:separator/>
      </w:r>
    </w:p>
  </w:endnote>
  <w:endnote w:type="continuationSeparator" w:id="0">
    <w:p w:rsidR="00A03D81" w:rsidRDefault="00A03D81" w:rsidP="00A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44" w:rsidRDefault="00C37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81" w:rsidRDefault="00A03D8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44" w:rsidRDefault="00C37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81" w:rsidRDefault="00A03D81" w:rsidP="00A03D81">
      <w:r>
        <w:separator/>
      </w:r>
    </w:p>
  </w:footnote>
  <w:footnote w:type="continuationSeparator" w:id="0">
    <w:p w:rsidR="00A03D81" w:rsidRDefault="00A03D81" w:rsidP="00A0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44" w:rsidRDefault="00C37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44" w:rsidRDefault="00C37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44" w:rsidRDefault="00C37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675"/>
    <w:multiLevelType w:val="hybridMultilevel"/>
    <w:tmpl w:val="18C498B2"/>
    <w:lvl w:ilvl="0" w:tplc="95382EC6">
      <w:start w:val="1"/>
      <w:numFmt w:val="decimal"/>
      <w:lvlText w:val="%1)"/>
      <w:lvlJc w:val="left"/>
      <w:pPr>
        <w:ind w:left="1620" w:hanging="360"/>
      </w:pPr>
      <w:rPr>
        <w:rFonts w:cs="Times New Roman" w:hint="default"/>
        <w:color w:val="auto"/>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
    <w:nsid w:val="0EB86003"/>
    <w:multiLevelType w:val="hybridMultilevel"/>
    <w:tmpl w:val="4238A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A3612"/>
    <w:multiLevelType w:val="hybridMultilevel"/>
    <w:tmpl w:val="91B08FA8"/>
    <w:lvl w:ilvl="0" w:tplc="2E10AC68">
      <w:start w:val="1"/>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193D6CAC"/>
    <w:multiLevelType w:val="hybridMultilevel"/>
    <w:tmpl w:val="B18242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C92740"/>
    <w:multiLevelType w:val="hybridMultilevel"/>
    <w:tmpl w:val="00529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15008C"/>
    <w:multiLevelType w:val="hybridMultilevel"/>
    <w:tmpl w:val="91F83DD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6">
    <w:nsid w:val="413E2CAC"/>
    <w:multiLevelType w:val="hybridMultilevel"/>
    <w:tmpl w:val="10C8041E"/>
    <w:lvl w:ilvl="0" w:tplc="B8087D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2EA3BB6"/>
    <w:multiLevelType w:val="hybridMultilevel"/>
    <w:tmpl w:val="ED70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F83D67"/>
    <w:multiLevelType w:val="hybridMultilevel"/>
    <w:tmpl w:val="0A7CA332"/>
    <w:lvl w:ilvl="0" w:tplc="486E08BA">
      <w:start w:val="3"/>
      <w:numFmt w:val="decimal"/>
      <w:lvlText w:val="%1)"/>
      <w:lvlJc w:val="left"/>
      <w:pPr>
        <w:ind w:left="3536" w:hanging="360"/>
      </w:pPr>
      <w:rPr>
        <w:rFonts w:hint="default"/>
      </w:rPr>
    </w:lvl>
    <w:lvl w:ilvl="1" w:tplc="08090019" w:tentative="1">
      <w:start w:val="1"/>
      <w:numFmt w:val="lowerLetter"/>
      <w:lvlText w:val="%2."/>
      <w:lvlJc w:val="left"/>
      <w:pPr>
        <w:ind w:left="4256" w:hanging="360"/>
      </w:pPr>
    </w:lvl>
    <w:lvl w:ilvl="2" w:tplc="0809001B" w:tentative="1">
      <w:start w:val="1"/>
      <w:numFmt w:val="lowerRoman"/>
      <w:lvlText w:val="%3."/>
      <w:lvlJc w:val="right"/>
      <w:pPr>
        <w:ind w:left="4976" w:hanging="180"/>
      </w:pPr>
    </w:lvl>
    <w:lvl w:ilvl="3" w:tplc="0809000F" w:tentative="1">
      <w:start w:val="1"/>
      <w:numFmt w:val="decimal"/>
      <w:lvlText w:val="%4."/>
      <w:lvlJc w:val="left"/>
      <w:pPr>
        <w:ind w:left="5696" w:hanging="360"/>
      </w:pPr>
    </w:lvl>
    <w:lvl w:ilvl="4" w:tplc="08090019" w:tentative="1">
      <w:start w:val="1"/>
      <w:numFmt w:val="lowerLetter"/>
      <w:lvlText w:val="%5."/>
      <w:lvlJc w:val="left"/>
      <w:pPr>
        <w:ind w:left="6416" w:hanging="360"/>
      </w:pPr>
    </w:lvl>
    <w:lvl w:ilvl="5" w:tplc="0809001B" w:tentative="1">
      <w:start w:val="1"/>
      <w:numFmt w:val="lowerRoman"/>
      <w:lvlText w:val="%6."/>
      <w:lvlJc w:val="right"/>
      <w:pPr>
        <w:ind w:left="7136" w:hanging="180"/>
      </w:pPr>
    </w:lvl>
    <w:lvl w:ilvl="6" w:tplc="0809000F" w:tentative="1">
      <w:start w:val="1"/>
      <w:numFmt w:val="decimal"/>
      <w:lvlText w:val="%7."/>
      <w:lvlJc w:val="left"/>
      <w:pPr>
        <w:ind w:left="7856" w:hanging="360"/>
      </w:pPr>
    </w:lvl>
    <w:lvl w:ilvl="7" w:tplc="08090019" w:tentative="1">
      <w:start w:val="1"/>
      <w:numFmt w:val="lowerLetter"/>
      <w:lvlText w:val="%8."/>
      <w:lvlJc w:val="left"/>
      <w:pPr>
        <w:ind w:left="8576" w:hanging="360"/>
      </w:pPr>
    </w:lvl>
    <w:lvl w:ilvl="8" w:tplc="0809001B" w:tentative="1">
      <w:start w:val="1"/>
      <w:numFmt w:val="lowerRoman"/>
      <w:lvlText w:val="%9."/>
      <w:lvlJc w:val="right"/>
      <w:pPr>
        <w:ind w:left="9296" w:hanging="180"/>
      </w:pPr>
    </w:lvl>
  </w:abstractNum>
  <w:abstractNum w:abstractNumId="9">
    <w:nsid w:val="5C155181"/>
    <w:multiLevelType w:val="hybridMultilevel"/>
    <w:tmpl w:val="CCB6ED56"/>
    <w:lvl w:ilvl="0" w:tplc="071E4F4E">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0">
    <w:nsid w:val="664F4131"/>
    <w:multiLevelType w:val="hybridMultilevel"/>
    <w:tmpl w:val="5D38AC7C"/>
    <w:lvl w:ilvl="0" w:tplc="08090001">
      <w:start w:val="1"/>
      <w:numFmt w:val="bullet"/>
      <w:lvlText w:val=""/>
      <w:lvlJc w:val="left"/>
      <w:pPr>
        <w:ind w:left="1993" w:hanging="360"/>
      </w:pPr>
      <w:rPr>
        <w:rFonts w:ascii="Symbol" w:hAnsi="Symbol" w:hint="default"/>
      </w:rPr>
    </w:lvl>
    <w:lvl w:ilvl="1" w:tplc="08090003" w:tentative="1">
      <w:start w:val="1"/>
      <w:numFmt w:val="bullet"/>
      <w:pStyle w:val="Level2Number"/>
      <w:lvlText w:val="o"/>
      <w:lvlJc w:val="left"/>
      <w:pPr>
        <w:ind w:left="2713" w:hanging="360"/>
      </w:pPr>
      <w:rPr>
        <w:rFonts w:ascii="Courier New" w:hAnsi="Courier New" w:cs="Courier New" w:hint="default"/>
      </w:rPr>
    </w:lvl>
    <w:lvl w:ilvl="2" w:tplc="08090005" w:tentative="1">
      <w:start w:val="1"/>
      <w:numFmt w:val="bullet"/>
      <w:lvlText w:val=""/>
      <w:lvlJc w:val="left"/>
      <w:pPr>
        <w:ind w:left="3433" w:hanging="360"/>
      </w:pPr>
      <w:rPr>
        <w:rFonts w:ascii="Wingdings" w:hAnsi="Wingdings" w:hint="default"/>
      </w:rPr>
    </w:lvl>
    <w:lvl w:ilvl="3" w:tplc="08090001" w:tentative="1">
      <w:start w:val="1"/>
      <w:numFmt w:val="bullet"/>
      <w:lvlText w:val=""/>
      <w:lvlJc w:val="left"/>
      <w:pPr>
        <w:ind w:left="4153" w:hanging="360"/>
      </w:pPr>
      <w:rPr>
        <w:rFonts w:ascii="Symbol" w:hAnsi="Symbol" w:hint="default"/>
      </w:rPr>
    </w:lvl>
    <w:lvl w:ilvl="4" w:tplc="08090003" w:tentative="1">
      <w:start w:val="1"/>
      <w:numFmt w:val="bullet"/>
      <w:lvlText w:val="o"/>
      <w:lvlJc w:val="left"/>
      <w:pPr>
        <w:ind w:left="4873" w:hanging="360"/>
      </w:pPr>
      <w:rPr>
        <w:rFonts w:ascii="Courier New" w:hAnsi="Courier New" w:cs="Courier New" w:hint="default"/>
      </w:rPr>
    </w:lvl>
    <w:lvl w:ilvl="5" w:tplc="08090005" w:tentative="1">
      <w:start w:val="1"/>
      <w:numFmt w:val="bullet"/>
      <w:lvlText w:val=""/>
      <w:lvlJc w:val="left"/>
      <w:pPr>
        <w:ind w:left="5593" w:hanging="360"/>
      </w:pPr>
      <w:rPr>
        <w:rFonts w:ascii="Wingdings" w:hAnsi="Wingdings" w:hint="default"/>
      </w:rPr>
    </w:lvl>
    <w:lvl w:ilvl="6" w:tplc="08090001" w:tentative="1">
      <w:start w:val="1"/>
      <w:numFmt w:val="bullet"/>
      <w:lvlText w:val=""/>
      <w:lvlJc w:val="left"/>
      <w:pPr>
        <w:ind w:left="6313" w:hanging="360"/>
      </w:pPr>
      <w:rPr>
        <w:rFonts w:ascii="Symbol" w:hAnsi="Symbol" w:hint="default"/>
      </w:rPr>
    </w:lvl>
    <w:lvl w:ilvl="7" w:tplc="08090003" w:tentative="1">
      <w:start w:val="1"/>
      <w:numFmt w:val="bullet"/>
      <w:lvlText w:val="o"/>
      <w:lvlJc w:val="left"/>
      <w:pPr>
        <w:ind w:left="7033" w:hanging="360"/>
      </w:pPr>
      <w:rPr>
        <w:rFonts w:ascii="Courier New" w:hAnsi="Courier New" w:cs="Courier New" w:hint="default"/>
      </w:rPr>
    </w:lvl>
    <w:lvl w:ilvl="8" w:tplc="08090005" w:tentative="1">
      <w:start w:val="1"/>
      <w:numFmt w:val="bullet"/>
      <w:lvlText w:val=""/>
      <w:lvlJc w:val="left"/>
      <w:pPr>
        <w:ind w:left="7753" w:hanging="360"/>
      </w:pPr>
      <w:rPr>
        <w:rFonts w:ascii="Wingdings" w:hAnsi="Wingdings" w:hint="default"/>
      </w:rPr>
    </w:lvl>
  </w:abstractNum>
  <w:abstractNum w:abstractNumId="11">
    <w:nsid w:val="761264D9"/>
    <w:multiLevelType w:val="hybridMultilevel"/>
    <w:tmpl w:val="556A2084"/>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2">
    <w:nsid w:val="7F9E35D4"/>
    <w:multiLevelType w:val="hybridMultilevel"/>
    <w:tmpl w:val="9432AF28"/>
    <w:lvl w:ilvl="0" w:tplc="0809000F">
      <w:start w:val="1"/>
      <w:numFmt w:val="decimal"/>
      <w:lvlText w:val="%1."/>
      <w:lvlJc w:val="lef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num w:numId="1">
    <w:abstractNumId w:val="10"/>
  </w:num>
  <w:num w:numId="2">
    <w:abstractNumId w:val="5"/>
  </w:num>
  <w:num w:numId="3">
    <w:abstractNumId w:val="11"/>
  </w:num>
  <w:num w:numId="4">
    <w:abstractNumId w:val="0"/>
  </w:num>
  <w:num w:numId="5">
    <w:abstractNumId w:val="8"/>
  </w:num>
  <w:num w:numId="6">
    <w:abstractNumId w:val="2"/>
  </w:num>
  <w:num w:numId="7">
    <w:abstractNumId w:val="4"/>
  </w:num>
  <w:num w:numId="8">
    <w:abstractNumId w:val="12"/>
  </w:num>
  <w:num w:numId="9">
    <w:abstractNumId w:val="9"/>
  </w:num>
  <w:num w:numId="10">
    <w:abstractNumId w:val="1"/>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CF"/>
    <w:rsid w:val="000835DA"/>
    <w:rsid w:val="000E6CEC"/>
    <w:rsid w:val="000F4E42"/>
    <w:rsid w:val="00137562"/>
    <w:rsid w:val="00140BAF"/>
    <w:rsid w:val="00180FB5"/>
    <w:rsid w:val="00193A2E"/>
    <w:rsid w:val="0020177B"/>
    <w:rsid w:val="002065A0"/>
    <w:rsid w:val="00227E0A"/>
    <w:rsid w:val="002A34D4"/>
    <w:rsid w:val="002F6C96"/>
    <w:rsid w:val="00315DDA"/>
    <w:rsid w:val="003237B2"/>
    <w:rsid w:val="003E6F15"/>
    <w:rsid w:val="0041700D"/>
    <w:rsid w:val="004F6B8C"/>
    <w:rsid w:val="005D26A2"/>
    <w:rsid w:val="006B0ACF"/>
    <w:rsid w:val="006E7687"/>
    <w:rsid w:val="00757DB0"/>
    <w:rsid w:val="00781689"/>
    <w:rsid w:val="00781CF8"/>
    <w:rsid w:val="00791829"/>
    <w:rsid w:val="007C5A63"/>
    <w:rsid w:val="007F1D51"/>
    <w:rsid w:val="008800C1"/>
    <w:rsid w:val="008B114F"/>
    <w:rsid w:val="008C450B"/>
    <w:rsid w:val="0093141A"/>
    <w:rsid w:val="00961637"/>
    <w:rsid w:val="009E09D9"/>
    <w:rsid w:val="00A03D81"/>
    <w:rsid w:val="00A208C9"/>
    <w:rsid w:val="00A23849"/>
    <w:rsid w:val="00A67858"/>
    <w:rsid w:val="00A70131"/>
    <w:rsid w:val="00AC5438"/>
    <w:rsid w:val="00AF1BB5"/>
    <w:rsid w:val="00B86DA5"/>
    <w:rsid w:val="00C37E44"/>
    <w:rsid w:val="00CD3EE9"/>
    <w:rsid w:val="00CF6938"/>
    <w:rsid w:val="00D41C75"/>
    <w:rsid w:val="00D4576C"/>
    <w:rsid w:val="00D54E86"/>
    <w:rsid w:val="00DC1AB5"/>
    <w:rsid w:val="00DC251F"/>
    <w:rsid w:val="00E14E86"/>
    <w:rsid w:val="00E60788"/>
    <w:rsid w:val="00E93DB1"/>
    <w:rsid w:val="00EF4903"/>
    <w:rsid w:val="00F27E8D"/>
    <w:rsid w:val="00F31C45"/>
    <w:rsid w:val="00F4178D"/>
    <w:rsid w:val="00F42054"/>
    <w:rsid w:val="00F754BA"/>
    <w:rsid w:val="00FD4053"/>
    <w:rsid w:val="00FE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CF"/>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0ACF"/>
    <w:pPr>
      <w:tabs>
        <w:tab w:val="left" w:pos="1440"/>
        <w:tab w:val="left" w:pos="2160"/>
        <w:tab w:val="left" w:pos="2880"/>
        <w:tab w:val="left" w:pos="3600"/>
        <w:tab w:val="left" w:pos="4320"/>
      </w:tabs>
      <w:spacing w:line="238" w:lineRule="exact"/>
      <w:jc w:val="center"/>
    </w:pPr>
    <w:rPr>
      <w:rFonts w:ascii="Arial" w:hAnsi="Arial"/>
      <w:b/>
      <w:sz w:val="22"/>
    </w:rPr>
  </w:style>
  <w:style w:type="character" w:customStyle="1" w:styleId="TitleChar">
    <w:name w:val="Title Char"/>
    <w:basedOn w:val="DefaultParagraphFont"/>
    <w:link w:val="Title"/>
    <w:rsid w:val="006B0ACF"/>
    <w:rPr>
      <w:rFonts w:ascii="Arial" w:eastAsia="Times New Roman" w:hAnsi="Arial" w:cs="Times New Roman"/>
      <w:b/>
      <w:szCs w:val="20"/>
      <w:lang w:eastAsia="en-GB"/>
    </w:rPr>
  </w:style>
  <w:style w:type="paragraph" w:styleId="BodyTextIndent3">
    <w:name w:val="Body Text Indent 3"/>
    <w:basedOn w:val="Normal"/>
    <w:link w:val="BodyTextIndent3Char"/>
    <w:rsid w:val="006B0ACF"/>
    <w:pPr>
      <w:tabs>
        <w:tab w:val="left" w:pos="1260"/>
        <w:tab w:val="left" w:pos="1620"/>
        <w:tab w:val="left" w:pos="1980"/>
        <w:tab w:val="left" w:pos="2700"/>
        <w:tab w:val="left" w:pos="3420"/>
        <w:tab w:val="left" w:pos="4140"/>
      </w:tabs>
      <w:ind w:left="1620" w:hanging="1620"/>
      <w:jc w:val="both"/>
    </w:pPr>
    <w:rPr>
      <w:rFonts w:ascii="Arial" w:hAnsi="Arial"/>
      <w:sz w:val="22"/>
    </w:rPr>
  </w:style>
  <w:style w:type="character" w:customStyle="1" w:styleId="BodyTextIndent3Char">
    <w:name w:val="Body Text Indent 3 Char"/>
    <w:basedOn w:val="DefaultParagraphFont"/>
    <w:link w:val="BodyTextIndent3"/>
    <w:rsid w:val="006B0ACF"/>
    <w:rPr>
      <w:rFonts w:ascii="Arial" w:eastAsia="Times New Roman" w:hAnsi="Arial" w:cs="Times New Roman"/>
      <w:szCs w:val="20"/>
      <w:lang w:eastAsia="en-GB"/>
    </w:rPr>
  </w:style>
  <w:style w:type="paragraph" w:styleId="Header">
    <w:name w:val="header"/>
    <w:basedOn w:val="Normal"/>
    <w:link w:val="HeaderChar"/>
    <w:unhideWhenUsed/>
    <w:rsid w:val="00A03D81"/>
    <w:pPr>
      <w:tabs>
        <w:tab w:val="center" w:pos="4513"/>
        <w:tab w:val="right" w:pos="9026"/>
      </w:tabs>
    </w:pPr>
  </w:style>
  <w:style w:type="character" w:customStyle="1" w:styleId="HeaderChar">
    <w:name w:val="Header Char"/>
    <w:basedOn w:val="DefaultParagraphFont"/>
    <w:link w:val="Header"/>
    <w:rsid w:val="00A03D8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03D81"/>
    <w:pPr>
      <w:tabs>
        <w:tab w:val="center" w:pos="4513"/>
        <w:tab w:val="right" w:pos="9026"/>
      </w:tabs>
    </w:pPr>
  </w:style>
  <w:style w:type="character" w:customStyle="1" w:styleId="FooterChar">
    <w:name w:val="Footer Char"/>
    <w:basedOn w:val="DefaultParagraphFont"/>
    <w:link w:val="Footer"/>
    <w:uiPriority w:val="99"/>
    <w:rsid w:val="00A03D81"/>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03D81"/>
    <w:rPr>
      <w:rFonts w:ascii="Tahoma" w:hAnsi="Tahoma" w:cs="Tahoma"/>
      <w:sz w:val="16"/>
      <w:szCs w:val="16"/>
    </w:rPr>
  </w:style>
  <w:style w:type="character" w:customStyle="1" w:styleId="BalloonTextChar">
    <w:name w:val="Balloon Text Char"/>
    <w:basedOn w:val="DefaultParagraphFont"/>
    <w:link w:val="BalloonText"/>
    <w:uiPriority w:val="99"/>
    <w:semiHidden/>
    <w:rsid w:val="00A03D81"/>
    <w:rPr>
      <w:rFonts w:ascii="Tahoma" w:eastAsia="Times New Roman" w:hAnsi="Tahoma" w:cs="Tahoma"/>
      <w:sz w:val="16"/>
      <w:szCs w:val="16"/>
      <w:lang w:eastAsia="en-GB"/>
    </w:rPr>
  </w:style>
  <w:style w:type="paragraph" w:styleId="ListParagraph">
    <w:name w:val="List Paragraph"/>
    <w:basedOn w:val="Normal"/>
    <w:uiPriority w:val="34"/>
    <w:qFormat/>
    <w:rsid w:val="000E6CEC"/>
    <w:pPr>
      <w:spacing w:after="200" w:line="276" w:lineRule="auto"/>
      <w:ind w:left="720"/>
      <w:contextualSpacing/>
    </w:pPr>
    <w:rPr>
      <w:rFonts w:ascii="Calibri" w:hAnsi="Calibri"/>
      <w:sz w:val="22"/>
      <w:szCs w:val="22"/>
      <w:lang w:eastAsia="en-US"/>
    </w:rPr>
  </w:style>
  <w:style w:type="paragraph" w:customStyle="1" w:styleId="Level2Number">
    <w:name w:val="Level 2 Number"/>
    <w:basedOn w:val="Normal"/>
    <w:rsid w:val="000F4E42"/>
    <w:pPr>
      <w:numPr>
        <w:ilvl w:val="1"/>
        <w:numId w:val="1"/>
      </w:numPr>
      <w:spacing w:after="240"/>
    </w:pPr>
    <w:rPr>
      <w:rFonts w:ascii="Arial" w:hAnsi="Arial" w:cs="Arial"/>
      <w:lang w:eastAsia="en-US"/>
    </w:rPr>
  </w:style>
  <w:style w:type="paragraph" w:styleId="NormalWeb">
    <w:name w:val="Normal (Web)"/>
    <w:basedOn w:val="Normal"/>
    <w:uiPriority w:val="99"/>
    <w:unhideWhenUsed/>
    <w:rsid w:val="000F4E42"/>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CF"/>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0ACF"/>
    <w:pPr>
      <w:tabs>
        <w:tab w:val="left" w:pos="1440"/>
        <w:tab w:val="left" w:pos="2160"/>
        <w:tab w:val="left" w:pos="2880"/>
        <w:tab w:val="left" w:pos="3600"/>
        <w:tab w:val="left" w:pos="4320"/>
      </w:tabs>
      <w:spacing w:line="238" w:lineRule="exact"/>
      <w:jc w:val="center"/>
    </w:pPr>
    <w:rPr>
      <w:rFonts w:ascii="Arial" w:hAnsi="Arial"/>
      <w:b/>
      <w:sz w:val="22"/>
    </w:rPr>
  </w:style>
  <w:style w:type="character" w:customStyle="1" w:styleId="TitleChar">
    <w:name w:val="Title Char"/>
    <w:basedOn w:val="DefaultParagraphFont"/>
    <w:link w:val="Title"/>
    <w:rsid w:val="006B0ACF"/>
    <w:rPr>
      <w:rFonts w:ascii="Arial" w:eastAsia="Times New Roman" w:hAnsi="Arial" w:cs="Times New Roman"/>
      <w:b/>
      <w:szCs w:val="20"/>
      <w:lang w:eastAsia="en-GB"/>
    </w:rPr>
  </w:style>
  <w:style w:type="paragraph" w:styleId="BodyTextIndent3">
    <w:name w:val="Body Text Indent 3"/>
    <w:basedOn w:val="Normal"/>
    <w:link w:val="BodyTextIndent3Char"/>
    <w:rsid w:val="006B0ACF"/>
    <w:pPr>
      <w:tabs>
        <w:tab w:val="left" w:pos="1260"/>
        <w:tab w:val="left" w:pos="1620"/>
        <w:tab w:val="left" w:pos="1980"/>
        <w:tab w:val="left" w:pos="2700"/>
        <w:tab w:val="left" w:pos="3420"/>
        <w:tab w:val="left" w:pos="4140"/>
      </w:tabs>
      <w:ind w:left="1620" w:hanging="1620"/>
      <w:jc w:val="both"/>
    </w:pPr>
    <w:rPr>
      <w:rFonts w:ascii="Arial" w:hAnsi="Arial"/>
      <w:sz w:val="22"/>
    </w:rPr>
  </w:style>
  <w:style w:type="character" w:customStyle="1" w:styleId="BodyTextIndent3Char">
    <w:name w:val="Body Text Indent 3 Char"/>
    <w:basedOn w:val="DefaultParagraphFont"/>
    <w:link w:val="BodyTextIndent3"/>
    <w:rsid w:val="006B0ACF"/>
    <w:rPr>
      <w:rFonts w:ascii="Arial" w:eastAsia="Times New Roman" w:hAnsi="Arial" w:cs="Times New Roman"/>
      <w:szCs w:val="20"/>
      <w:lang w:eastAsia="en-GB"/>
    </w:rPr>
  </w:style>
  <w:style w:type="paragraph" w:styleId="Header">
    <w:name w:val="header"/>
    <w:basedOn w:val="Normal"/>
    <w:link w:val="HeaderChar"/>
    <w:unhideWhenUsed/>
    <w:rsid w:val="00A03D81"/>
    <w:pPr>
      <w:tabs>
        <w:tab w:val="center" w:pos="4513"/>
        <w:tab w:val="right" w:pos="9026"/>
      </w:tabs>
    </w:pPr>
  </w:style>
  <w:style w:type="character" w:customStyle="1" w:styleId="HeaderChar">
    <w:name w:val="Header Char"/>
    <w:basedOn w:val="DefaultParagraphFont"/>
    <w:link w:val="Header"/>
    <w:rsid w:val="00A03D8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03D81"/>
    <w:pPr>
      <w:tabs>
        <w:tab w:val="center" w:pos="4513"/>
        <w:tab w:val="right" w:pos="9026"/>
      </w:tabs>
    </w:pPr>
  </w:style>
  <w:style w:type="character" w:customStyle="1" w:styleId="FooterChar">
    <w:name w:val="Footer Char"/>
    <w:basedOn w:val="DefaultParagraphFont"/>
    <w:link w:val="Footer"/>
    <w:uiPriority w:val="99"/>
    <w:rsid w:val="00A03D81"/>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03D81"/>
    <w:rPr>
      <w:rFonts w:ascii="Tahoma" w:hAnsi="Tahoma" w:cs="Tahoma"/>
      <w:sz w:val="16"/>
      <w:szCs w:val="16"/>
    </w:rPr>
  </w:style>
  <w:style w:type="character" w:customStyle="1" w:styleId="BalloonTextChar">
    <w:name w:val="Balloon Text Char"/>
    <w:basedOn w:val="DefaultParagraphFont"/>
    <w:link w:val="BalloonText"/>
    <w:uiPriority w:val="99"/>
    <w:semiHidden/>
    <w:rsid w:val="00A03D81"/>
    <w:rPr>
      <w:rFonts w:ascii="Tahoma" w:eastAsia="Times New Roman" w:hAnsi="Tahoma" w:cs="Tahoma"/>
      <w:sz w:val="16"/>
      <w:szCs w:val="16"/>
      <w:lang w:eastAsia="en-GB"/>
    </w:rPr>
  </w:style>
  <w:style w:type="paragraph" w:styleId="ListParagraph">
    <w:name w:val="List Paragraph"/>
    <w:basedOn w:val="Normal"/>
    <w:uiPriority w:val="34"/>
    <w:qFormat/>
    <w:rsid w:val="000E6CEC"/>
    <w:pPr>
      <w:spacing w:after="200" w:line="276" w:lineRule="auto"/>
      <w:ind w:left="720"/>
      <w:contextualSpacing/>
    </w:pPr>
    <w:rPr>
      <w:rFonts w:ascii="Calibri" w:hAnsi="Calibri"/>
      <w:sz w:val="22"/>
      <w:szCs w:val="22"/>
      <w:lang w:eastAsia="en-US"/>
    </w:rPr>
  </w:style>
  <w:style w:type="paragraph" w:customStyle="1" w:styleId="Level2Number">
    <w:name w:val="Level 2 Number"/>
    <w:basedOn w:val="Normal"/>
    <w:rsid w:val="000F4E42"/>
    <w:pPr>
      <w:numPr>
        <w:ilvl w:val="1"/>
        <w:numId w:val="1"/>
      </w:numPr>
      <w:spacing w:after="240"/>
    </w:pPr>
    <w:rPr>
      <w:rFonts w:ascii="Arial" w:hAnsi="Arial" w:cs="Arial"/>
      <w:lang w:eastAsia="en-US"/>
    </w:rPr>
  </w:style>
  <w:style w:type="paragraph" w:styleId="NormalWeb">
    <w:name w:val="Normal (Web)"/>
    <w:basedOn w:val="Normal"/>
    <w:uiPriority w:val="99"/>
    <w:unhideWhenUsed/>
    <w:rsid w:val="000F4E42"/>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Wailling</dc:creator>
  <cp:lastModifiedBy>Sarah Haythorpe</cp:lastModifiedBy>
  <cp:revision>21</cp:revision>
  <cp:lastPrinted>2017-09-19T10:57:00Z</cp:lastPrinted>
  <dcterms:created xsi:type="dcterms:W3CDTF">2017-09-11T13:10:00Z</dcterms:created>
  <dcterms:modified xsi:type="dcterms:W3CDTF">2017-10-09T15:43:00Z</dcterms:modified>
</cp:coreProperties>
</file>