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F6" w:rsidRPr="0026439D" w:rsidRDefault="0026439D" w:rsidP="0026439D">
      <w:pPr>
        <w:jc w:val="right"/>
        <w:rPr>
          <w:rFonts w:ascii="Arial" w:hAnsi="Arial" w:cs="Arial"/>
          <w:b/>
          <w:sz w:val="28"/>
          <w:szCs w:val="28"/>
        </w:rPr>
      </w:pPr>
      <w:r w:rsidRPr="0026439D">
        <w:rPr>
          <w:rFonts w:ascii="Arial" w:hAnsi="Arial" w:cs="Arial"/>
          <w:b/>
          <w:sz w:val="28"/>
          <w:szCs w:val="28"/>
        </w:rPr>
        <w:t>Annex 1</w:t>
      </w:r>
    </w:p>
    <w:p w:rsidR="007E0F02" w:rsidRDefault="007E0F02" w:rsidP="00C073CB">
      <w:pPr>
        <w:rPr>
          <w:rFonts w:ascii="Arial" w:hAnsi="Arial" w:cs="Arial"/>
          <w:b/>
          <w:sz w:val="96"/>
        </w:rPr>
      </w:pPr>
    </w:p>
    <w:p w:rsidR="000F4FE2" w:rsidRPr="00C073CB" w:rsidRDefault="000F4FE2" w:rsidP="00C073CB">
      <w:pPr>
        <w:rPr>
          <w:rFonts w:ascii="Arial" w:hAnsi="Arial" w:cs="Arial"/>
          <w:b/>
          <w:sz w:val="96"/>
        </w:rPr>
      </w:pPr>
      <w:r w:rsidRPr="00C073CB">
        <w:rPr>
          <w:rFonts w:ascii="Arial" w:hAnsi="Arial" w:cs="Arial"/>
          <w:b/>
          <w:sz w:val="96"/>
        </w:rPr>
        <w:t>Budget</w:t>
      </w:r>
      <w:r w:rsidR="001348BD" w:rsidRPr="00C073CB">
        <w:rPr>
          <w:rFonts w:ascii="Arial" w:hAnsi="Arial" w:cs="Arial"/>
          <w:b/>
          <w:sz w:val="96"/>
        </w:rPr>
        <w:t xml:space="preserve"> Man</w:t>
      </w:r>
      <w:bookmarkStart w:id="0" w:name="_GoBack"/>
      <w:bookmarkEnd w:id="0"/>
      <w:r w:rsidR="001348BD" w:rsidRPr="00C073CB">
        <w:rPr>
          <w:rFonts w:ascii="Arial" w:hAnsi="Arial" w:cs="Arial"/>
          <w:b/>
          <w:sz w:val="96"/>
        </w:rPr>
        <w:t>agement</w:t>
      </w:r>
    </w:p>
    <w:p w:rsidR="000F4FE2" w:rsidRPr="00C073CB" w:rsidRDefault="000F4FE2" w:rsidP="00C073CB">
      <w:pPr>
        <w:ind w:left="2880" w:firstLine="720"/>
        <w:rPr>
          <w:rFonts w:ascii="Arial" w:hAnsi="Arial" w:cs="Arial"/>
          <w:b/>
          <w:sz w:val="96"/>
        </w:rPr>
      </w:pPr>
      <w:r w:rsidRPr="00C073CB">
        <w:rPr>
          <w:rFonts w:ascii="Arial" w:hAnsi="Arial" w:cs="Arial"/>
          <w:b/>
          <w:sz w:val="96"/>
        </w:rPr>
        <w:t>2017/18</w:t>
      </w:r>
    </w:p>
    <w:p w:rsidR="00C073CB" w:rsidRDefault="00C073CB" w:rsidP="00C073CB">
      <w:pPr>
        <w:ind w:left="2160" w:firstLine="720"/>
        <w:rPr>
          <w:rFonts w:ascii="Arial" w:hAnsi="Arial" w:cs="Arial"/>
          <w:b/>
          <w:i/>
          <w:sz w:val="48"/>
          <w:u w:val="single"/>
        </w:rPr>
      </w:pPr>
    </w:p>
    <w:p w:rsidR="000F4FE2" w:rsidRPr="00C073CB" w:rsidRDefault="00B30CE5" w:rsidP="00164057">
      <w:pPr>
        <w:ind w:left="1701"/>
        <w:rPr>
          <w:rFonts w:ascii="Arial" w:hAnsi="Arial" w:cs="Arial"/>
          <w:b/>
          <w:i/>
          <w:sz w:val="28"/>
          <w:u w:val="single"/>
        </w:rPr>
      </w:pPr>
      <w:r w:rsidRPr="00C073CB">
        <w:rPr>
          <w:rFonts w:ascii="Arial" w:hAnsi="Arial" w:cs="Arial"/>
          <w:b/>
          <w:i/>
          <w:sz w:val="48"/>
          <w:u w:val="single"/>
        </w:rPr>
        <w:t xml:space="preserve">Period </w:t>
      </w:r>
      <w:r w:rsidR="0079622B">
        <w:rPr>
          <w:rFonts w:ascii="Arial" w:hAnsi="Arial" w:cs="Arial"/>
          <w:b/>
          <w:i/>
          <w:sz w:val="48"/>
          <w:u w:val="single"/>
        </w:rPr>
        <w:t>10</w:t>
      </w:r>
      <w:r w:rsidRPr="00C073CB">
        <w:rPr>
          <w:rFonts w:ascii="Arial" w:hAnsi="Arial" w:cs="Arial"/>
          <w:b/>
          <w:i/>
          <w:sz w:val="48"/>
          <w:u w:val="single"/>
        </w:rPr>
        <w:t xml:space="preserve"> (End of</w:t>
      </w:r>
      <w:r w:rsidR="0079622B">
        <w:rPr>
          <w:rFonts w:ascii="Arial" w:hAnsi="Arial" w:cs="Arial"/>
          <w:b/>
          <w:i/>
          <w:sz w:val="48"/>
          <w:u w:val="single"/>
        </w:rPr>
        <w:t xml:space="preserve"> January</w:t>
      </w:r>
      <w:r w:rsidRPr="00C073CB">
        <w:rPr>
          <w:rFonts w:ascii="Arial" w:hAnsi="Arial" w:cs="Arial"/>
          <w:b/>
          <w:i/>
          <w:sz w:val="48"/>
          <w:u w:val="single"/>
        </w:rPr>
        <w:t>)</w:t>
      </w:r>
    </w:p>
    <w:p w:rsidR="000F4FE2" w:rsidRPr="00225D16" w:rsidRDefault="000F4FE2"/>
    <w:p w:rsidR="00B81E71" w:rsidRDefault="00B81E71" w:rsidP="00C073CB">
      <w:pPr>
        <w:jc w:val="center"/>
        <w:rPr>
          <w:noProof/>
          <w:lang w:eastAsia="en-GB"/>
        </w:rPr>
      </w:pPr>
    </w:p>
    <w:p w:rsidR="000F4FE2" w:rsidRPr="00225D16" w:rsidRDefault="00F63C6B" w:rsidP="00C073CB">
      <w:pPr>
        <w:jc w:val="center"/>
      </w:pPr>
      <w:r>
        <w:rPr>
          <w:noProof/>
          <w:lang w:eastAsia="en-GB"/>
        </w:rPr>
        <w:drawing>
          <wp:inline distT="0" distB="0" distL="0" distR="0">
            <wp:extent cx="4789357" cy="2450892"/>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to-ease-accounting-wo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4271" cy="2453406"/>
                    </a:xfrm>
                    <a:prstGeom prst="rect">
                      <a:avLst/>
                    </a:prstGeom>
                  </pic:spPr>
                </pic:pic>
              </a:graphicData>
            </a:graphic>
          </wp:inline>
        </w:drawing>
      </w:r>
    </w:p>
    <w:p w:rsidR="000F4FE2" w:rsidRDefault="000F4FE2"/>
    <w:p w:rsidR="00C073CB" w:rsidRDefault="00C073CB"/>
    <w:p w:rsidR="00C073CB" w:rsidRDefault="00C073CB"/>
    <w:p w:rsidR="00616004" w:rsidRDefault="00616004" w:rsidP="000A7E35">
      <w:pPr>
        <w:pStyle w:val="ListParagraph"/>
      </w:pPr>
    </w:p>
    <w:p w:rsidR="00616004" w:rsidRPr="00225D16" w:rsidRDefault="00F63C6B" w:rsidP="00F63C6B">
      <w:pPr>
        <w:jc w:val="right"/>
      </w:pPr>
      <w:r w:rsidRPr="00225D16">
        <w:rPr>
          <w:noProof/>
          <w:lang w:eastAsia="en-GB"/>
        </w:rPr>
        <w:drawing>
          <wp:inline distT="0" distB="0" distL="0" distR="0" wp14:anchorId="3A6FEFCC" wp14:editId="734F38CD">
            <wp:extent cx="22574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_Rivers_District_Counc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3982" cy="580755"/>
                    </a:xfrm>
                    <a:prstGeom prst="rect">
                      <a:avLst/>
                    </a:prstGeom>
                    <a:noFill/>
                    <a:ln>
                      <a:noFill/>
                    </a:ln>
                  </pic:spPr>
                </pic:pic>
              </a:graphicData>
            </a:graphic>
          </wp:inline>
        </w:drawing>
      </w:r>
    </w:p>
    <w:p w:rsidR="00B81E71" w:rsidRDefault="00B81E71" w:rsidP="00B81E71">
      <w:pPr>
        <w:jc w:val="right"/>
      </w:pPr>
    </w:p>
    <w:p w:rsidR="00967C6E" w:rsidRDefault="00967C6E" w:rsidP="00484385">
      <w:pPr>
        <w:spacing w:line="240" w:lineRule="auto"/>
      </w:pPr>
    </w:p>
    <w:p w:rsidR="0095765C" w:rsidRPr="00B81E71" w:rsidRDefault="00406DF6" w:rsidP="00484385">
      <w:pPr>
        <w:spacing w:line="240" w:lineRule="auto"/>
      </w:pPr>
      <w:r w:rsidRPr="00616004">
        <w:rPr>
          <w:rFonts w:ascii="Arial" w:hAnsi="Arial" w:cs="Arial"/>
          <w:b/>
          <w:u w:val="single"/>
        </w:rPr>
        <w:lastRenderedPageBreak/>
        <w:t>Budget</w:t>
      </w:r>
      <w:r>
        <w:rPr>
          <w:rFonts w:ascii="Arial" w:hAnsi="Arial" w:cs="Arial"/>
          <w:b/>
          <w:u w:val="single"/>
        </w:rPr>
        <w:t xml:space="preserve"> Monitoring</w:t>
      </w:r>
      <w:r w:rsidRPr="00616004">
        <w:rPr>
          <w:rFonts w:ascii="Arial" w:hAnsi="Arial" w:cs="Arial"/>
          <w:b/>
          <w:u w:val="single"/>
        </w:rPr>
        <w:t xml:space="preserve"> </w:t>
      </w:r>
      <w:r>
        <w:rPr>
          <w:rFonts w:ascii="Arial" w:hAnsi="Arial" w:cs="Arial"/>
          <w:b/>
          <w:u w:val="single"/>
        </w:rPr>
        <w:t>Summary</w:t>
      </w:r>
    </w:p>
    <w:p w:rsidR="0095765C" w:rsidRPr="00616004" w:rsidRDefault="008C30EE" w:rsidP="00484385">
      <w:pPr>
        <w:spacing w:line="240" w:lineRule="auto"/>
        <w:rPr>
          <w:rFonts w:ascii="Arial" w:hAnsi="Arial" w:cs="Arial"/>
        </w:rPr>
      </w:pPr>
      <w:r w:rsidRPr="00616004">
        <w:rPr>
          <w:rFonts w:ascii="Arial" w:hAnsi="Arial" w:cs="Arial"/>
          <w:b/>
          <w:u w:val="single"/>
        </w:rPr>
        <w:t>Revenue</w:t>
      </w:r>
    </w:p>
    <w:p w:rsidR="002A3AF6" w:rsidRPr="00626FEF" w:rsidRDefault="002A3AF6" w:rsidP="00484385">
      <w:pPr>
        <w:tabs>
          <w:tab w:val="left" w:pos="3765"/>
        </w:tabs>
        <w:spacing w:after="160" w:line="240" w:lineRule="auto"/>
        <w:jc w:val="both"/>
        <w:rPr>
          <w:rFonts w:ascii="Arial" w:hAnsi="Arial" w:cs="Arial"/>
        </w:rPr>
      </w:pPr>
      <w:r w:rsidRPr="00626FEF">
        <w:rPr>
          <w:rFonts w:ascii="Arial" w:hAnsi="Arial" w:cs="Arial"/>
        </w:rPr>
        <w:t>Th</w:t>
      </w:r>
      <w:r w:rsidR="008757E6">
        <w:rPr>
          <w:rFonts w:ascii="Arial" w:hAnsi="Arial" w:cs="Arial"/>
        </w:rPr>
        <w:t xml:space="preserve">e </w:t>
      </w:r>
      <w:r w:rsidRPr="00626FEF">
        <w:rPr>
          <w:rFonts w:ascii="Arial" w:hAnsi="Arial" w:cs="Arial"/>
        </w:rPr>
        <w:t xml:space="preserve">budget for </w:t>
      </w:r>
      <w:r w:rsidR="00C81AEC" w:rsidRPr="00626FEF">
        <w:rPr>
          <w:rFonts w:ascii="Arial" w:hAnsi="Arial" w:cs="Arial"/>
        </w:rPr>
        <w:t>2017/18</w:t>
      </w:r>
      <w:r w:rsidR="003C4C7C" w:rsidRPr="00626FEF">
        <w:rPr>
          <w:rFonts w:ascii="Arial" w:hAnsi="Arial" w:cs="Arial"/>
        </w:rPr>
        <w:t xml:space="preserve"> </w:t>
      </w:r>
      <w:r w:rsidR="00D812B0">
        <w:rPr>
          <w:rFonts w:ascii="Arial" w:hAnsi="Arial" w:cs="Arial"/>
        </w:rPr>
        <w:t>of</w:t>
      </w:r>
      <w:r w:rsidR="00626FEF" w:rsidRPr="00626FEF">
        <w:rPr>
          <w:rFonts w:ascii="Arial" w:hAnsi="Arial" w:cs="Arial"/>
        </w:rPr>
        <w:t xml:space="preserve"> </w:t>
      </w:r>
      <w:r w:rsidR="00077DD3" w:rsidRPr="008757E6">
        <w:rPr>
          <w:rFonts w:ascii="Arial" w:hAnsi="Arial" w:cs="Arial"/>
          <w:b/>
        </w:rPr>
        <w:t>£10.</w:t>
      </w:r>
      <w:r w:rsidR="00071554" w:rsidRPr="008757E6">
        <w:rPr>
          <w:rFonts w:ascii="Arial" w:hAnsi="Arial" w:cs="Arial"/>
          <w:b/>
        </w:rPr>
        <w:t xml:space="preserve">950 </w:t>
      </w:r>
      <w:r w:rsidR="00626FEF" w:rsidRPr="008757E6">
        <w:rPr>
          <w:rFonts w:ascii="Arial" w:hAnsi="Arial" w:cs="Arial"/>
          <w:b/>
        </w:rPr>
        <w:t>million</w:t>
      </w:r>
      <w:r w:rsidR="008757E6">
        <w:rPr>
          <w:rFonts w:ascii="Arial" w:hAnsi="Arial" w:cs="Arial"/>
        </w:rPr>
        <w:t xml:space="preserve"> was</w:t>
      </w:r>
      <w:r w:rsidR="00626FEF" w:rsidRPr="00626FEF">
        <w:rPr>
          <w:rFonts w:ascii="Arial" w:hAnsi="Arial" w:cs="Arial"/>
        </w:rPr>
        <w:t xml:space="preserve"> approved by Council on 20 February 2018</w:t>
      </w:r>
      <w:r w:rsidR="008757E6">
        <w:rPr>
          <w:rFonts w:ascii="Arial" w:hAnsi="Arial" w:cs="Arial"/>
        </w:rPr>
        <w:t>.</w:t>
      </w:r>
    </w:p>
    <w:p w:rsidR="002F38ED" w:rsidRPr="001E35D8" w:rsidRDefault="002F38ED" w:rsidP="00484385">
      <w:pPr>
        <w:tabs>
          <w:tab w:val="left" w:pos="3765"/>
        </w:tabs>
        <w:spacing w:after="160" w:line="240" w:lineRule="auto"/>
        <w:jc w:val="both"/>
      </w:pPr>
      <w:r w:rsidRPr="0052678C">
        <w:rPr>
          <w:rFonts w:ascii="Arial" w:hAnsi="Arial" w:cs="Arial"/>
        </w:rPr>
        <w:t xml:space="preserve">The forecast outturn at period </w:t>
      </w:r>
      <w:r w:rsidR="00071554" w:rsidRPr="0052678C">
        <w:rPr>
          <w:rFonts w:ascii="Arial" w:hAnsi="Arial" w:cs="Arial"/>
        </w:rPr>
        <w:t>10</w:t>
      </w:r>
      <w:r w:rsidR="003C4C7C" w:rsidRPr="0052678C">
        <w:rPr>
          <w:rFonts w:ascii="Arial" w:hAnsi="Arial" w:cs="Arial"/>
        </w:rPr>
        <w:t xml:space="preserve"> </w:t>
      </w:r>
      <w:r w:rsidRPr="0052678C">
        <w:rPr>
          <w:rFonts w:ascii="Arial" w:hAnsi="Arial" w:cs="Arial"/>
        </w:rPr>
        <w:t>(</w:t>
      </w:r>
      <w:r w:rsidR="00071554" w:rsidRPr="0052678C">
        <w:rPr>
          <w:rFonts w:ascii="Arial" w:hAnsi="Arial" w:cs="Arial"/>
        </w:rPr>
        <w:t>January</w:t>
      </w:r>
      <w:r w:rsidRPr="0052678C">
        <w:rPr>
          <w:rFonts w:ascii="Arial" w:hAnsi="Arial" w:cs="Arial"/>
        </w:rPr>
        <w:t xml:space="preserve">) </w:t>
      </w:r>
      <w:r w:rsidR="002A3AF6" w:rsidRPr="0052678C">
        <w:rPr>
          <w:rFonts w:ascii="Arial" w:hAnsi="Arial" w:cs="Arial"/>
        </w:rPr>
        <w:t xml:space="preserve">provided by the services </w:t>
      </w:r>
      <w:r w:rsidRPr="0052678C">
        <w:rPr>
          <w:rFonts w:ascii="Arial" w:hAnsi="Arial" w:cs="Arial"/>
        </w:rPr>
        <w:t xml:space="preserve">is </w:t>
      </w:r>
      <w:r w:rsidR="002A3AF6" w:rsidRPr="0052678C">
        <w:rPr>
          <w:rFonts w:ascii="Arial" w:hAnsi="Arial" w:cs="Arial"/>
        </w:rPr>
        <w:t xml:space="preserve">now </w:t>
      </w:r>
      <w:r w:rsidRPr="0052678C">
        <w:rPr>
          <w:rFonts w:ascii="Arial" w:hAnsi="Arial" w:cs="Arial"/>
        </w:rPr>
        <w:t xml:space="preserve">estimated to be </w:t>
      </w:r>
      <w:r w:rsidRPr="008757E6">
        <w:rPr>
          <w:rFonts w:ascii="Arial" w:hAnsi="Arial" w:cs="Arial"/>
          <w:b/>
        </w:rPr>
        <w:t>£</w:t>
      </w:r>
      <w:r w:rsidR="00AA1843" w:rsidRPr="008757E6">
        <w:rPr>
          <w:rFonts w:ascii="Arial" w:hAnsi="Arial" w:cs="Arial"/>
          <w:b/>
        </w:rPr>
        <w:t>10.</w:t>
      </w:r>
      <w:r w:rsidR="00D14EF7" w:rsidRPr="008757E6">
        <w:rPr>
          <w:rFonts w:ascii="Arial" w:hAnsi="Arial" w:cs="Arial"/>
          <w:b/>
        </w:rPr>
        <w:t>768</w:t>
      </w:r>
      <w:r w:rsidR="00684F3F" w:rsidRPr="008757E6">
        <w:rPr>
          <w:rFonts w:ascii="Arial" w:hAnsi="Arial" w:cs="Arial"/>
          <w:b/>
        </w:rPr>
        <w:t xml:space="preserve"> </w:t>
      </w:r>
      <w:r w:rsidR="00143469" w:rsidRPr="008757E6">
        <w:rPr>
          <w:rFonts w:ascii="Arial" w:hAnsi="Arial" w:cs="Arial"/>
          <w:b/>
        </w:rPr>
        <w:t>million</w:t>
      </w:r>
      <w:r w:rsidR="002A3AF6" w:rsidRPr="0052678C">
        <w:rPr>
          <w:rFonts w:ascii="Arial" w:hAnsi="Arial" w:cs="Arial"/>
        </w:rPr>
        <w:t xml:space="preserve">.  This </w:t>
      </w:r>
      <w:r w:rsidR="00077DD3" w:rsidRPr="0052678C">
        <w:rPr>
          <w:rFonts w:ascii="Arial" w:hAnsi="Arial" w:cs="Arial"/>
        </w:rPr>
        <w:t xml:space="preserve">gives </w:t>
      </w:r>
      <w:r w:rsidR="00F21835" w:rsidRPr="0052678C">
        <w:rPr>
          <w:rFonts w:ascii="Arial" w:hAnsi="Arial" w:cs="Arial"/>
        </w:rPr>
        <w:t>a</w:t>
      </w:r>
      <w:r w:rsidR="00071554" w:rsidRPr="0052678C">
        <w:rPr>
          <w:rFonts w:ascii="Arial" w:hAnsi="Arial" w:cs="Arial"/>
        </w:rPr>
        <w:t xml:space="preserve"> </w:t>
      </w:r>
      <w:r w:rsidR="003B4666" w:rsidRPr="0052678C">
        <w:rPr>
          <w:rFonts w:ascii="Arial" w:hAnsi="Arial" w:cs="Arial"/>
        </w:rPr>
        <w:t>favourable</w:t>
      </w:r>
      <w:r w:rsidR="00077DD3" w:rsidRPr="0052678C">
        <w:rPr>
          <w:rFonts w:ascii="Arial" w:hAnsi="Arial" w:cs="Arial"/>
        </w:rPr>
        <w:t xml:space="preserve"> variance when compared to the latest budget of </w:t>
      </w:r>
      <w:r w:rsidR="00F21835" w:rsidRPr="008757E6">
        <w:rPr>
          <w:rFonts w:ascii="Arial" w:hAnsi="Arial" w:cs="Arial"/>
          <w:b/>
        </w:rPr>
        <w:t>(</w:t>
      </w:r>
      <w:r w:rsidR="000875CB" w:rsidRPr="008757E6">
        <w:rPr>
          <w:rFonts w:ascii="Arial" w:hAnsi="Arial" w:cs="Arial"/>
          <w:b/>
        </w:rPr>
        <w:t>£0.182</w:t>
      </w:r>
      <w:r w:rsidR="00071554" w:rsidRPr="008757E6">
        <w:rPr>
          <w:rFonts w:ascii="Arial" w:hAnsi="Arial" w:cs="Arial"/>
          <w:b/>
        </w:rPr>
        <w:t>)</w:t>
      </w:r>
      <w:r w:rsidR="00077DD3" w:rsidRPr="008757E6">
        <w:rPr>
          <w:rFonts w:ascii="Arial" w:hAnsi="Arial" w:cs="Arial"/>
          <w:b/>
        </w:rPr>
        <w:t xml:space="preserve"> million</w:t>
      </w:r>
      <w:r w:rsidR="000D7414" w:rsidRPr="001E35D8">
        <w:t>.</w:t>
      </w:r>
    </w:p>
    <w:p w:rsidR="002F38ED" w:rsidRDefault="002A3AF6" w:rsidP="00484385">
      <w:pPr>
        <w:tabs>
          <w:tab w:val="left" w:pos="3765"/>
        </w:tabs>
        <w:spacing w:after="160" w:line="240" w:lineRule="auto"/>
        <w:rPr>
          <w:rFonts w:ascii="Arial" w:hAnsi="Arial" w:cs="Arial"/>
        </w:rPr>
      </w:pPr>
      <w:r>
        <w:rPr>
          <w:rFonts w:ascii="Arial" w:hAnsi="Arial" w:cs="Arial"/>
        </w:rPr>
        <w:t>Services have identified that t</w:t>
      </w:r>
      <w:r w:rsidR="00077DD3" w:rsidRPr="003B4666">
        <w:rPr>
          <w:rFonts w:ascii="Arial" w:hAnsi="Arial" w:cs="Arial"/>
        </w:rPr>
        <w:t xml:space="preserve">he </w:t>
      </w:r>
      <w:r w:rsidR="003B4666" w:rsidRPr="003B4666">
        <w:rPr>
          <w:rFonts w:ascii="Arial" w:hAnsi="Arial" w:cs="Arial"/>
        </w:rPr>
        <w:t xml:space="preserve">main contributors to this </w:t>
      </w:r>
      <w:r w:rsidR="00077DD3" w:rsidRPr="003B4666">
        <w:rPr>
          <w:rFonts w:ascii="Arial" w:hAnsi="Arial" w:cs="Arial"/>
        </w:rPr>
        <w:t>v</w:t>
      </w:r>
      <w:r w:rsidR="002F38ED" w:rsidRPr="003B4666">
        <w:rPr>
          <w:rFonts w:ascii="Arial" w:hAnsi="Arial" w:cs="Arial"/>
        </w:rPr>
        <w:t>ariance</w:t>
      </w:r>
      <w:r w:rsidR="00077DD3" w:rsidRPr="003B4666">
        <w:rPr>
          <w:rFonts w:ascii="Arial" w:hAnsi="Arial" w:cs="Arial"/>
        </w:rPr>
        <w:t xml:space="preserve"> </w:t>
      </w:r>
      <w:r w:rsidR="00F7282B">
        <w:rPr>
          <w:rFonts w:ascii="Arial" w:hAnsi="Arial" w:cs="Arial"/>
        </w:rPr>
        <w:t>as</w:t>
      </w:r>
      <w:r w:rsidR="002F38ED" w:rsidRPr="003B4666">
        <w:rPr>
          <w:rFonts w:ascii="Arial" w:hAnsi="Arial" w:cs="Arial"/>
        </w:rPr>
        <w:t>:</w:t>
      </w:r>
    </w:p>
    <w:tbl>
      <w:tblPr>
        <w:tblStyle w:val="TableGrid"/>
        <w:tblW w:w="9889" w:type="dxa"/>
        <w:tblLook w:val="04A0" w:firstRow="1" w:lastRow="0" w:firstColumn="1" w:lastColumn="0" w:noHBand="0" w:noVBand="1"/>
      </w:tblPr>
      <w:tblGrid>
        <w:gridCol w:w="522"/>
        <w:gridCol w:w="7813"/>
        <w:gridCol w:w="1554"/>
      </w:tblGrid>
      <w:tr w:rsidR="00071554" w:rsidTr="004B4CA0">
        <w:tc>
          <w:tcPr>
            <w:tcW w:w="8335" w:type="dxa"/>
            <w:gridSpan w:val="2"/>
            <w:tcBorders>
              <w:top w:val="nil"/>
              <w:left w:val="nil"/>
            </w:tcBorders>
          </w:tcPr>
          <w:p w:rsidR="00071554" w:rsidRPr="003871D4" w:rsidRDefault="00071554" w:rsidP="00484385">
            <w:pPr>
              <w:tabs>
                <w:tab w:val="left" w:pos="3765"/>
              </w:tabs>
              <w:spacing w:after="160"/>
              <w:rPr>
                <w:rFonts w:ascii="Arial" w:hAnsi="Arial" w:cs="Arial"/>
                <w:sz w:val="22"/>
                <w:szCs w:val="22"/>
              </w:rPr>
            </w:pPr>
          </w:p>
        </w:tc>
        <w:tc>
          <w:tcPr>
            <w:tcW w:w="1554" w:type="dxa"/>
          </w:tcPr>
          <w:p w:rsidR="00071554" w:rsidRPr="003871D4" w:rsidRDefault="00071554" w:rsidP="00484385">
            <w:pPr>
              <w:tabs>
                <w:tab w:val="left" w:pos="3765"/>
              </w:tabs>
              <w:spacing w:after="160"/>
              <w:jc w:val="center"/>
              <w:rPr>
                <w:rFonts w:ascii="Arial" w:hAnsi="Arial" w:cs="Arial"/>
                <w:sz w:val="22"/>
                <w:szCs w:val="22"/>
              </w:rPr>
            </w:pPr>
            <w:r w:rsidRPr="003871D4">
              <w:rPr>
                <w:rFonts w:ascii="Arial" w:hAnsi="Arial" w:cs="Arial"/>
                <w:sz w:val="22"/>
                <w:szCs w:val="22"/>
              </w:rPr>
              <w:t>£</w:t>
            </w:r>
          </w:p>
        </w:tc>
      </w:tr>
      <w:tr w:rsidR="00045F05" w:rsidRPr="00045F05" w:rsidTr="003C756C">
        <w:trPr>
          <w:trHeight w:val="541"/>
        </w:trPr>
        <w:tc>
          <w:tcPr>
            <w:tcW w:w="522" w:type="dxa"/>
            <w:vAlign w:val="center"/>
          </w:tcPr>
          <w:p w:rsidR="003871D4" w:rsidRPr="0068083E" w:rsidRDefault="003871D4" w:rsidP="00484385">
            <w:pPr>
              <w:rPr>
                <w:rFonts w:ascii="Arial" w:hAnsi="Arial" w:cs="Arial"/>
                <w:sz w:val="22"/>
                <w:szCs w:val="22"/>
              </w:rPr>
            </w:pPr>
            <w:r w:rsidRPr="0068083E">
              <w:rPr>
                <w:rFonts w:ascii="Arial" w:hAnsi="Arial" w:cs="Arial"/>
                <w:sz w:val="22"/>
                <w:szCs w:val="22"/>
              </w:rPr>
              <w:t>1</w:t>
            </w:r>
          </w:p>
        </w:tc>
        <w:tc>
          <w:tcPr>
            <w:tcW w:w="7813" w:type="dxa"/>
            <w:vAlign w:val="center"/>
          </w:tcPr>
          <w:p w:rsidR="003871D4" w:rsidRPr="0068083E" w:rsidRDefault="00547B5D" w:rsidP="007E0F02">
            <w:pPr>
              <w:rPr>
                <w:rFonts w:ascii="Arial" w:hAnsi="Arial" w:cs="Arial"/>
                <w:sz w:val="22"/>
                <w:szCs w:val="22"/>
              </w:rPr>
            </w:pPr>
            <w:r w:rsidRPr="0068083E">
              <w:rPr>
                <w:rFonts w:ascii="Arial" w:hAnsi="Arial" w:cs="Arial"/>
                <w:sz w:val="22"/>
                <w:szCs w:val="22"/>
              </w:rPr>
              <w:t xml:space="preserve">Lower demand </w:t>
            </w:r>
            <w:r w:rsidR="00B94EA7">
              <w:rPr>
                <w:rFonts w:ascii="Arial" w:hAnsi="Arial" w:cs="Arial"/>
                <w:sz w:val="22"/>
                <w:szCs w:val="22"/>
              </w:rPr>
              <w:t xml:space="preserve">and costs </w:t>
            </w:r>
            <w:r w:rsidRPr="0068083E">
              <w:rPr>
                <w:rFonts w:ascii="Arial" w:hAnsi="Arial" w:cs="Arial"/>
                <w:sz w:val="22"/>
                <w:szCs w:val="22"/>
              </w:rPr>
              <w:t>in Temporary Accommodation provision than anticipated</w:t>
            </w:r>
            <w:r w:rsidR="007E0F02">
              <w:rPr>
                <w:rFonts w:ascii="Arial" w:hAnsi="Arial" w:cs="Arial"/>
                <w:sz w:val="22"/>
                <w:szCs w:val="22"/>
              </w:rPr>
              <w:t xml:space="preserve"> has provided a net favourable variance</w:t>
            </w:r>
            <w:r w:rsidRPr="0068083E">
              <w:rPr>
                <w:rFonts w:ascii="Arial" w:hAnsi="Arial" w:cs="Arial"/>
                <w:sz w:val="22"/>
                <w:szCs w:val="22"/>
              </w:rPr>
              <w:t xml:space="preserve">. </w:t>
            </w:r>
            <w:r w:rsidR="00071554" w:rsidRPr="0068083E">
              <w:rPr>
                <w:rFonts w:ascii="Arial" w:hAnsi="Arial" w:cs="Arial"/>
                <w:sz w:val="22"/>
                <w:szCs w:val="22"/>
              </w:rPr>
              <w:tab/>
            </w:r>
          </w:p>
        </w:tc>
        <w:tc>
          <w:tcPr>
            <w:tcW w:w="1554" w:type="dxa"/>
            <w:vAlign w:val="center"/>
          </w:tcPr>
          <w:p w:rsidR="003871D4" w:rsidRPr="0068083E" w:rsidRDefault="00AA1843" w:rsidP="00484385">
            <w:pPr>
              <w:tabs>
                <w:tab w:val="left" w:pos="3765"/>
              </w:tabs>
              <w:spacing w:after="160"/>
              <w:jc w:val="center"/>
              <w:rPr>
                <w:rFonts w:ascii="Arial" w:hAnsi="Arial" w:cs="Arial"/>
                <w:color w:val="0000FF"/>
                <w:sz w:val="22"/>
                <w:szCs w:val="22"/>
              </w:rPr>
            </w:pPr>
            <w:r w:rsidRPr="0068083E">
              <w:rPr>
                <w:rFonts w:ascii="Arial" w:hAnsi="Arial" w:cs="Arial"/>
                <w:color w:val="0000FF"/>
                <w:sz w:val="22"/>
                <w:szCs w:val="22"/>
              </w:rPr>
              <w:t>(65,300</w:t>
            </w:r>
            <w:r w:rsidR="005F0CCD" w:rsidRPr="0068083E">
              <w:rPr>
                <w:rFonts w:ascii="Arial" w:hAnsi="Arial" w:cs="Arial"/>
                <w:color w:val="0000FF"/>
                <w:sz w:val="22"/>
                <w:szCs w:val="22"/>
              </w:rPr>
              <w:t>)</w:t>
            </w:r>
          </w:p>
        </w:tc>
      </w:tr>
      <w:tr w:rsidR="00902771" w:rsidTr="007E0F02">
        <w:trPr>
          <w:trHeight w:val="760"/>
        </w:trPr>
        <w:tc>
          <w:tcPr>
            <w:tcW w:w="522" w:type="dxa"/>
            <w:vAlign w:val="center"/>
          </w:tcPr>
          <w:p w:rsidR="00902771" w:rsidRPr="0068083E" w:rsidRDefault="006A2CE2" w:rsidP="00484385">
            <w:pPr>
              <w:rPr>
                <w:rFonts w:ascii="Arial" w:hAnsi="Arial" w:cs="Arial"/>
                <w:sz w:val="22"/>
                <w:szCs w:val="22"/>
              </w:rPr>
            </w:pPr>
            <w:r w:rsidRPr="0068083E">
              <w:rPr>
                <w:rFonts w:ascii="Arial" w:hAnsi="Arial" w:cs="Arial"/>
                <w:sz w:val="22"/>
                <w:szCs w:val="22"/>
              </w:rPr>
              <w:t>2</w:t>
            </w:r>
            <w:r w:rsidR="00536A12" w:rsidRPr="0068083E">
              <w:rPr>
                <w:rFonts w:ascii="Arial" w:hAnsi="Arial" w:cs="Arial"/>
                <w:sz w:val="22"/>
                <w:szCs w:val="22"/>
              </w:rPr>
              <w:t>.</w:t>
            </w:r>
          </w:p>
        </w:tc>
        <w:tc>
          <w:tcPr>
            <w:tcW w:w="7813" w:type="dxa"/>
            <w:vAlign w:val="center"/>
          </w:tcPr>
          <w:p w:rsidR="00902771" w:rsidRPr="0068083E" w:rsidRDefault="0039449C" w:rsidP="0039449C">
            <w:pPr>
              <w:rPr>
                <w:rFonts w:ascii="Arial" w:hAnsi="Arial" w:cs="Arial"/>
                <w:sz w:val="22"/>
                <w:szCs w:val="22"/>
              </w:rPr>
            </w:pPr>
            <w:r>
              <w:rPr>
                <w:rFonts w:ascii="Arial" w:hAnsi="Arial" w:cs="Arial"/>
                <w:sz w:val="22"/>
                <w:szCs w:val="22"/>
              </w:rPr>
              <w:t xml:space="preserve">Additional expenditure on </w:t>
            </w:r>
            <w:r w:rsidR="00902771" w:rsidRPr="0068083E">
              <w:rPr>
                <w:rFonts w:ascii="Arial" w:hAnsi="Arial" w:cs="Arial"/>
                <w:sz w:val="22"/>
                <w:szCs w:val="22"/>
              </w:rPr>
              <w:t>Rent Deposit Guarantee Scheme due to the final payment</w:t>
            </w:r>
            <w:r w:rsidR="00B94EA7">
              <w:rPr>
                <w:rFonts w:ascii="Arial" w:hAnsi="Arial" w:cs="Arial"/>
                <w:sz w:val="22"/>
                <w:szCs w:val="22"/>
              </w:rPr>
              <w:t xml:space="preserve"> from the ‘Easy Let Scheme’</w:t>
            </w:r>
            <w:r w:rsidR="0087396A" w:rsidRPr="0068083E">
              <w:rPr>
                <w:rFonts w:ascii="Arial" w:hAnsi="Arial" w:cs="Arial"/>
                <w:sz w:val="22"/>
                <w:szCs w:val="22"/>
              </w:rPr>
              <w:t xml:space="preserve">. </w:t>
            </w:r>
            <w:r w:rsidR="00902771" w:rsidRPr="0068083E">
              <w:rPr>
                <w:rFonts w:ascii="Arial" w:hAnsi="Arial" w:cs="Arial"/>
                <w:sz w:val="22"/>
                <w:szCs w:val="22"/>
              </w:rPr>
              <w:t xml:space="preserve"> </w:t>
            </w:r>
            <w:r w:rsidR="0087396A" w:rsidRPr="0068083E">
              <w:rPr>
                <w:rFonts w:ascii="Arial" w:hAnsi="Arial" w:cs="Arial"/>
                <w:sz w:val="22"/>
                <w:szCs w:val="22"/>
              </w:rPr>
              <w:t>Furthermore</w:t>
            </w:r>
            <w:r w:rsidR="00902771" w:rsidRPr="0068083E">
              <w:rPr>
                <w:rFonts w:ascii="Arial" w:hAnsi="Arial" w:cs="Arial"/>
                <w:sz w:val="22"/>
                <w:szCs w:val="22"/>
              </w:rPr>
              <w:t xml:space="preserve">, some debts deemed irrecoverable have been written off. </w:t>
            </w:r>
          </w:p>
        </w:tc>
        <w:tc>
          <w:tcPr>
            <w:tcW w:w="1554" w:type="dxa"/>
            <w:vAlign w:val="center"/>
          </w:tcPr>
          <w:p w:rsidR="00902771" w:rsidRPr="0068083E" w:rsidRDefault="00902771" w:rsidP="00484385">
            <w:pPr>
              <w:tabs>
                <w:tab w:val="left" w:pos="3765"/>
              </w:tabs>
              <w:spacing w:after="160"/>
              <w:jc w:val="center"/>
              <w:rPr>
                <w:rFonts w:ascii="Arial" w:hAnsi="Arial" w:cs="Arial"/>
                <w:sz w:val="22"/>
                <w:szCs w:val="22"/>
              </w:rPr>
            </w:pPr>
            <w:r w:rsidRPr="0068083E">
              <w:rPr>
                <w:rFonts w:ascii="Arial" w:hAnsi="Arial" w:cs="Arial"/>
                <w:sz w:val="22"/>
                <w:szCs w:val="22"/>
              </w:rPr>
              <w:t>12,000</w:t>
            </w:r>
          </w:p>
          <w:p w:rsidR="00902771" w:rsidRPr="0068083E" w:rsidRDefault="00902771" w:rsidP="00484385">
            <w:pPr>
              <w:tabs>
                <w:tab w:val="left" w:pos="3765"/>
              </w:tabs>
              <w:spacing w:after="160"/>
              <w:jc w:val="center"/>
              <w:rPr>
                <w:rFonts w:ascii="Arial" w:hAnsi="Arial" w:cs="Arial"/>
                <w:sz w:val="22"/>
                <w:szCs w:val="22"/>
              </w:rPr>
            </w:pPr>
          </w:p>
        </w:tc>
      </w:tr>
      <w:tr w:rsidR="00902771" w:rsidTr="00484385">
        <w:trPr>
          <w:trHeight w:val="1377"/>
        </w:trPr>
        <w:tc>
          <w:tcPr>
            <w:tcW w:w="522" w:type="dxa"/>
            <w:vAlign w:val="center"/>
          </w:tcPr>
          <w:p w:rsidR="00902771" w:rsidRPr="0068083E" w:rsidRDefault="006A2CE2" w:rsidP="00484385">
            <w:pPr>
              <w:rPr>
                <w:rFonts w:ascii="Arial" w:hAnsi="Arial" w:cs="Arial"/>
                <w:sz w:val="22"/>
                <w:szCs w:val="22"/>
              </w:rPr>
            </w:pPr>
            <w:r w:rsidRPr="0068083E">
              <w:rPr>
                <w:rFonts w:ascii="Arial" w:hAnsi="Arial" w:cs="Arial"/>
                <w:sz w:val="22"/>
                <w:szCs w:val="22"/>
              </w:rPr>
              <w:t>3</w:t>
            </w:r>
            <w:r w:rsidR="00536A12" w:rsidRPr="0068083E">
              <w:rPr>
                <w:rFonts w:ascii="Arial" w:hAnsi="Arial" w:cs="Arial"/>
                <w:sz w:val="22"/>
                <w:szCs w:val="22"/>
              </w:rPr>
              <w:t>.</w:t>
            </w:r>
          </w:p>
        </w:tc>
        <w:tc>
          <w:tcPr>
            <w:tcW w:w="7813" w:type="dxa"/>
            <w:vAlign w:val="center"/>
          </w:tcPr>
          <w:p w:rsidR="00902771" w:rsidRPr="0068083E" w:rsidRDefault="00902771" w:rsidP="00484385">
            <w:pPr>
              <w:rPr>
                <w:rFonts w:ascii="Arial" w:hAnsi="Arial" w:cs="Arial"/>
                <w:sz w:val="22"/>
                <w:szCs w:val="22"/>
              </w:rPr>
            </w:pPr>
            <w:r w:rsidRPr="0068083E">
              <w:rPr>
                <w:rFonts w:ascii="Arial" w:hAnsi="Arial" w:cs="Arial"/>
                <w:sz w:val="22"/>
                <w:szCs w:val="22"/>
              </w:rPr>
              <w:t xml:space="preserve">Kerbside Recycling:- </w:t>
            </w:r>
          </w:p>
          <w:p w:rsidR="00902771" w:rsidRPr="0068083E" w:rsidRDefault="00902771" w:rsidP="00484385">
            <w:pPr>
              <w:rPr>
                <w:rFonts w:ascii="Arial" w:hAnsi="Arial" w:cs="Arial"/>
                <w:sz w:val="22"/>
                <w:szCs w:val="22"/>
              </w:rPr>
            </w:pPr>
          </w:p>
          <w:p w:rsidR="00902771" w:rsidRPr="0068083E" w:rsidRDefault="00902771" w:rsidP="00484385">
            <w:pPr>
              <w:pStyle w:val="ListParagraph"/>
              <w:numPr>
                <w:ilvl w:val="0"/>
                <w:numId w:val="36"/>
              </w:numPr>
              <w:jc w:val="left"/>
              <w:rPr>
                <w:rFonts w:cs="Arial"/>
                <w:sz w:val="22"/>
                <w:szCs w:val="22"/>
              </w:rPr>
            </w:pPr>
            <w:r w:rsidRPr="0068083E">
              <w:rPr>
                <w:rFonts w:cs="Arial"/>
                <w:sz w:val="22"/>
                <w:szCs w:val="22"/>
              </w:rPr>
              <w:t>Additional income expected f</w:t>
            </w:r>
            <w:r w:rsidR="00B94EA7">
              <w:rPr>
                <w:rFonts w:cs="Arial"/>
                <w:sz w:val="22"/>
                <w:szCs w:val="22"/>
              </w:rPr>
              <w:t>r</w:t>
            </w:r>
            <w:r w:rsidRPr="0068083E">
              <w:rPr>
                <w:rFonts w:cs="Arial"/>
                <w:sz w:val="22"/>
                <w:szCs w:val="22"/>
              </w:rPr>
              <w:t>om recycling credits due con</w:t>
            </w:r>
            <w:r w:rsidR="00B94EA7">
              <w:rPr>
                <w:rFonts w:cs="Arial"/>
                <w:sz w:val="22"/>
                <w:szCs w:val="22"/>
              </w:rPr>
              <w:t>tinuing</w:t>
            </w:r>
            <w:r w:rsidRPr="0068083E">
              <w:rPr>
                <w:rFonts w:cs="Arial"/>
                <w:sz w:val="22"/>
                <w:szCs w:val="22"/>
              </w:rPr>
              <w:t xml:space="preserve"> high performance.</w:t>
            </w:r>
            <w:r w:rsidR="00626FEF" w:rsidRPr="0068083E">
              <w:rPr>
                <w:rFonts w:cs="Arial"/>
                <w:sz w:val="22"/>
                <w:szCs w:val="22"/>
              </w:rPr>
              <w:t xml:space="preserve">  </w:t>
            </w:r>
          </w:p>
          <w:p w:rsidR="00902771" w:rsidRPr="0068083E" w:rsidRDefault="00902771" w:rsidP="007E0F02">
            <w:pPr>
              <w:pStyle w:val="ListParagraph"/>
              <w:numPr>
                <w:ilvl w:val="0"/>
                <w:numId w:val="36"/>
              </w:numPr>
              <w:jc w:val="left"/>
              <w:rPr>
                <w:rFonts w:cs="Arial"/>
                <w:sz w:val="22"/>
                <w:szCs w:val="22"/>
              </w:rPr>
            </w:pPr>
            <w:r w:rsidRPr="0068083E">
              <w:rPr>
                <w:rFonts w:cs="Arial"/>
                <w:sz w:val="22"/>
                <w:szCs w:val="22"/>
              </w:rPr>
              <w:t>Increased cost o</w:t>
            </w:r>
            <w:r w:rsidR="00B94EA7">
              <w:rPr>
                <w:rFonts w:cs="Arial"/>
                <w:sz w:val="22"/>
                <w:szCs w:val="22"/>
              </w:rPr>
              <w:t>f disposal of cans and plastics; this is a national trend.</w:t>
            </w:r>
          </w:p>
        </w:tc>
        <w:tc>
          <w:tcPr>
            <w:tcW w:w="1554" w:type="dxa"/>
            <w:vAlign w:val="center"/>
          </w:tcPr>
          <w:p w:rsidR="007E0F02" w:rsidRDefault="007E0F02" w:rsidP="00484385">
            <w:pPr>
              <w:tabs>
                <w:tab w:val="left" w:pos="3765"/>
              </w:tabs>
              <w:spacing w:after="160"/>
              <w:jc w:val="center"/>
              <w:rPr>
                <w:rFonts w:ascii="Arial" w:hAnsi="Arial" w:cs="Arial"/>
                <w:color w:val="0000FF"/>
                <w:sz w:val="22"/>
                <w:szCs w:val="22"/>
              </w:rPr>
            </w:pPr>
          </w:p>
          <w:p w:rsidR="007E0F02" w:rsidRDefault="007E0F02" w:rsidP="00484385">
            <w:pPr>
              <w:tabs>
                <w:tab w:val="left" w:pos="3765"/>
              </w:tabs>
              <w:spacing w:after="160"/>
              <w:jc w:val="center"/>
              <w:rPr>
                <w:rFonts w:ascii="Arial" w:hAnsi="Arial" w:cs="Arial"/>
                <w:color w:val="0000FF"/>
                <w:sz w:val="22"/>
                <w:szCs w:val="22"/>
              </w:rPr>
            </w:pPr>
          </w:p>
          <w:p w:rsidR="00902771" w:rsidRPr="0068083E" w:rsidRDefault="00902771" w:rsidP="00484385">
            <w:pPr>
              <w:tabs>
                <w:tab w:val="left" w:pos="3765"/>
              </w:tabs>
              <w:spacing w:after="160"/>
              <w:jc w:val="center"/>
              <w:rPr>
                <w:rFonts w:ascii="Arial" w:hAnsi="Arial" w:cs="Arial"/>
                <w:color w:val="0000FF"/>
                <w:sz w:val="22"/>
                <w:szCs w:val="22"/>
              </w:rPr>
            </w:pPr>
            <w:r w:rsidRPr="0068083E">
              <w:rPr>
                <w:rFonts w:ascii="Arial" w:hAnsi="Arial" w:cs="Arial"/>
                <w:color w:val="0000FF"/>
                <w:sz w:val="22"/>
                <w:szCs w:val="22"/>
              </w:rPr>
              <w:t>(73,000)</w:t>
            </w:r>
          </w:p>
          <w:p w:rsidR="00902771" w:rsidRPr="0068083E" w:rsidRDefault="00902771" w:rsidP="00484385">
            <w:pPr>
              <w:tabs>
                <w:tab w:val="left" w:pos="3765"/>
              </w:tabs>
              <w:spacing w:after="160"/>
              <w:jc w:val="center"/>
              <w:rPr>
                <w:rFonts w:ascii="Arial" w:hAnsi="Arial" w:cs="Arial"/>
                <w:sz w:val="22"/>
                <w:szCs w:val="22"/>
              </w:rPr>
            </w:pPr>
            <w:r w:rsidRPr="0068083E">
              <w:rPr>
                <w:rFonts w:ascii="Arial" w:hAnsi="Arial" w:cs="Arial"/>
                <w:sz w:val="22"/>
                <w:szCs w:val="22"/>
              </w:rPr>
              <w:t>12,000</w:t>
            </w:r>
          </w:p>
        </w:tc>
      </w:tr>
      <w:tr w:rsidR="00902771" w:rsidTr="003C756C">
        <w:trPr>
          <w:trHeight w:val="377"/>
        </w:trPr>
        <w:tc>
          <w:tcPr>
            <w:tcW w:w="522" w:type="dxa"/>
            <w:vAlign w:val="center"/>
          </w:tcPr>
          <w:p w:rsidR="00902771" w:rsidRPr="0068083E" w:rsidRDefault="006A2CE2" w:rsidP="00484385">
            <w:pPr>
              <w:rPr>
                <w:rFonts w:ascii="Arial" w:hAnsi="Arial" w:cs="Arial"/>
                <w:sz w:val="22"/>
                <w:szCs w:val="22"/>
              </w:rPr>
            </w:pPr>
            <w:r w:rsidRPr="0068083E">
              <w:rPr>
                <w:rFonts w:ascii="Arial" w:hAnsi="Arial" w:cs="Arial"/>
                <w:sz w:val="22"/>
                <w:szCs w:val="22"/>
              </w:rPr>
              <w:t>4</w:t>
            </w:r>
            <w:r w:rsidR="00536A12" w:rsidRPr="0068083E">
              <w:rPr>
                <w:rFonts w:ascii="Arial" w:hAnsi="Arial" w:cs="Arial"/>
                <w:sz w:val="22"/>
                <w:szCs w:val="22"/>
              </w:rPr>
              <w:t>.</w:t>
            </w:r>
          </w:p>
        </w:tc>
        <w:tc>
          <w:tcPr>
            <w:tcW w:w="7813" w:type="dxa"/>
            <w:vAlign w:val="center"/>
          </w:tcPr>
          <w:p w:rsidR="00902771" w:rsidRPr="0068083E" w:rsidRDefault="00B94EA7" w:rsidP="00B94EA7">
            <w:pPr>
              <w:rPr>
                <w:rFonts w:ascii="Arial" w:hAnsi="Arial" w:cs="Arial"/>
                <w:sz w:val="22"/>
                <w:szCs w:val="22"/>
              </w:rPr>
            </w:pPr>
            <w:r>
              <w:rPr>
                <w:rFonts w:ascii="Arial" w:hAnsi="Arial" w:cs="Arial"/>
                <w:sz w:val="22"/>
                <w:szCs w:val="22"/>
              </w:rPr>
              <w:t>In-year s</w:t>
            </w:r>
            <w:r w:rsidR="0063048C" w:rsidRPr="0068083E">
              <w:rPr>
                <w:rFonts w:ascii="Arial" w:hAnsi="Arial" w:cs="Arial"/>
                <w:sz w:val="22"/>
                <w:szCs w:val="22"/>
              </w:rPr>
              <w:t xml:space="preserve">taffing </w:t>
            </w:r>
            <w:r w:rsidR="00626FEF" w:rsidRPr="0068083E">
              <w:rPr>
                <w:rFonts w:ascii="Arial" w:hAnsi="Arial" w:cs="Arial"/>
                <w:sz w:val="22"/>
                <w:szCs w:val="22"/>
              </w:rPr>
              <w:t xml:space="preserve">variances due to vacancies and restructures </w:t>
            </w:r>
          </w:p>
        </w:tc>
        <w:tc>
          <w:tcPr>
            <w:tcW w:w="1554" w:type="dxa"/>
            <w:vAlign w:val="center"/>
          </w:tcPr>
          <w:p w:rsidR="00902771" w:rsidRPr="0068083E" w:rsidRDefault="00626FEF" w:rsidP="00484385">
            <w:pPr>
              <w:tabs>
                <w:tab w:val="left" w:pos="3765"/>
              </w:tabs>
              <w:spacing w:after="160"/>
              <w:jc w:val="center"/>
              <w:rPr>
                <w:rFonts w:ascii="Arial" w:hAnsi="Arial" w:cs="Arial"/>
                <w:sz w:val="22"/>
                <w:szCs w:val="22"/>
              </w:rPr>
            </w:pPr>
            <w:r w:rsidRPr="0068083E">
              <w:rPr>
                <w:rFonts w:ascii="Arial" w:hAnsi="Arial" w:cs="Arial"/>
                <w:color w:val="0000FF"/>
                <w:sz w:val="22"/>
                <w:szCs w:val="22"/>
              </w:rPr>
              <w:t>(38,900)</w:t>
            </w:r>
          </w:p>
        </w:tc>
      </w:tr>
      <w:tr w:rsidR="00902771" w:rsidTr="003C756C">
        <w:trPr>
          <w:trHeight w:val="541"/>
        </w:trPr>
        <w:tc>
          <w:tcPr>
            <w:tcW w:w="522" w:type="dxa"/>
            <w:vAlign w:val="center"/>
          </w:tcPr>
          <w:p w:rsidR="00902771" w:rsidRPr="0068083E" w:rsidRDefault="006A2CE2" w:rsidP="00484385">
            <w:pPr>
              <w:rPr>
                <w:rFonts w:ascii="Arial" w:hAnsi="Arial" w:cs="Arial"/>
                <w:sz w:val="22"/>
                <w:szCs w:val="22"/>
              </w:rPr>
            </w:pPr>
            <w:r w:rsidRPr="0068083E">
              <w:rPr>
                <w:rFonts w:ascii="Arial" w:hAnsi="Arial" w:cs="Arial"/>
                <w:sz w:val="22"/>
                <w:szCs w:val="22"/>
              </w:rPr>
              <w:t>5</w:t>
            </w:r>
            <w:r w:rsidR="00536A12" w:rsidRPr="0068083E">
              <w:rPr>
                <w:rFonts w:ascii="Arial" w:hAnsi="Arial" w:cs="Arial"/>
                <w:sz w:val="22"/>
                <w:szCs w:val="22"/>
              </w:rPr>
              <w:t>.</w:t>
            </w:r>
          </w:p>
        </w:tc>
        <w:tc>
          <w:tcPr>
            <w:tcW w:w="7813" w:type="dxa"/>
            <w:vAlign w:val="center"/>
          </w:tcPr>
          <w:p w:rsidR="00902771" w:rsidRPr="00B94EA7" w:rsidRDefault="00902771" w:rsidP="00B94EA7">
            <w:pPr>
              <w:rPr>
                <w:rFonts w:ascii="Arial" w:hAnsi="Arial" w:cs="Arial"/>
                <w:sz w:val="22"/>
                <w:szCs w:val="22"/>
              </w:rPr>
            </w:pPr>
            <w:r w:rsidRPr="0068083E">
              <w:rPr>
                <w:rFonts w:ascii="Arial" w:hAnsi="Arial" w:cs="Arial"/>
                <w:sz w:val="22"/>
                <w:szCs w:val="22"/>
              </w:rPr>
              <w:t>Cemeter</w:t>
            </w:r>
            <w:r w:rsidR="0039449C">
              <w:rPr>
                <w:rFonts w:ascii="Arial" w:hAnsi="Arial" w:cs="Arial"/>
                <w:sz w:val="22"/>
                <w:szCs w:val="22"/>
              </w:rPr>
              <w:t>y i</w:t>
            </w:r>
            <w:r w:rsidRPr="0068083E">
              <w:rPr>
                <w:rFonts w:ascii="Arial" w:hAnsi="Arial" w:cs="Arial"/>
                <w:sz w:val="22"/>
                <w:szCs w:val="22"/>
              </w:rPr>
              <w:t xml:space="preserve">ncome </w:t>
            </w:r>
            <w:r w:rsidR="0087396A" w:rsidRPr="0068083E">
              <w:rPr>
                <w:rFonts w:ascii="Arial" w:hAnsi="Arial" w:cs="Arial"/>
                <w:sz w:val="22"/>
                <w:szCs w:val="22"/>
              </w:rPr>
              <w:t>is lower than anticipated due to reduction in demand.</w:t>
            </w:r>
          </w:p>
        </w:tc>
        <w:tc>
          <w:tcPr>
            <w:tcW w:w="1554" w:type="dxa"/>
            <w:vAlign w:val="center"/>
          </w:tcPr>
          <w:p w:rsidR="00902771" w:rsidRPr="0068083E" w:rsidRDefault="00B94EA7" w:rsidP="00B94EA7">
            <w:pPr>
              <w:tabs>
                <w:tab w:val="left" w:pos="3765"/>
              </w:tabs>
              <w:jc w:val="center"/>
              <w:rPr>
                <w:rFonts w:ascii="Arial" w:hAnsi="Arial" w:cs="Arial"/>
                <w:sz w:val="22"/>
                <w:szCs w:val="22"/>
              </w:rPr>
            </w:pPr>
            <w:r>
              <w:rPr>
                <w:rFonts w:ascii="Arial" w:hAnsi="Arial" w:cs="Arial"/>
                <w:sz w:val="22"/>
                <w:szCs w:val="22"/>
              </w:rPr>
              <w:t>10,000</w:t>
            </w:r>
          </w:p>
        </w:tc>
      </w:tr>
      <w:tr w:rsidR="00902771" w:rsidTr="003C756C">
        <w:trPr>
          <w:trHeight w:val="495"/>
        </w:trPr>
        <w:tc>
          <w:tcPr>
            <w:tcW w:w="522" w:type="dxa"/>
            <w:vAlign w:val="center"/>
          </w:tcPr>
          <w:p w:rsidR="00902771" w:rsidRPr="0068083E" w:rsidRDefault="006A2CE2" w:rsidP="00484385">
            <w:pPr>
              <w:rPr>
                <w:rFonts w:ascii="Arial" w:hAnsi="Arial" w:cs="Arial"/>
                <w:sz w:val="22"/>
                <w:szCs w:val="22"/>
              </w:rPr>
            </w:pPr>
            <w:r w:rsidRPr="0068083E">
              <w:rPr>
                <w:rFonts w:ascii="Arial" w:hAnsi="Arial" w:cs="Arial"/>
                <w:sz w:val="22"/>
                <w:szCs w:val="22"/>
              </w:rPr>
              <w:t>6</w:t>
            </w:r>
            <w:r w:rsidR="00536A12" w:rsidRPr="0068083E">
              <w:rPr>
                <w:rFonts w:ascii="Arial" w:hAnsi="Arial" w:cs="Arial"/>
                <w:sz w:val="22"/>
                <w:szCs w:val="22"/>
              </w:rPr>
              <w:t>.</w:t>
            </w:r>
          </w:p>
        </w:tc>
        <w:tc>
          <w:tcPr>
            <w:tcW w:w="7813" w:type="dxa"/>
            <w:vAlign w:val="center"/>
          </w:tcPr>
          <w:p w:rsidR="00902771" w:rsidRPr="0068083E" w:rsidRDefault="00902771" w:rsidP="00A23F0B">
            <w:pPr>
              <w:rPr>
                <w:rFonts w:ascii="Arial" w:hAnsi="Arial" w:cs="Arial"/>
                <w:sz w:val="22"/>
                <w:szCs w:val="22"/>
              </w:rPr>
            </w:pPr>
            <w:r w:rsidRPr="0068083E">
              <w:rPr>
                <w:rFonts w:ascii="Arial" w:hAnsi="Arial" w:cs="Arial"/>
                <w:sz w:val="22"/>
                <w:szCs w:val="22"/>
              </w:rPr>
              <w:t xml:space="preserve">Increased garage rent collected due to reduction in </w:t>
            </w:r>
            <w:r w:rsidR="00A23F0B">
              <w:rPr>
                <w:rFonts w:ascii="Arial" w:hAnsi="Arial" w:cs="Arial"/>
                <w:sz w:val="22"/>
                <w:szCs w:val="22"/>
              </w:rPr>
              <w:t xml:space="preserve">number of </w:t>
            </w:r>
            <w:r w:rsidRPr="0068083E">
              <w:rPr>
                <w:rFonts w:ascii="Arial" w:hAnsi="Arial" w:cs="Arial"/>
                <w:sz w:val="22"/>
                <w:szCs w:val="22"/>
              </w:rPr>
              <w:t>void</w:t>
            </w:r>
            <w:r w:rsidR="00A23F0B">
              <w:rPr>
                <w:rFonts w:ascii="Arial" w:hAnsi="Arial" w:cs="Arial"/>
                <w:sz w:val="22"/>
                <w:szCs w:val="22"/>
              </w:rPr>
              <w:t>s</w:t>
            </w:r>
            <w:r w:rsidRPr="0068083E">
              <w:rPr>
                <w:rFonts w:ascii="Arial" w:hAnsi="Arial" w:cs="Arial"/>
                <w:sz w:val="22"/>
                <w:szCs w:val="22"/>
              </w:rPr>
              <w:t>.</w:t>
            </w:r>
          </w:p>
        </w:tc>
        <w:tc>
          <w:tcPr>
            <w:tcW w:w="1554" w:type="dxa"/>
            <w:vAlign w:val="center"/>
          </w:tcPr>
          <w:p w:rsidR="00902771" w:rsidRPr="0068083E" w:rsidRDefault="00902771" w:rsidP="00484385">
            <w:pPr>
              <w:tabs>
                <w:tab w:val="left" w:pos="3765"/>
              </w:tabs>
              <w:spacing w:after="160"/>
              <w:jc w:val="center"/>
              <w:rPr>
                <w:rFonts w:ascii="Arial" w:hAnsi="Arial" w:cs="Arial"/>
                <w:color w:val="0000FF"/>
                <w:sz w:val="22"/>
                <w:szCs w:val="22"/>
              </w:rPr>
            </w:pPr>
            <w:r w:rsidRPr="0068083E">
              <w:rPr>
                <w:rFonts w:ascii="Arial" w:hAnsi="Arial" w:cs="Arial"/>
                <w:color w:val="0000FF"/>
                <w:sz w:val="22"/>
                <w:szCs w:val="22"/>
              </w:rPr>
              <w:t>(16,980)</w:t>
            </w:r>
          </w:p>
        </w:tc>
      </w:tr>
      <w:tr w:rsidR="00B57EBB" w:rsidTr="007E0F02">
        <w:trPr>
          <w:trHeight w:val="495"/>
        </w:trPr>
        <w:tc>
          <w:tcPr>
            <w:tcW w:w="522" w:type="dxa"/>
            <w:vAlign w:val="center"/>
          </w:tcPr>
          <w:p w:rsidR="00B57EBB" w:rsidRPr="0068083E" w:rsidRDefault="00B57EBB" w:rsidP="00484385">
            <w:pPr>
              <w:rPr>
                <w:rFonts w:ascii="Arial" w:hAnsi="Arial" w:cs="Arial"/>
                <w:sz w:val="22"/>
                <w:szCs w:val="22"/>
              </w:rPr>
            </w:pPr>
            <w:r w:rsidRPr="0068083E">
              <w:rPr>
                <w:rFonts w:ascii="Arial" w:hAnsi="Arial" w:cs="Arial"/>
                <w:sz w:val="22"/>
                <w:szCs w:val="22"/>
              </w:rPr>
              <w:t>7.</w:t>
            </w:r>
          </w:p>
        </w:tc>
        <w:tc>
          <w:tcPr>
            <w:tcW w:w="7813" w:type="dxa"/>
            <w:vAlign w:val="center"/>
          </w:tcPr>
          <w:p w:rsidR="00B57EBB" w:rsidRPr="0068083E" w:rsidRDefault="00BA0688" w:rsidP="0039449C">
            <w:pPr>
              <w:rPr>
                <w:rFonts w:ascii="Arial" w:hAnsi="Arial" w:cs="Arial"/>
                <w:sz w:val="22"/>
                <w:szCs w:val="22"/>
              </w:rPr>
            </w:pPr>
            <w:r>
              <w:rPr>
                <w:rFonts w:ascii="Arial" w:hAnsi="Arial" w:cs="Arial"/>
                <w:sz w:val="22"/>
                <w:szCs w:val="22"/>
              </w:rPr>
              <w:t>Increased income f</w:t>
            </w:r>
            <w:r w:rsidR="0039449C">
              <w:rPr>
                <w:rFonts w:ascii="Arial" w:hAnsi="Arial" w:cs="Arial"/>
                <w:sz w:val="22"/>
                <w:szCs w:val="22"/>
              </w:rPr>
              <w:t>r</w:t>
            </w:r>
            <w:r>
              <w:rPr>
                <w:rFonts w:ascii="Arial" w:hAnsi="Arial" w:cs="Arial"/>
                <w:sz w:val="22"/>
                <w:szCs w:val="22"/>
              </w:rPr>
              <w:t xml:space="preserve">om </w:t>
            </w:r>
            <w:r w:rsidR="0039449C">
              <w:rPr>
                <w:rFonts w:ascii="Arial" w:hAnsi="Arial" w:cs="Arial"/>
                <w:sz w:val="22"/>
                <w:szCs w:val="22"/>
              </w:rPr>
              <w:t>p</w:t>
            </w:r>
            <w:r w:rsidR="00B57EBB" w:rsidRPr="0068083E">
              <w:rPr>
                <w:rFonts w:ascii="Arial" w:hAnsi="Arial" w:cs="Arial"/>
                <w:sz w:val="22"/>
                <w:szCs w:val="22"/>
              </w:rPr>
              <w:t>lanning fees</w:t>
            </w:r>
          </w:p>
        </w:tc>
        <w:tc>
          <w:tcPr>
            <w:tcW w:w="1554" w:type="dxa"/>
            <w:vAlign w:val="center"/>
          </w:tcPr>
          <w:p w:rsidR="00B57EBB" w:rsidRPr="0068083E" w:rsidRDefault="00B57EBB" w:rsidP="007E0F02">
            <w:pPr>
              <w:tabs>
                <w:tab w:val="left" w:pos="3765"/>
              </w:tabs>
              <w:spacing w:after="160"/>
              <w:jc w:val="center"/>
              <w:rPr>
                <w:rFonts w:ascii="Arial" w:hAnsi="Arial" w:cs="Arial"/>
                <w:color w:val="0000FF"/>
                <w:sz w:val="22"/>
                <w:szCs w:val="22"/>
              </w:rPr>
            </w:pPr>
            <w:r w:rsidRPr="0068083E">
              <w:rPr>
                <w:rFonts w:ascii="Arial" w:hAnsi="Arial" w:cs="Arial"/>
                <w:color w:val="0000FF"/>
                <w:sz w:val="22"/>
                <w:szCs w:val="22"/>
              </w:rPr>
              <w:t>(33,000)</w:t>
            </w:r>
          </w:p>
        </w:tc>
      </w:tr>
      <w:tr w:rsidR="0068083E" w:rsidTr="007E0F02">
        <w:trPr>
          <w:trHeight w:val="311"/>
        </w:trPr>
        <w:tc>
          <w:tcPr>
            <w:tcW w:w="522" w:type="dxa"/>
            <w:vAlign w:val="center"/>
          </w:tcPr>
          <w:p w:rsidR="0068083E" w:rsidRPr="0068083E" w:rsidRDefault="0068083E" w:rsidP="00484385">
            <w:pPr>
              <w:rPr>
                <w:rFonts w:ascii="Arial" w:hAnsi="Arial" w:cs="Arial"/>
                <w:sz w:val="22"/>
                <w:szCs w:val="22"/>
              </w:rPr>
            </w:pPr>
            <w:r w:rsidRPr="0068083E">
              <w:rPr>
                <w:rFonts w:ascii="Arial" w:hAnsi="Arial" w:cs="Arial"/>
                <w:sz w:val="22"/>
                <w:szCs w:val="22"/>
              </w:rPr>
              <w:t>8.</w:t>
            </w:r>
          </w:p>
        </w:tc>
        <w:tc>
          <w:tcPr>
            <w:tcW w:w="7813" w:type="dxa"/>
            <w:vAlign w:val="center"/>
          </w:tcPr>
          <w:p w:rsidR="0068083E" w:rsidRPr="0068083E" w:rsidRDefault="00BA0688" w:rsidP="0039449C">
            <w:pPr>
              <w:rPr>
                <w:rFonts w:ascii="Arial" w:hAnsi="Arial" w:cs="Arial"/>
                <w:sz w:val="22"/>
                <w:szCs w:val="22"/>
              </w:rPr>
            </w:pPr>
            <w:r>
              <w:rPr>
                <w:rFonts w:ascii="Arial" w:hAnsi="Arial" w:cs="Arial"/>
                <w:sz w:val="22"/>
                <w:szCs w:val="22"/>
              </w:rPr>
              <w:t xml:space="preserve">Reduced income </w:t>
            </w:r>
            <w:r w:rsidR="0068083E" w:rsidRPr="0068083E">
              <w:rPr>
                <w:rFonts w:ascii="Arial" w:hAnsi="Arial" w:cs="Arial"/>
                <w:sz w:val="22"/>
                <w:szCs w:val="22"/>
              </w:rPr>
              <w:t xml:space="preserve">from </w:t>
            </w:r>
            <w:r>
              <w:rPr>
                <w:rFonts w:ascii="Arial" w:hAnsi="Arial" w:cs="Arial"/>
                <w:sz w:val="22"/>
                <w:szCs w:val="22"/>
              </w:rPr>
              <w:t xml:space="preserve">short  term </w:t>
            </w:r>
            <w:r w:rsidR="0068083E" w:rsidRPr="0068083E">
              <w:rPr>
                <w:rFonts w:ascii="Arial" w:hAnsi="Arial" w:cs="Arial"/>
                <w:sz w:val="22"/>
                <w:szCs w:val="22"/>
              </w:rPr>
              <w:t>investments</w:t>
            </w:r>
          </w:p>
        </w:tc>
        <w:tc>
          <w:tcPr>
            <w:tcW w:w="1554" w:type="dxa"/>
            <w:vAlign w:val="center"/>
          </w:tcPr>
          <w:p w:rsidR="0068083E" w:rsidRPr="0068083E" w:rsidRDefault="000731AC" w:rsidP="007E0F02">
            <w:pPr>
              <w:tabs>
                <w:tab w:val="left" w:pos="3765"/>
              </w:tabs>
              <w:spacing w:after="160"/>
              <w:jc w:val="center"/>
              <w:rPr>
                <w:rFonts w:ascii="Arial" w:hAnsi="Arial" w:cs="Arial"/>
                <w:color w:val="0000FF"/>
                <w:sz w:val="22"/>
                <w:szCs w:val="22"/>
              </w:rPr>
            </w:pPr>
            <w:r>
              <w:rPr>
                <w:rFonts w:ascii="Arial" w:hAnsi="Arial" w:cs="Arial"/>
                <w:sz w:val="22"/>
                <w:szCs w:val="22"/>
              </w:rPr>
              <w:t>25</w:t>
            </w:r>
            <w:r w:rsidR="0068083E" w:rsidRPr="0068083E">
              <w:rPr>
                <w:rFonts w:ascii="Arial" w:hAnsi="Arial" w:cs="Arial"/>
                <w:sz w:val="22"/>
                <w:szCs w:val="22"/>
              </w:rPr>
              <w:t>,000</w:t>
            </w:r>
          </w:p>
        </w:tc>
      </w:tr>
      <w:tr w:rsidR="00626FEF" w:rsidTr="007E0F02">
        <w:trPr>
          <w:trHeight w:val="495"/>
        </w:trPr>
        <w:tc>
          <w:tcPr>
            <w:tcW w:w="522" w:type="dxa"/>
            <w:vAlign w:val="center"/>
          </w:tcPr>
          <w:p w:rsidR="00626FEF" w:rsidRPr="0068083E" w:rsidRDefault="0068083E" w:rsidP="00484385">
            <w:pPr>
              <w:rPr>
                <w:rFonts w:ascii="Arial" w:hAnsi="Arial" w:cs="Arial"/>
                <w:sz w:val="22"/>
                <w:szCs w:val="22"/>
              </w:rPr>
            </w:pPr>
            <w:r w:rsidRPr="0068083E">
              <w:rPr>
                <w:rFonts w:ascii="Arial" w:hAnsi="Arial" w:cs="Arial"/>
                <w:sz w:val="22"/>
                <w:szCs w:val="22"/>
              </w:rPr>
              <w:t xml:space="preserve">9. </w:t>
            </w:r>
          </w:p>
        </w:tc>
        <w:tc>
          <w:tcPr>
            <w:tcW w:w="7813" w:type="dxa"/>
            <w:vAlign w:val="center"/>
          </w:tcPr>
          <w:p w:rsidR="00626FEF" w:rsidRPr="0068083E" w:rsidRDefault="0063048C" w:rsidP="00484385">
            <w:pPr>
              <w:rPr>
                <w:rFonts w:ascii="Arial" w:hAnsi="Arial" w:cs="Arial"/>
                <w:sz w:val="22"/>
                <w:szCs w:val="22"/>
              </w:rPr>
            </w:pPr>
            <w:r w:rsidRPr="0068083E">
              <w:rPr>
                <w:rFonts w:ascii="Arial" w:hAnsi="Arial" w:cs="Arial"/>
                <w:sz w:val="22"/>
                <w:szCs w:val="22"/>
              </w:rPr>
              <w:t xml:space="preserve">Other Variances. </w:t>
            </w:r>
          </w:p>
        </w:tc>
        <w:tc>
          <w:tcPr>
            <w:tcW w:w="1554" w:type="dxa"/>
            <w:vAlign w:val="center"/>
          </w:tcPr>
          <w:p w:rsidR="00626FEF" w:rsidRPr="0068083E" w:rsidRDefault="0063048C" w:rsidP="007E0F02">
            <w:pPr>
              <w:tabs>
                <w:tab w:val="left" w:pos="3765"/>
              </w:tabs>
              <w:spacing w:after="160"/>
              <w:jc w:val="center"/>
              <w:rPr>
                <w:rFonts w:ascii="Arial" w:hAnsi="Arial" w:cs="Arial"/>
                <w:color w:val="0000FF"/>
                <w:sz w:val="22"/>
                <w:szCs w:val="22"/>
              </w:rPr>
            </w:pPr>
            <w:r w:rsidRPr="0068083E">
              <w:rPr>
                <w:rFonts w:ascii="Arial" w:hAnsi="Arial" w:cs="Arial"/>
                <w:color w:val="0000FF"/>
                <w:sz w:val="22"/>
                <w:szCs w:val="22"/>
              </w:rPr>
              <w:t>(</w:t>
            </w:r>
            <w:r w:rsidR="007F007B" w:rsidRPr="0068083E">
              <w:rPr>
                <w:rFonts w:ascii="Arial" w:hAnsi="Arial" w:cs="Arial"/>
                <w:color w:val="0000FF"/>
                <w:sz w:val="22"/>
                <w:szCs w:val="22"/>
              </w:rPr>
              <w:t>14</w:t>
            </w:r>
            <w:r w:rsidR="004A512E" w:rsidRPr="0068083E">
              <w:rPr>
                <w:rFonts w:ascii="Arial" w:hAnsi="Arial" w:cs="Arial"/>
                <w:color w:val="0000FF"/>
                <w:sz w:val="22"/>
                <w:szCs w:val="22"/>
              </w:rPr>
              <w:t>,0</w:t>
            </w:r>
            <w:r w:rsidR="0068083E" w:rsidRPr="0068083E">
              <w:rPr>
                <w:rFonts w:ascii="Arial" w:hAnsi="Arial" w:cs="Arial"/>
                <w:color w:val="0000FF"/>
                <w:sz w:val="22"/>
                <w:szCs w:val="22"/>
              </w:rPr>
              <w:t>0</w:t>
            </w:r>
            <w:r w:rsidRPr="0068083E">
              <w:rPr>
                <w:rFonts w:ascii="Arial" w:hAnsi="Arial" w:cs="Arial"/>
                <w:color w:val="0000FF"/>
                <w:sz w:val="22"/>
                <w:szCs w:val="22"/>
              </w:rPr>
              <w:t>0)</w:t>
            </w:r>
          </w:p>
        </w:tc>
      </w:tr>
      <w:tr w:rsidR="00902771" w:rsidTr="007E0F02">
        <w:trPr>
          <w:trHeight w:val="522"/>
        </w:trPr>
        <w:tc>
          <w:tcPr>
            <w:tcW w:w="522" w:type="dxa"/>
            <w:vAlign w:val="center"/>
          </w:tcPr>
          <w:p w:rsidR="00902771" w:rsidRPr="0068083E" w:rsidRDefault="00902771" w:rsidP="00484385">
            <w:pPr>
              <w:rPr>
                <w:rFonts w:ascii="Arial" w:hAnsi="Arial" w:cs="Arial"/>
                <w:b/>
                <w:sz w:val="22"/>
                <w:szCs w:val="22"/>
              </w:rPr>
            </w:pPr>
          </w:p>
        </w:tc>
        <w:tc>
          <w:tcPr>
            <w:tcW w:w="7813" w:type="dxa"/>
            <w:vAlign w:val="center"/>
          </w:tcPr>
          <w:p w:rsidR="007E0F02" w:rsidRDefault="007E0F02" w:rsidP="007E0F02">
            <w:pPr>
              <w:rPr>
                <w:rFonts w:ascii="Arial" w:hAnsi="Arial" w:cs="Arial"/>
                <w:b/>
                <w:sz w:val="22"/>
                <w:szCs w:val="22"/>
              </w:rPr>
            </w:pPr>
          </w:p>
          <w:p w:rsidR="00902771" w:rsidRPr="0068083E" w:rsidRDefault="00902771" w:rsidP="007E0F02">
            <w:pPr>
              <w:rPr>
                <w:rFonts w:ascii="Arial" w:hAnsi="Arial" w:cs="Arial"/>
                <w:b/>
                <w:sz w:val="22"/>
                <w:szCs w:val="22"/>
              </w:rPr>
            </w:pPr>
            <w:r w:rsidRPr="0068083E">
              <w:rPr>
                <w:rFonts w:ascii="Arial" w:hAnsi="Arial" w:cs="Arial"/>
                <w:b/>
                <w:sz w:val="22"/>
                <w:szCs w:val="22"/>
              </w:rPr>
              <w:t>Total Revenue Variances</w:t>
            </w:r>
          </w:p>
          <w:p w:rsidR="00902771" w:rsidRPr="0068083E" w:rsidRDefault="00902771" w:rsidP="007E0F02">
            <w:pPr>
              <w:rPr>
                <w:rFonts w:ascii="Arial" w:hAnsi="Arial" w:cs="Arial"/>
                <w:b/>
                <w:sz w:val="22"/>
                <w:szCs w:val="22"/>
              </w:rPr>
            </w:pPr>
          </w:p>
        </w:tc>
        <w:tc>
          <w:tcPr>
            <w:tcW w:w="1554" w:type="dxa"/>
            <w:vAlign w:val="center"/>
          </w:tcPr>
          <w:p w:rsidR="00902771" w:rsidRPr="0068083E" w:rsidRDefault="000875CB" w:rsidP="007E0F02">
            <w:pPr>
              <w:tabs>
                <w:tab w:val="left" w:pos="3765"/>
              </w:tabs>
              <w:spacing w:after="160"/>
              <w:jc w:val="center"/>
              <w:rPr>
                <w:rFonts w:ascii="Arial" w:hAnsi="Arial" w:cs="Arial"/>
                <w:b/>
                <w:sz w:val="22"/>
                <w:szCs w:val="22"/>
              </w:rPr>
            </w:pPr>
            <w:r>
              <w:rPr>
                <w:rFonts w:ascii="Arial" w:hAnsi="Arial" w:cs="Arial"/>
                <w:b/>
                <w:color w:val="0000FF"/>
                <w:sz w:val="22"/>
                <w:szCs w:val="22"/>
              </w:rPr>
              <w:t>(182</w:t>
            </w:r>
            <w:r w:rsidR="0068083E">
              <w:rPr>
                <w:rFonts w:ascii="Arial" w:hAnsi="Arial" w:cs="Arial"/>
                <w:b/>
                <w:color w:val="0000FF"/>
                <w:sz w:val="22"/>
                <w:szCs w:val="22"/>
              </w:rPr>
              <w:t>,</w:t>
            </w:r>
            <w:r w:rsidR="007B1754" w:rsidRPr="0068083E">
              <w:rPr>
                <w:rFonts w:ascii="Arial" w:hAnsi="Arial" w:cs="Arial"/>
                <w:b/>
                <w:color w:val="0000FF"/>
                <w:sz w:val="22"/>
                <w:szCs w:val="22"/>
              </w:rPr>
              <w:t>18</w:t>
            </w:r>
            <w:r w:rsidR="00902771" w:rsidRPr="0068083E">
              <w:rPr>
                <w:rFonts w:ascii="Arial" w:hAnsi="Arial" w:cs="Arial"/>
                <w:b/>
                <w:color w:val="0000FF"/>
                <w:sz w:val="22"/>
                <w:szCs w:val="22"/>
              </w:rPr>
              <w:t>0)</w:t>
            </w:r>
          </w:p>
        </w:tc>
      </w:tr>
    </w:tbl>
    <w:p w:rsidR="000875CB" w:rsidRDefault="000875CB" w:rsidP="000875CB">
      <w:pPr>
        <w:tabs>
          <w:tab w:val="left" w:pos="1276"/>
        </w:tabs>
        <w:spacing w:after="160" w:line="240" w:lineRule="auto"/>
        <w:rPr>
          <w:rFonts w:ascii="Arial" w:hAnsi="Arial" w:cs="Arial"/>
        </w:rPr>
      </w:pPr>
    </w:p>
    <w:p w:rsidR="008C30EE" w:rsidRDefault="008C30EE" w:rsidP="000875CB">
      <w:pPr>
        <w:tabs>
          <w:tab w:val="left" w:pos="1276"/>
        </w:tabs>
        <w:spacing w:after="160" w:line="240" w:lineRule="auto"/>
        <w:rPr>
          <w:rFonts w:ascii="Arial" w:hAnsi="Arial" w:cs="Arial"/>
          <w:b/>
          <w:u w:val="single"/>
        </w:rPr>
      </w:pPr>
      <w:r w:rsidRPr="00616004">
        <w:rPr>
          <w:rFonts w:ascii="Arial" w:hAnsi="Arial" w:cs="Arial"/>
          <w:b/>
          <w:u w:val="single"/>
        </w:rPr>
        <w:t xml:space="preserve">Capital </w:t>
      </w:r>
    </w:p>
    <w:p w:rsidR="00A346B8" w:rsidRPr="00AA1843" w:rsidRDefault="0087396A" w:rsidP="000875CB">
      <w:pPr>
        <w:tabs>
          <w:tab w:val="left" w:pos="3765"/>
        </w:tabs>
        <w:spacing w:after="160" w:line="240" w:lineRule="auto"/>
        <w:jc w:val="both"/>
        <w:rPr>
          <w:rFonts w:ascii="Arial" w:hAnsi="Arial" w:cs="Arial"/>
        </w:rPr>
      </w:pPr>
      <w:r w:rsidRPr="00AA1843">
        <w:rPr>
          <w:rFonts w:ascii="Arial" w:hAnsi="Arial" w:cs="Arial"/>
        </w:rPr>
        <w:t>The c</w:t>
      </w:r>
      <w:r w:rsidR="00B11460" w:rsidRPr="00AA1843">
        <w:rPr>
          <w:rFonts w:ascii="Arial" w:hAnsi="Arial" w:cs="Arial"/>
        </w:rPr>
        <w:t>apital budget approved by Council on 20 February 2018 is £</w:t>
      </w:r>
      <w:r w:rsidR="00B641EB">
        <w:rPr>
          <w:rFonts w:ascii="Arial" w:hAnsi="Arial" w:cs="Arial"/>
          <w:b/>
        </w:rPr>
        <w:t>18,58</w:t>
      </w:r>
      <w:r w:rsidR="00A23F0B">
        <w:rPr>
          <w:rFonts w:ascii="Arial" w:hAnsi="Arial" w:cs="Arial"/>
          <w:b/>
        </w:rPr>
        <w:t>5</w:t>
      </w:r>
      <w:r w:rsidR="00DA1152" w:rsidRPr="00AA1843">
        <w:rPr>
          <w:rFonts w:ascii="Arial" w:hAnsi="Arial" w:cs="Arial"/>
          <w:b/>
        </w:rPr>
        <w:t xml:space="preserve"> </w:t>
      </w:r>
      <w:r w:rsidR="00986D6C" w:rsidRPr="00AA1843">
        <w:rPr>
          <w:rFonts w:ascii="Arial" w:hAnsi="Arial" w:cs="Arial"/>
          <w:b/>
        </w:rPr>
        <w:t>million</w:t>
      </w:r>
      <w:r w:rsidR="003C4C7C" w:rsidRPr="00AA1843">
        <w:rPr>
          <w:rFonts w:ascii="Arial" w:hAnsi="Arial" w:cs="Arial"/>
        </w:rPr>
        <w:t>.</w:t>
      </w:r>
      <w:r w:rsidR="00D61B4E" w:rsidRPr="00AA1843">
        <w:rPr>
          <w:rFonts w:ascii="Arial" w:hAnsi="Arial" w:cs="Arial"/>
        </w:rPr>
        <w:t xml:space="preserve"> </w:t>
      </w:r>
    </w:p>
    <w:p w:rsidR="00986D6C" w:rsidRPr="00780B33" w:rsidRDefault="00B11460" w:rsidP="00484385">
      <w:pPr>
        <w:tabs>
          <w:tab w:val="left" w:pos="3765"/>
        </w:tabs>
        <w:spacing w:after="160" w:line="240" w:lineRule="auto"/>
        <w:jc w:val="both"/>
        <w:rPr>
          <w:rFonts w:ascii="Arial" w:hAnsi="Arial" w:cs="Arial"/>
        </w:rPr>
      </w:pPr>
      <w:r>
        <w:rPr>
          <w:rFonts w:ascii="Arial" w:hAnsi="Arial" w:cs="Arial"/>
        </w:rPr>
        <w:t>Services have identified</w:t>
      </w:r>
      <w:r w:rsidR="0087396A">
        <w:rPr>
          <w:rFonts w:ascii="Arial" w:hAnsi="Arial" w:cs="Arial"/>
        </w:rPr>
        <w:t xml:space="preserve"> re</w:t>
      </w:r>
      <w:r w:rsidR="00A23F0B">
        <w:rPr>
          <w:rFonts w:ascii="Arial" w:hAnsi="Arial" w:cs="Arial"/>
        </w:rPr>
        <w:t>-</w:t>
      </w:r>
      <w:r w:rsidR="0087396A">
        <w:rPr>
          <w:rFonts w:ascii="Arial" w:hAnsi="Arial" w:cs="Arial"/>
        </w:rPr>
        <w:t>phasing</w:t>
      </w:r>
      <w:r>
        <w:rPr>
          <w:rFonts w:ascii="Arial" w:hAnsi="Arial" w:cs="Arial"/>
        </w:rPr>
        <w:t xml:space="preserve"> </w:t>
      </w:r>
      <w:r w:rsidR="00A23F0B">
        <w:rPr>
          <w:rFonts w:ascii="Arial" w:hAnsi="Arial" w:cs="Arial"/>
        </w:rPr>
        <w:t>o</w:t>
      </w:r>
      <w:r>
        <w:rPr>
          <w:rFonts w:ascii="Arial" w:hAnsi="Arial" w:cs="Arial"/>
        </w:rPr>
        <w:t xml:space="preserve">f </w:t>
      </w:r>
      <w:r w:rsidR="005D3B8A">
        <w:rPr>
          <w:rFonts w:ascii="Arial" w:hAnsi="Arial" w:cs="Arial"/>
          <w:b/>
        </w:rPr>
        <w:t>£0.7</w:t>
      </w:r>
      <w:r w:rsidR="00981396">
        <w:rPr>
          <w:rFonts w:ascii="Arial" w:hAnsi="Arial" w:cs="Arial"/>
          <w:b/>
        </w:rPr>
        <w:t>50</w:t>
      </w:r>
      <w:r w:rsidR="000F69C2" w:rsidRPr="00780B33">
        <w:rPr>
          <w:rFonts w:ascii="Arial" w:hAnsi="Arial" w:cs="Arial"/>
          <w:b/>
        </w:rPr>
        <w:t xml:space="preserve"> million</w:t>
      </w:r>
      <w:r>
        <w:rPr>
          <w:rFonts w:ascii="Arial" w:hAnsi="Arial" w:cs="Arial"/>
        </w:rPr>
        <w:t xml:space="preserve"> from the 2017/18 into 2018/19</w:t>
      </w:r>
      <w:r w:rsidR="00B908D2">
        <w:rPr>
          <w:rFonts w:ascii="Arial" w:hAnsi="Arial" w:cs="Arial"/>
        </w:rPr>
        <w:t>.</w:t>
      </w:r>
    </w:p>
    <w:p w:rsidR="0068083E" w:rsidRDefault="00D61B4E" w:rsidP="00484385">
      <w:pPr>
        <w:tabs>
          <w:tab w:val="left" w:pos="3765"/>
        </w:tabs>
        <w:spacing w:after="160" w:line="240" w:lineRule="auto"/>
        <w:jc w:val="both"/>
        <w:rPr>
          <w:rFonts w:ascii="Arial" w:hAnsi="Arial" w:cs="Arial"/>
        </w:rPr>
      </w:pPr>
      <w:r w:rsidRPr="003B4666">
        <w:rPr>
          <w:rFonts w:ascii="Arial" w:hAnsi="Arial" w:cs="Arial"/>
        </w:rPr>
        <w:t xml:space="preserve">The </w:t>
      </w:r>
      <w:r w:rsidR="00891A71">
        <w:rPr>
          <w:rFonts w:ascii="Arial" w:hAnsi="Arial" w:cs="Arial"/>
        </w:rPr>
        <w:t xml:space="preserve">main </w:t>
      </w:r>
      <w:r w:rsidRPr="003B4666">
        <w:rPr>
          <w:rFonts w:ascii="Arial" w:hAnsi="Arial" w:cs="Arial"/>
        </w:rPr>
        <w:t xml:space="preserve">contributors to this </w:t>
      </w:r>
      <w:r w:rsidR="00A23F0B">
        <w:rPr>
          <w:rFonts w:ascii="Arial" w:hAnsi="Arial" w:cs="Arial"/>
        </w:rPr>
        <w:t>re-phasing of budgets</w:t>
      </w:r>
      <w:r w:rsidR="00C073CB">
        <w:rPr>
          <w:rFonts w:ascii="Arial" w:hAnsi="Arial" w:cs="Arial"/>
        </w:rPr>
        <w:t xml:space="preserve"> </w:t>
      </w:r>
      <w:r w:rsidR="00B908D2">
        <w:rPr>
          <w:rFonts w:ascii="Arial" w:hAnsi="Arial" w:cs="Arial"/>
        </w:rPr>
        <w:t>are shown in the table below.</w:t>
      </w:r>
      <w:r w:rsidR="00A23F0B">
        <w:rPr>
          <w:rFonts w:ascii="Arial" w:hAnsi="Arial" w:cs="Arial"/>
        </w:rPr>
        <w:t xml:space="preserve"> </w:t>
      </w:r>
      <w:r w:rsidR="00B908D2">
        <w:rPr>
          <w:rFonts w:ascii="Arial" w:hAnsi="Arial" w:cs="Arial"/>
        </w:rPr>
        <w:t xml:space="preserve"> Full details of all variances</w:t>
      </w:r>
      <w:r w:rsidR="006A2CE2">
        <w:rPr>
          <w:rFonts w:ascii="Arial" w:hAnsi="Arial" w:cs="Arial"/>
        </w:rPr>
        <w:t xml:space="preserve"> can be found in Appendix 3</w:t>
      </w:r>
      <w:r w:rsidR="0068083E">
        <w:rPr>
          <w:rFonts w:ascii="Arial" w:hAnsi="Arial" w:cs="Arial"/>
        </w:rPr>
        <w:t>.</w:t>
      </w:r>
    </w:p>
    <w:tbl>
      <w:tblPr>
        <w:tblStyle w:val="TableGrid"/>
        <w:tblW w:w="9606" w:type="dxa"/>
        <w:tblLook w:val="04A0" w:firstRow="1" w:lastRow="0" w:firstColumn="1" w:lastColumn="0" w:noHBand="0" w:noVBand="1"/>
      </w:tblPr>
      <w:tblGrid>
        <w:gridCol w:w="817"/>
        <w:gridCol w:w="7088"/>
        <w:gridCol w:w="1701"/>
      </w:tblGrid>
      <w:tr w:rsidR="00891A71" w:rsidTr="00E303B0">
        <w:tc>
          <w:tcPr>
            <w:tcW w:w="817" w:type="dxa"/>
            <w:tcBorders>
              <w:top w:val="nil"/>
              <w:left w:val="nil"/>
              <w:right w:val="nil"/>
            </w:tcBorders>
          </w:tcPr>
          <w:p w:rsidR="00891A71" w:rsidRPr="001F5EDF" w:rsidRDefault="00891A71" w:rsidP="00484385">
            <w:pPr>
              <w:tabs>
                <w:tab w:val="left" w:pos="3765"/>
              </w:tabs>
              <w:spacing w:after="160"/>
              <w:jc w:val="both"/>
              <w:rPr>
                <w:rFonts w:ascii="Arial" w:hAnsi="Arial" w:cs="Arial"/>
                <w:sz w:val="22"/>
                <w:szCs w:val="22"/>
              </w:rPr>
            </w:pPr>
          </w:p>
        </w:tc>
        <w:tc>
          <w:tcPr>
            <w:tcW w:w="7088" w:type="dxa"/>
            <w:tcBorders>
              <w:top w:val="nil"/>
              <w:left w:val="nil"/>
            </w:tcBorders>
          </w:tcPr>
          <w:p w:rsidR="00891A71" w:rsidRPr="001F5EDF" w:rsidRDefault="00891A71" w:rsidP="00484385">
            <w:pPr>
              <w:tabs>
                <w:tab w:val="left" w:pos="3765"/>
              </w:tabs>
              <w:spacing w:after="160"/>
              <w:jc w:val="both"/>
              <w:rPr>
                <w:rFonts w:ascii="Arial" w:hAnsi="Arial" w:cs="Arial"/>
                <w:sz w:val="22"/>
                <w:szCs w:val="22"/>
              </w:rPr>
            </w:pPr>
          </w:p>
        </w:tc>
        <w:tc>
          <w:tcPr>
            <w:tcW w:w="1701" w:type="dxa"/>
          </w:tcPr>
          <w:p w:rsidR="00891A71" w:rsidRPr="001F5EDF" w:rsidRDefault="00891A71" w:rsidP="00484385">
            <w:pPr>
              <w:tabs>
                <w:tab w:val="left" w:pos="3765"/>
              </w:tabs>
              <w:spacing w:after="160"/>
              <w:jc w:val="center"/>
              <w:rPr>
                <w:rFonts w:ascii="Arial" w:hAnsi="Arial" w:cs="Arial"/>
                <w:sz w:val="22"/>
                <w:szCs w:val="22"/>
              </w:rPr>
            </w:pPr>
            <w:r w:rsidRPr="001F5EDF">
              <w:rPr>
                <w:rFonts w:ascii="Arial" w:hAnsi="Arial" w:cs="Arial"/>
                <w:b/>
                <w:bCs/>
                <w:sz w:val="22"/>
                <w:szCs w:val="22"/>
              </w:rPr>
              <w:t>£</w:t>
            </w:r>
          </w:p>
        </w:tc>
      </w:tr>
      <w:tr w:rsidR="00891A71" w:rsidTr="003E1C7C">
        <w:trPr>
          <w:trHeight w:val="702"/>
        </w:trPr>
        <w:tc>
          <w:tcPr>
            <w:tcW w:w="817" w:type="dxa"/>
            <w:vAlign w:val="center"/>
          </w:tcPr>
          <w:p w:rsidR="00891A71" w:rsidRPr="00B908D2" w:rsidRDefault="00E303B0" w:rsidP="003E1C7C">
            <w:pPr>
              <w:tabs>
                <w:tab w:val="left" w:pos="3765"/>
              </w:tabs>
              <w:spacing w:after="160"/>
              <w:rPr>
                <w:rFonts w:ascii="Arial" w:hAnsi="Arial" w:cs="Arial"/>
                <w:sz w:val="22"/>
                <w:szCs w:val="22"/>
              </w:rPr>
            </w:pPr>
            <w:r w:rsidRPr="00B908D2">
              <w:rPr>
                <w:rFonts w:ascii="Arial" w:hAnsi="Arial" w:cs="Arial"/>
                <w:sz w:val="22"/>
                <w:szCs w:val="22"/>
              </w:rPr>
              <w:t>1</w:t>
            </w:r>
            <w:r w:rsidR="00E04358">
              <w:rPr>
                <w:rFonts w:ascii="Arial" w:hAnsi="Arial" w:cs="Arial"/>
                <w:sz w:val="22"/>
                <w:szCs w:val="22"/>
              </w:rPr>
              <w:t>.</w:t>
            </w:r>
          </w:p>
        </w:tc>
        <w:tc>
          <w:tcPr>
            <w:tcW w:w="7088" w:type="dxa"/>
            <w:vAlign w:val="center"/>
          </w:tcPr>
          <w:p w:rsidR="00891A71" w:rsidRPr="00B908D2" w:rsidRDefault="00B908D2" w:rsidP="00A23F0B">
            <w:pPr>
              <w:rPr>
                <w:rFonts w:ascii="Arial" w:hAnsi="Arial" w:cs="Arial"/>
                <w:sz w:val="22"/>
                <w:szCs w:val="22"/>
              </w:rPr>
            </w:pPr>
            <w:r w:rsidRPr="00B908D2">
              <w:rPr>
                <w:rFonts w:ascii="Arial" w:hAnsi="Arial" w:cs="Arial"/>
                <w:sz w:val="22"/>
                <w:szCs w:val="22"/>
              </w:rPr>
              <w:t>T</w:t>
            </w:r>
            <w:r w:rsidR="00CF5A48" w:rsidRPr="00B908D2">
              <w:rPr>
                <w:rFonts w:ascii="Arial" w:hAnsi="Arial" w:cs="Arial"/>
                <w:sz w:val="22"/>
                <w:szCs w:val="22"/>
              </w:rPr>
              <w:t xml:space="preserve">emporary Accommodation </w:t>
            </w:r>
            <w:r w:rsidR="00A23F0B">
              <w:rPr>
                <w:rFonts w:ascii="Arial" w:hAnsi="Arial" w:cs="Arial"/>
                <w:sz w:val="22"/>
                <w:szCs w:val="22"/>
              </w:rPr>
              <w:t>with the District.</w:t>
            </w:r>
            <w:r w:rsidR="00CF5A48" w:rsidRPr="00B908D2">
              <w:rPr>
                <w:rFonts w:ascii="Arial" w:hAnsi="Arial" w:cs="Arial"/>
                <w:sz w:val="22"/>
                <w:szCs w:val="22"/>
              </w:rPr>
              <w:t xml:space="preserve">  This scheme </w:t>
            </w:r>
            <w:r w:rsidR="00406DF6" w:rsidRPr="00B908D2">
              <w:rPr>
                <w:rFonts w:ascii="Arial" w:hAnsi="Arial" w:cs="Arial"/>
                <w:sz w:val="22"/>
                <w:szCs w:val="22"/>
              </w:rPr>
              <w:t xml:space="preserve">is </w:t>
            </w:r>
            <w:r w:rsidR="007E0F02">
              <w:rPr>
                <w:rFonts w:ascii="Arial" w:hAnsi="Arial" w:cs="Arial"/>
                <w:sz w:val="22"/>
                <w:szCs w:val="22"/>
              </w:rPr>
              <w:t>to</w:t>
            </w:r>
            <w:r w:rsidR="00CF5A48" w:rsidRPr="00B908D2">
              <w:rPr>
                <w:rFonts w:ascii="Arial" w:hAnsi="Arial" w:cs="Arial"/>
                <w:sz w:val="22"/>
                <w:szCs w:val="22"/>
              </w:rPr>
              <w:t xml:space="preserve"> commence until 2018/19.</w:t>
            </w:r>
          </w:p>
        </w:tc>
        <w:tc>
          <w:tcPr>
            <w:tcW w:w="1701" w:type="dxa"/>
            <w:vAlign w:val="center"/>
          </w:tcPr>
          <w:p w:rsidR="00891A71" w:rsidRPr="00B908D2" w:rsidRDefault="00CF5A48"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(800,000)</w:t>
            </w:r>
          </w:p>
        </w:tc>
      </w:tr>
      <w:tr w:rsidR="00891A71" w:rsidTr="003E1C7C">
        <w:trPr>
          <w:trHeight w:val="624"/>
        </w:trPr>
        <w:tc>
          <w:tcPr>
            <w:tcW w:w="817" w:type="dxa"/>
            <w:vAlign w:val="center"/>
          </w:tcPr>
          <w:p w:rsidR="00891A71" w:rsidRPr="00B908D2" w:rsidRDefault="00E303B0" w:rsidP="003E1C7C">
            <w:pPr>
              <w:tabs>
                <w:tab w:val="left" w:pos="3765"/>
              </w:tabs>
              <w:spacing w:after="160"/>
              <w:rPr>
                <w:rFonts w:ascii="Arial" w:hAnsi="Arial" w:cs="Arial"/>
                <w:sz w:val="22"/>
                <w:szCs w:val="22"/>
              </w:rPr>
            </w:pPr>
            <w:r w:rsidRPr="00B908D2">
              <w:rPr>
                <w:rFonts w:ascii="Arial" w:hAnsi="Arial" w:cs="Arial"/>
                <w:sz w:val="22"/>
                <w:szCs w:val="22"/>
              </w:rPr>
              <w:t>2</w:t>
            </w:r>
            <w:r w:rsidR="00E04358">
              <w:rPr>
                <w:rFonts w:ascii="Arial" w:hAnsi="Arial" w:cs="Arial"/>
                <w:sz w:val="22"/>
                <w:szCs w:val="22"/>
              </w:rPr>
              <w:t>.</w:t>
            </w:r>
          </w:p>
        </w:tc>
        <w:tc>
          <w:tcPr>
            <w:tcW w:w="7088" w:type="dxa"/>
            <w:vAlign w:val="center"/>
          </w:tcPr>
          <w:p w:rsidR="00CF5A48" w:rsidRPr="00B908D2" w:rsidRDefault="00780B33" w:rsidP="003E1C7C">
            <w:pPr>
              <w:rPr>
                <w:rFonts w:ascii="Arial" w:hAnsi="Arial" w:cs="Arial"/>
                <w:sz w:val="22"/>
                <w:szCs w:val="22"/>
              </w:rPr>
            </w:pPr>
            <w:r w:rsidRPr="00B908D2">
              <w:rPr>
                <w:rFonts w:ascii="Arial" w:hAnsi="Arial" w:cs="Arial"/>
                <w:sz w:val="22"/>
                <w:szCs w:val="22"/>
              </w:rPr>
              <w:t>Retail Parades. This scheme is</w:t>
            </w:r>
            <w:r w:rsidR="00A23F0B">
              <w:rPr>
                <w:rFonts w:ascii="Arial" w:hAnsi="Arial" w:cs="Arial"/>
                <w:sz w:val="22"/>
                <w:szCs w:val="22"/>
              </w:rPr>
              <w:t xml:space="preserve"> now</w:t>
            </w:r>
            <w:r w:rsidRPr="00B908D2">
              <w:rPr>
                <w:rFonts w:ascii="Arial" w:hAnsi="Arial" w:cs="Arial"/>
                <w:sz w:val="22"/>
                <w:szCs w:val="22"/>
              </w:rPr>
              <w:t xml:space="preserve"> expected to be implemented </w:t>
            </w:r>
            <w:r w:rsidR="00CF5A48" w:rsidRPr="00B908D2">
              <w:rPr>
                <w:rFonts w:ascii="Arial" w:hAnsi="Arial" w:cs="Arial"/>
                <w:sz w:val="22"/>
                <w:szCs w:val="22"/>
              </w:rPr>
              <w:t xml:space="preserve">in April 2018. </w:t>
            </w:r>
          </w:p>
        </w:tc>
        <w:tc>
          <w:tcPr>
            <w:tcW w:w="1701" w:type="dxa"/>
            <w:vAlign w:val="center"/>
          </w:tcPr>
          <w:p w:rsidR="00891A71" w:rsidRPr="00B908D2" w:rsidRDefault="00CF5A48"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(95,530)</w:t>
            </w:r>
          </w:p>
        </w:tc>
      </w:tr>
      <w:tr w:rsidR="00891A71" w:rsidTr="003E1C7C">
        <w:trPr>
          <w:trHeight w:val="916"/>
        </w:trPr>
        <w:tc>
          <w:tcPr>
            <w:tcW w:w="817" w:type="dxa"/>
            <w:vAlign w:val="center"/>
          </w:tcPr>
          <w:p w:rsidR="00891A71" w:rsidRPr="00B908D2" w:rsidRDefault="00E04358" w:rsidP="003E1C7C">
            <w:pPr>
              <w:tabs>
                <w:tab w:val="left" w:pos="3765"/>
              </w:tabs>
              <w:spacing w:after="160"/>
              <w:rPr>
                <w:rFonts w:ascii="Arial" w:hAnsi="Arial" w:cs="Arial"/>
                <w:sz w:val="22"/>
                <w:szCs w:val="22"/>
              </w:rPr>
            </w:pPr>
            <w:r>
              <w:rPr>
                <w:rFonts w:ascii="Arial" w:hAnsi="Arial" w:cs="Arial"/>
                <w:sz w:val="22"/>
                <w:szCs w:val="22"/>
              </w:rPr>
              <w:t>3.</w:t>
            </w:r>
          </w:p>
        </w:tc>
        <w:tc>
          <w:tcPr>
            <w:tcW w:w="7088" w:type="dxa"/>
            <w:vAlign w:val="center"/>
          </w:tcPr>
          <w:p w:rsidR="00891A71" w:rsidRPr="00B908D2" w:rsidRDefault="00780B33" w:rsidP="00A23F0B">
            <w:pPr>
              <w:rPr>
                <w:rFonts w:ascii="Arial" w:hAnsi="Arial" w:cs="Arial"/>
                <w:sz w:val="22"/>
                <w:szCs w:val="22"/>
              </w:rPr>
            </w:pPr>
            <w:r w:rsidRPr="00B908D2">
              <w:rPr>
                <w:rFonts w:ascii="Arial" w:hAnsi="Arial" w:cs="Arial"/>
                <w:sz w:val="22"/>
                <w:szCs w:val="22"/>
              </w:rPr>
              <w:t xml:space="preserve">Replacement of Grounds Maintenance Vehicles. The tendering process as begun, however, </w:t>
            </w:r>
            <w:r w:rsidR="00FD5B34">
              <w:rPr>
                <w:rFonts w:ascii="Arial" w:hAnsi="Arial" w:cs="Arial"/>
                <w:sz w:val="22"/>
                <w:szCs w:val="22"/>
              </w:rPr>
              <w:t>orders will</w:t>
            </w:r>
            <w:r w:rsidR="00863725">
              <w:rPr>
                <w:rFonts w:ascii="Arial" w:hAnsi="Arial" w:cs="Arial"/>
                <w:sz w:val="22"/>
                <w:szCs w:val="22"/>
              </w:rPr>
              <w:t xml:space="preserve"> </w:t>
            </w:r>
            <w:r w:rsidR="00A23F0B">
              <w:rPr>
                <w:rFonts w:ascii="Arial" w:hAnsi="Arial" w:cs="Arial"/>
                <w:sz w:val="22"/>
                <w:szCs w:val="22"/>
              </w:rPr>
              <w:t xml:space="preserve">not </w:t>
            </w:r>
            <w:r w:rsidRPr="00B908D2">
              <w:rPr>
                <w:rFonts w:ascii="Arial" w:hAnsi="Arial" w:cs="Arial"/>
                <w:sz w:val="22"/>
                <w:szCs w:val="22"/>
              </w:rPr>
              <w:t>be placed</w:t>
            </w:r>
            <w:r w:rsidR="00863725">
              <w:rPr>
                <w:rFonts w:ascii="Arial" w:hAnsi="Arial" w:cs="Arial"/>
                <w:sz w:val="22"/>
                <w:szCs w:val="22"/>
              </w:rPr>
              <w:t xml:space="preserve"> until 2018/19</w:t>
            </w:r>
            <w:r w:rsidRPr="00B908D2">
              <w:rPr>
                <w:rFonts w:ascii="Arial" w:hAnsi="Arial" w:cs="Arial"/>
                <w:sz w:val="22"/>
                <w:szCs w:val="22"/>
              </w:rPr>
              <w:t xml:space="preserve">. </w:t>
            </w:r>
          </w:p>
        </w:tc>
        <w:tc>
          <w:tcPr>
            <w:tcW w:w="1701" w:type="dxa"/>
            <w:vAlign w:val="center"/>
          </w:tcPr>
          <w:p w:rsidR="00891A71" w:rsidRPr="00B908D2" w:rsidRDefault="00780B33"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(163,860)</w:t>
            </w:r>
          </w:p>
        </w:tc>
      </w:tr>
      <w:tr w:rsidR="00891A71" w:rsidTr="003E1C7C">
        <w:trPr>
          <w:trHeight w:val="714"/>
        </w:trPr>
        <w:tc>
          <w:tcPr>
            <w:tcW w:w="817" w:type="dxa"/>
            <w:vAlign w:val="center"/>
          </w:tcPr>
          <w:p w:rsidR="00891A71" w:rsidRPr="00B908D2" w:rsidRDefault="00E04358" w:rsidP="003E1C7C">
            <w:pPr>
              <w:tabs>
                <w:tab w:val="left" w:pos="3765"/>
              </w:tabs>
              <w:spacing w:after="160"/>
              <w:rPr>
                <w:rFonts w:ascii="Arial" w:hAnsi="Arial" w:cs="Arial"/>
                <w:sz w:val="22"/>
                <w:szCs w:val="22"/>
              </w:rPr>
            </w:pPr>
            <w:r>
              <w:rPr>
                <w:rFonts w:ascii="Arial" w:hAnsi="Arial" w:cs="Arial"/>
                <w:sz w:val="22"/>
                <w:szCs w:val="22"/>
              </w:rPr>
              <w:lastRenderedPageBreak/>
              <w:t>4.</w:t>
            </w:r>
          </w:p>
        </w:tc>
        <w:tc>
          <w:tcPr>
            <w:tcW w:w="7088" w:type="dxa"/>
            <w:vAlign w:val="center"/>
          </w:tcPr>
          <w:p w:rsidR="00891A71" w:rsidRPr="00B908D2" w:rsidRDefault="00B908D2" w:rsidP="00A23F0B">
            <w:pPr>
              <w:rPr>
                <w:rFonts w:ascii="Arial" w:hAnsi="Arial" w:cs="Arial"/>
                <w:sz w:val="22"/>
                <w:szCs w:val="22"/>
              </w:rPr>
            </w:pPr>
            <w:r w:rsidRPr="00B908D2">
              <w:rPr>
                <w:rFonts w:ascii="Arial" w:hAnsi="Arial" w:cs="Arial"/>
                <w:sz w:val="22"/>
                <w:szCs w:val="22"/>
              </w:rPr>
              <w:t xml:space="preserve">New </w:t>
            </w:r>
            <w:r w:rsidR="00CF5A48" w:rsidRPr="00B908D2">
              <w:rPr>
                <w:rFonts w:ascii="Arial" w:hAnsi="Arial" w:cs="Arial"/>
                <w:sz w:val="22"/>
                <w:szCs w:val="22"/>
              </w:rPr>
              <w:t xml:space="preserve">Waste &amp; </w:t>
            </w:r>
            <w:r w:rsidR="00406DF6" w:rsidRPr="00B908D2">
              <w:rPr>
                <w:rFonts w:ascii="Arial" w:hAnsi="Arial" w:cs="Arial"/>
                <w:sz w:val="22"/>
                <w:szCs w:val="22"/>
              </w:rPr>
              <w:t>Recycling Vehicles</w:t>
            </w:r>
            <w:r w:rsidR="00CF5A48" w:rsidRPr="00B908D2">
              <w:rPr>
                <w:rFonts w:ascii="Arial" w:hAnsi="Arial" w:cs="Arial"/>
                <w:sz w:val="22"/>
                <w:szCs w:val="22"/>
              </w:rPr>
              <w:t xml:space="preserve">. </w:t>
            </w:r>
            <w:r w:rsidRPr="00B908D2">
              <w:rPr>
                <w:rFonts w:ascii="Arial" w:hAnsi="Arial" w:cs="Arial"/>
                <w:sz w:val="22"/>
                <w:szCs w:val="22"/>
              </w:rPr>
              <w:t xml:space="preserve">The </w:t>
            </w:r>
            <w:r w:rsidR="00A23F0B">
              <w:rPr>
                <w:rFonts w:ascii="Arial" w:hAnsi="Arial" w:cs="Arial"/>
                <w:sz w:val="22"/>
                <w:szCs w:val="22"/>
              </w:rPr>
              <w:t>tendering process has begun and options for vehicular solutions are being assessed, with the delivery (purchase)</w:t>
            </w:r>
            <w:r w:rsidRPr="00B908D2">
              <w:rPr>
                <w:rFonts w:ascii="Arial" w:hAnsi="Arial" w:cs="Arial"/>
                <w:sz w:val="22"/>
                <w:szCs w:val="22"/>
              </w:rPr>
              <w:t xml:space="preserve"> of new vehicles is expected to commence in 2018/</w:t>
            </w:r>
            <w:r w:rsidR="0010671E" w:rsidRPr="00B908D2">
              <w:rPr>
                <w:rFonts w:ascii="Arial" w:hAnsi="Arial" w:cs="Arial"/>
                <w:sz w:val="22"/>
                <w:szCs w:val="22"/>
              </w:rPr>
              <w:t>19.</w:t>
            </w:r>
          </w:p>
        </w:tc>
        <w:tc>
          <w:tcPr>
            <w:tcW w:w="1701" w:type="dxa"/>
            <w:vAlign w:val="center"/>
          </w:tcPr>
          <w:p w:rsidR="00891A71" w:rsidRPr="00B908D2" w:rsidRDefault="00CF5A48"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(323,970)</w:t>
            </w:r>
          </w:p>
        </w:tc>
      </w:tr>
      <w:tr w:rsidR="00891A71" w:rsidTr="003E1C7C">
        <w:tc>
          <w:tcPr>
            <w:tcW w:w="817" w:type="dxa"/>
            <w:vAlign w:val="center"/>
          </w:tcPr>
          <w:p w:rsidR="00891A71" w:rsidRPr="00B908D2" w:rsidRDefault="00E04358" w:rsidP="003E1C7C">
            <w:pPr>
              <w:tabs>
                <w:tab w:val="left" w:pos="3765"/>
              </w:tabs>
              <w:spacing w:after="160"/>
              <w:rPr>
                <w:rFonts w:ascii="Arial" w:hAnsi="Arial" w:cs="Arial"/>
                <w:sz w:val="22"/>
                <w:szCs w:val="22"/>
              </w:rPr>
            </w:pPr>
            <w:r>
              <w:rPr>
                <w:rFonts w:ascii="Arial" w:hAnsi="Arial" w:cs="Arial"/>
                <w:sz w:val="22"/>
                <w:szCs w:val="22"/>
              </w:rPr>
              <w:t>5.</w:t>
            </w:r>
          </w:p>
        </w:tc>
        <w:tc>
          <w:tcPr>
            <w:tcW w:w="7088" w:type="dxa"/>
            <w:vAlign w:val="center"/>
          </w:tcPr>
          <w:p w:rsidR="00B908D2" w:rsidRPr="00B908D2" w:rsidRDefault="00780B33" w:rsidP="004522A1">
            <w:pPr>
              <w:rPr>
                <w:rFonts w:ascii="Arial" w:hAnsi="Arial" w:cs="Arial"/>
                <w:sz w:val="22"/>
                <w:szCs w:val="22"/>
              </w:rPr>
            </w:pPr>
            <w:r w:rsidRPr="00B908D2">
              <w:rPr>
                <w:rFonts w:ascii="Arial" w:hAnsi="Arial" w:cs="Arial"/>
                <w:sz w:val="22"/>
                <w:szCs w:val="22"/>
              </w:rPr>
              <w:t xml:space="preserve">Cemetery Car Park. </w:t>
            </w:r>
            <w:r w:rsidR="00E572B1">
              <w:rPr>
                <w:rFonts w:ascii="Arial" w:hAnsi="Arial" w:cs="Arial"/>
                <w:sz w:val="22"/>
                <w:szCs w:val="22"/>
              </w:rPr>
              <w:t>Delayed due to p</w:t>
            </w:r>
            <w:r w:rsidRPr="00B908D2">
              <w:rPr>
                <w:rFonts w:ascii="Arial" w:hAnsi="Arial" w:cs="Arial"/>
                <w:sz w:val="22"/>
                <w:szCs w:val="22"/>
              </w:rPr>
              <w:t xml:space="preserve">lanning permission </w:t>
            </w:r>
            <w:r w:rsidR="00E572B1">
              <w:rPr>
                <w:rFonts w:ascii="Arial" w:hAnsi="Arial" w:cs="Arial"/>
                <w:sz w:val="22"/>
                <w:szCs w:val="22"/>
              </w:rPr>
              <w:t xml:space="preserve">which has </w:t>
            </w:r>
            <w:r w:rsidRPr="00B908D2">
              <w:rPr>
                <w:rFonts w:ascii="Arial" w:hAnsi="Arial" w:cs="Arial"/>
                <w:sz w:val="22"/>
                <w:szCs w:val="22"/>
              </w:rPr>
              <w:t>recently</w:t>
            </w:r>
            <w:r w:rsidR="004522A1">
              <w:rPr>
                <w:rFonts w:ascii="Arial" w:hAnsi="Arial" w:cs="Arial"/>
                <w:sz w:val="22"/>
                <w:szCs w:val="22"/>
              </w:rPr>
              <w:t xml:space="preserve"> been </w:t>
            </w:r>
            <w:r w:rsidRPr="00B908D2">
              <w:rPr>
                <w:rFonts w:ascii="Arial" w:hAnsi="Arial" w:cs="Arial"/>
                <w:sz w:val="22"/>
                <w:szCs w:val="22"/>
              </w:rPr>
              <w:t>granted and the scheme i</w:t>
            </w:r>
            <w:r w:rsidR="00B908D2" w:rsidRPr="00B908D2">
              <w:rPr>
                <w:rFonts w:ascii="Arial" w:hAnsi="Arial" w:cs="Arial"/>
                <w:sz w:val="22"/>
                <w:szCs w:val="22"/>
              </w:rPr>
              <w:t xml:space="preserve">s due to commence in 2018/19. </w:t>
            </w:r>
          </w:p>
        </w:tc>
        <w:tc>
          <w:tcPr>
            <w:tcW w:w="1701" w:type="dxa"/>
            <w:vAlign w:val="center"/>
          </w:tcPr>
          <w:p w:rsidR="00891A71" w:rsidRPr="00B908D2" w:rsidRDefault="00780B33"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(74,730)</w:t>
            </w:r>
          </w:p>
        </w:tc>
      </w:tr>
      <w:tr w:rsidR="00891A71" w:rsidTr="003E1C7C">
        <w:tc>
          <w:tcPr>
            <w:tcW w:w="817" w:type="dxa"/>
            <w:vAlign w:val="center"/>
          </w:tcPr>
          <w:p w:rsidR="00891A71" w:rsidRPr="00B908D2" w:rsidRDefault="00E04358" w:rsidP="003E1C7C">
            <w:pPr>
              <w:tabs>
                <w:tab w:val="left" w:pos="3765"/>
              </w:tabs>
              <w:spacing w:after="160"/>
              <w:rPr>
                <w:rFonts w:ascii="Arial" w:hAnsi="Arial" w:cs="Arial"/>
                <w:sz w:val="22"/>
                <w:szCs w:val="22"/>
              </w:rPr>
            </w:pPr>
            <w:r>
              <w:rPr>
                <w:rFonts w:ascii="Arial" w:hAnsi="Arial" w:cs="Arial"/>
                <w:sz w:val="22"/>
                <w:szCs w:val="22"/>
              </w:rPr>
              <w:t>6.</w:t>
            </w:r>
          </w:p>
        </w:tc>
        <w:tc>
          <w:tcPr>
            <w:tcW w:w="7088" w:type="dxa"/>
            <w:vAlign w:val="center"/>
          </w:tcPr>
          <w:p w:rsidR="00891A71" w:rsidRPr="00B908D2" w:rsidRDefault="00CF5A48" w:rsidP="007E0F02">
            <w:pPr>
              <w:tabs>
                <w:tab w:val="left" w:pos="3765"/>
              </w:tabs>
              <w:spacing w:after="160"/>
              <w:rPr>
                <w:rFonts w:ascii="Arial" w:hAnsi="Arial" w:cs="Arial"/>
                <w:sz w:val="22"/>
                <w:szCs w:val="22"/>
              </w:rPr>
            </w:pPr>
            <w:r w:rsidRPr="00B908D2">
              <w:rPr>
                <w:rFonts w:ascii="Arial" w:hAnsi="Arial" w:cs="Arial"/>
                <w:sz w:val="22"/>
                <w:szCs w:val="22"/>
              </w:rPr>
              <w:t xml:space="preserve">ICT Hardware Replacement. </w:t>
            </w:r>
            <w:r w:rsidRPr="00B908D2">
              <w:rPr>
                <w:rFonts w:ascii="Arial" w:hAnsi="Arial" w:cs="Arial"/>
                <w:bCs/>
                <w:sz w:val="22"/>
                <w:szCs w:val="22"/>
              </w:rPr>
              <w:t xml:space="preserve">This will be spent on core infrastructure transformation </w:t>
            </w:r>
            <w:r w:rsidR="00B908D2" w:rsidRPr="00B908D2">
              <w:rPr>
                <w:rFonts w:ascii="Arial" w:hAnsi="Arial" w:cs="Arial"/>
                <w:bCs/>
                <w:sz w:val="22"/>
                <w:szCs w:val="22"/>
              </w:rPr>
              <w:t xml:space="preserve">in </w:t>
            </w:r>
            <w:r w:rsidRPr="00B908D2">
              <w:rPr>
                <w:rFonts w:ascii="Arial" w:hAnsi="Arial" w:cs="Arial"/>
                <w:bCs/>
                <w:sz w:val="22"/>
                <w:szCs w:val="22"/>
              </w:rPr>
              <w:t>2018/19.</w:t>
            </w:r>
          </w:p>
        </w:tc>
        <w:tc>
          <w:tcPr>
            <w:tcW w:w="1701" w:type="dxa"/>
            <w:vAlign w:val="center"/>
          </w:tcPr>
          <w:p w:rsidR="00891A71" w:rsidRPr="00B908D2" w:rsidRDefault="00CF5A48"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(40,000)</w:t>
            </w:r>
          </w:p>
        </w:tc>
      </w:tr>
      <w:tr w:rsidR="00B908D2" w:rsidTr="003E1C7C">
        <w:tc>
          <w:tcPr>
            <w:tcW w:w="817" w:type="dxa"/>
            <w:vAlign w:val="center"/>
          </w:tcPr>
          <w:p w:rsidR="00B908D2" w:rsidRPr="00B908D2" w:rsidRDefault="00E04358" w:rsidP="003E1C7C">
            <w:pPr>
              <w:tabs>
                <w:tab w:val="left" w:pos="3765"/>
              </w:tabs>
              <w:spacing w:after="160"/>
              <w:rPr>
                <w:rFonts w:ascii="Arial" w:hAnsi="Arial" w:cs="Arial"/>
                <w:sz w:val="22"/>
                <w:szCs w:val="22"/>
              </w:rPr>
            </w:pPr>
            <w:r>
              <w:rPr>
                <w:rFonts w:ascii="Arial" w:hAnsi="Arial" w:cs="Arial"/>
                <w:sz w:val="22"/>
                <w:szCs w:val="22"/>
              </w:rPr>
              <w:t>7.</w:t>
            </w:r>
          </w:p>
        </w:tc>
        <w:tc>
          <w:tcPr>
            <w:tcW w:w="7088" w:type="dxa"/>
            <w:vAlign w:val="center"/>
          </w:tcPr>
          <w:p w:rsidR="00B908D2" w:rsidRPr="00B908D2" w:rsidRDefault="00B908D2" w:rsidP="007E0F02">
            <w:pPr>
              <w:tabs>
                <w:tab w:val="left" w:pos="1145"/>
              </w:tabs>
              <w:spacing w:after="160"/>
              <w:rPr>
                <w:rFonts w:ascii="Arial" w:hAnsi="Arial" w:cs="Arial"/>
                <w:bCs/>
                <w:sz w:val="22"/>
                <w:szCs w:val="22"/>
              </w:rPr>
            </w:pPr>
            <w:r w:rsidRPr="00B908D2">
              <w:rPr>
                <w:rFonts w:ascii="Arial" w:hAnsi="Arial" w:cs="Arial"/>
                <w:sz w:val="22"/>
                <w:szCs w:val="22"/>
              </w:rPr>
              <w:t>ICT Modernisation</w:t>
            </w:r>
            <w:r w:rsidR="007E0F02">
              <w:rPr>
                <w:rFonts w:ascii="Arial" w:hAnsi="Arial" w:cs="Arial"/>
                <w:sz w:val="22"/>
                <w:szCs w:val="22"/>
              </w:rPr>
              <w:t xml:space="preserve"> –</w:t>
            </w:r>
            <w:r w:rsidRPr="00B908D2">
              <w:rPr>
                <w:rFonts w:ascii="Arial" w:hAnsi="Arial" w:cs="Arial"/>
                <w:sz w:val="22"/>
                <w:szCs w:val="22"/>
              </w:rPr>
              <w:t xml:space="preserve"> </w:t>
            </w:r>
            <w:r w:rsidR="007E0F02">
              <w:rPr>
                <w:rFonts w:ascii="Arial" w:hAnsi="Arial" w:cs="Arial"/>
                <w:sz w:val="22"/>
                <w:szCs w:val="22"/>
              </w:rPr>
              <w:t>Delay has meant that t</w:t>
            </w:r>
            <w:r w:rsidRPr="00B908D2">
              <w:rPr>
                <w:rFonts w:ascii="Arial" w:hAnsi="Arial" w:cs="Arial"/>
                <w:sz w:val="22"/>
                <w:szCs w:val="22"/>
              </w:rPr>
              <w:t xml:space="preserve">his will be incurred in 2018/19. </w:t>
            </w:r>
          </w:p>
        </w:tc>
        <w:tc>
          <w:tcPr>
            <w:tcW w:w="1701" w:type="dxa"/>
            <w:vAlign w:val="center"/>
          </w:tcPr>
          <w:p w:rsidR="00B908D2" w:rsidRPr="00B908D2" w:rsidRDefault="00B908D2"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(60,000)</w:t>
            </w:r>
          </w:p>
        </w:tc>
      </w:tr>
      <w:tr w:rsidR="00CF5A48" w:rsidTr="003E1C7C">
        <w:tc>
          <w:tcPr>
            <w:tcW w:w="817" w:type="dxa"/>
            <w:vAlign w:val="center"/>
          </w:tcPr>
          <w:p w:rsidR="00CF5A48" w:rsidRPr="00B908D2" w:rsidRDefault="00E04358" w:rsidP="003E1C7C">
            <w:pPr>
              <w:tabs>
                <w:tab w:val="left" w:pos="3765"/>
              </w:tabs>
              <w:spacing w:after="160"/>
              <w:rPr>
                <w:rFonts w:ascii="Arial" w:hAnsi="Arial" w:cs="Arial"/>
                <w:sz w:val="22"/>
                <w:szCs w:val="22"/>
              </w:rPr>
            </w:pPr>
            <w:r>
              <w:rPr>
                <w:rFonts w:ascii="Arial" w:hAnsi="Arial" w:cs="Arial"/>
                <w:sz w:val="22"/>
                <w:szCs w:val="22"/>
              </w:rPr>
              <w:t>8.</w:t>
            </w:r>
          </w:p>
        </w:tc>
        <w:tc>
          <w:tcPr>
            <w:tcW w:w="7088" w:type="dxa"/>
            <w:vAlign w:val="center"/>
          </w:tcPr>
          <w:p w:rsidR="00CF5A48" w:rsidRPr="00B908D2" w:rsidRDefault="00B908D2" w:rsidP="007E0F02">
            <w:pPr>
              <w:tabs>
                <w:tab w:val="left" w:pos="3765"/>
              </w:tabs>
              <w:spacing w:after="160"/>
              <w:rPr>
                <w:rFonts w:ascii="Arial" w:hAnsi="Arial" w:cs="Arial"/>
                <w:bCs/>
                <w:sz w:val="22"/>
                <w:szCs w:val="22"/>
              </w:rPr>
            </w:pPr>
            <w:r w:rsidRPr="00B908D2">
              <w:rPr>
                <w:rFonts w:ascii="Arial" w:hAnsi="Arial" w:cs="Arial"/>
                <w:bCs/>
                <w:sz w:val="22"/>
                <w:szCs w:val="22"/>
              </w:rPr>
              <w:t>T</w:t>
            </w:r>
            <w:r w:rsidR="00863725">
              <w:rPr>
                <w:rFonts w:ascii="Arial" w:hAnsi="Arial" w:cs="Arial"/>
                <w:bCs/>
                <w:sz w:val="22"/>
                <w:szCs w:val="22"/>
              </w:rPr>
              <w:t xml:space="preserve">hree </w:t>
            </w:r>
            <w:r w:rsidRPr="00B908D2">
              <w:rPr>
                <w:rFonts w:ascii="Arial" w:hAnsi="Arial" w:cs="Arial"/>
                <w:bCs/>
                <w:sz w:val="22"/>
                <w:szCs w:val="22"/>
              </w:rPr>
              <w:t>R</w:t>
            </w:r>
            <w:r w:rsidR="00863725">
              <w:rPr>
                <w:rFonts w:ascii="Arial" w:hAnsi="Arial" w:cs="Arial"/>
                <w:bCs/>
                <w:sz w:val="22"/>
                <w:szCs w:val="22"/>
              </w:rPr>
              <w:t xml:space="preserve">ivers </w:t>
            </w:r>
            <w:r w:rsidRPr="00B908D2">
              <w:rPr>
                <w:rFonts w:ascii="Arial" w:hAnsi="Arial" w:cs="Arial"/>
                <w:bCs/>
                <w:sz w:val="22"/>
                <w:szCs w:val="22"/>
              </w:rPr>
              <w:t>H</w:t>
            </w:r>
            <w:r w:rsidR="00863725">
              <w:rPr>
                <w:rFonts w:ascii="Arial" w:hAnsi="Arial" w:cs="Arial"/>
                <w:bCs/>
                <w:sz w:val="22"/>
                <w:szCs w:val="22"/>
              </w:rPr>
              <w:t>ouse</w:t>
            </w:r>
            <w:r w:rsidRPr="00B908D2">
              <w:rPr>
                <w:rFonts w:ascii="Arial" w:hAnsi="Arial" w:cs="Arial"/>
                <w:bCs/>
                <w:sz w:val="22"/>
                <w:szCs w:val="22"/>
              </w:rPr>
              <w:t xml:space="preserve"> Whole Life Costing</w:t>
            </w:r>
            <w:r w:rsidR="007E0F02">
              <w:rPr>
                <w:rFonts w:ascii="Arial" w:hAnsi="Arial" w:cs="Arial"/>
                <w:bCs/>
                <w:sz w:val="22"/>
                <w:szCs w:val="22"/>
              </w:rPr>
              <w:t xml:space="preserve"> - to be</w:t>
            </w:r>
            <w:r w:rsidR="00863725">
              <w:rPr>
                <w:rFonts w:ascii="Arial" w:hAnsi="Arial" w:cs="Arial"/>
                <w:bCs/>
                <w:sz w:val="22"/>
                <w:szCs w:val="22"/>
              </w:rPr>
              <w:t xml:space="preserve"> re</w:t>
            </w:r>
            <w:r w:rsidR="004522A1">
              <w:rPr>
                <w:rFonts w:ascii="Arial" w:hAnsi="Arial" w:cs="Arial"/>
                <w:bCs/>
                <w:sz w:val="22"/>
                <w:szCs w:val="22"/>
              </w:rPr>
              <w:t>-</w:t>
            </w:r>
            <w:r w:rsidR="00863725">
              <w:rPr>
                <w:rFonts w:ascii="Arial" w:hAnsi="Arial" w:cs="Arial"/>
                <w:bCs/>
                <w:sz w:val="22"/>
                <w:szCs w:val="22"/>
              </w:rPr>
              <w:t>phased to 2018/19.</w:t>
            </w:r>
          </w:p>
        </w:tc>
        <w:tc>
          <w:tcPr>
            <w:tcW w:w="1701" w:type="dxa"/>
            <w:vAlign w:val="center"/>
          </w:tcPr>
          <w:p w:rsidR="00CF5A48" w:rsidRPr="00B908D2" w:rsidRDefault="00CF5A48"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(41,000)</w:t>
            </w:r>
          </w:p>
        </w:tc>
      </w:tr>
      <w:tr w:rsidR="00B908D2" w:rsidTr="003E1C7C">
        <w:tc>
          <w:tcPr>
            <w:tcW w:w="817" w:type="dxa"/>
            <w:vAlign w:val="center"/>
          </w:tcPr>
          <w:p w:rsidR="00B908D2" w:rsidRPr="00B908D2" w:rsidRDefault="00E04358" w:rsidP="003E1C7C">
            <w:pPr>
              <w:tabs>
                <w:tab w:val="left" w:pos="3765"/>
              </w:tabs>
              <w:spacing w:after="160"/>
              <w:rPr>
                <w:rFonts w:ascii="Arial" w:hAnsi="Arial" w:cs="Arial"/>
                <w:sz w:val="22"/>
                <w:szCs w:val="22"/>
              </w:rPr>
            </w:pPr>
            <w:r>
              <w:rPr>
                <w:rFonts w:ascii="Arial" w:hAnsi="Arial" w:cs="Arial"/>
                <w:sz w:val="22"/>
                <w:szCs w:val="22"/>
              </w:rPr>
              <w:t>9.</w:t>
            </w:r>
          </w:p>
        </w:tc>
        <w:tc>
          <w:tcPr>
            <w:tcW w:w="7088" w:type="dxa"/>
            <w:vAlign w:val="center"/>
          </w:tcPr>
          <w:p w:rsidR="00B908D2" w:rsidRPr="00B908D2" w:rsidRDefault="00B908D2" w:rsidP="007E0F02">
            <w:pPr>
              <w:tabs>
                <w:tab w:val="left" w:pos="3765"/>
              </w:tabs>
              <w:spacing w:after="160"/>
              <w:rPr>
                <w:rFonts w:ascii="Arial" w:hAnsi="Arial" w:cs="Arial"/>
                <w:bCs/>
                <w:sz w:val="22"/>
                <w:szCs w:val="22"/>
              </w:rPr>
            </w:pPr>
            <w:r w:rsidRPr="00B908D2">
              <w:rPr>
                <w:rFonts w:ascii="Arial" w:hAnsi="Arial" w:cs="Arial"/>
                <w:bCs/>
                <w:sz w:val="22"/>
                <w:szCs w:val="22"/>
              </w:rPr>
              <w:t>Play Project due to be delivered in April / May 2018</w:t>
            </w:r>
            <w:r w:rsidR="00863725">
              <w:rPr>
                <w:rFonts w:ascii="Arial" w:hAnsi="Arial" w:cs="Arial"/>
                <w:bCs/>
                <w:sz w:val="22"/>
                <w:szCs w:val="22"/>
              </w:rPr>
              <w:t xml:space="preserve"> </w:t>
            </w:r>
          </w:p>
        </w:tc>
        <w:tc>
          <w:tcPr>
            <w:tcW w:w="1701" w:type="dxa"/>
            <w:vAlign w:val="center"/>
          </w:tcPr>
          <w:p w:rsidR="00B908D2" w:rsidRPr="00B908D2" w:rsidRDefault="00B908D2" w:rsidP="00311200">
            <w:pPr>
              <w:tabs>
                <w:tab w:val="left" w:pos="3765"/>
              </w:tabs>
              <w:spacing w:after="160"/>
              <w:jc w:val="center"/>
              <w:rPr>
                <w:rFonts w:ascii="Arial" w:hAnsi="Arial" w:cs="Arial"/>
                <w:color w:val="0000FF"/>
                <w:sz w:val="22"/>
                <w:szCs w:val="22"/>
              </w:rPr>
            </w:pPr>
            <w:r w:rsidRPr="00B908D2">
              <w:rPr>
                <w:rFonts w:ascii="Arial" w:hAnsi="Arial" w:cs="Arial"/>
                <w:color w:val="0000FF"/>
                <w:sz w:val="22"/>
                <w:szCs w:val="22"/>
              </w:rPr>
              <w:t>(45,420)</w:t>
            </w:r>
          </w:p>
        </w:tc>
      </w:tr>
      <w:tr w:rsidR="001E2D2A" w:rsidTr="003E1C7C">
        <w:tc>
          <w:tcPr>
            <w:tcW w:w="817" w:type="dxa"/>
            <w:vAlign w:val="center"/>
          </w:tcPr>
          <w:p w:rsidR="001E2D2A" w:rsidRPr="001E2D2A" w:rsidRDefault="001E2D2A" w:rsidP="003E1C7C">
            <w:pPr>
              <w:tabs>
                <w:tab w:val="left" w:pos="3765"/>
              </w:tabs>
              <w:spacing w:after="160"/>
              <w:rPr>
                <w:rFonts w:ascii="Arial" w:hAnsi="Arial" w:cs="Arial"/>
                <w:sz w:val="22"/>
              </w:rPr>
            </w:pPr>
            <w:r w:rsidRPr="001E2D2A">
              <w:rPr>
                <w:rFonts w:ascii="Arial" w:hAnsi="Arial" w:cs="Arial"/>
                <w:sz w:val="22"/>
              </w:rPr>
              <w:t>10.</w:t>
            </w:r>
          </w:p>
        </w:tc>
        <w:tc>
          <w:tcPr>
            <w:tcW w:w="7088" w:type="dxa"/>
            <w:vAlign w:val="center"/>
          </w:tcPr>
          <w:p w:rsidR="001E2D2A" w:rsidRPr="001E2D2A" w:rsidRDefault="001E2D2A" w:rsidP="004522A1">
            <w:pPr>
              <w:tabs>
                <w:tab w:val="left" w:pos="3765"/>
              </w:tabs>
              <w:spacing w:after="160"/>
              <w:rPr>
                <w:rFonts w:ascii="Arial" w:hAnsi="Arial" w:cs="Arial"/>
                <w:bCs/>
                <w:sz w:val="22"/>
              </w:rPr>
            </w:pPr>
            <w:r w:rsidRPr="001E2D2A">
              <w:rPr>
                <w:rFonts w:ascii="Arial" w:hAnsi="Arial" w:cs="Arial"/>
                <w:bCs/>
                <w:sz w:val="22"/>
              </w:rPr>
              <w:t>Car Park Restoration</w:t>
            </w:r>
            <w:r w:rsidR="007E0F02">
              <w:rPr>
                <w:rFonts w:ascii="Arial" w:hAnsi="Arial" w:cs="Arial"/>
                <w:bCs/>
                <w:sz w:val="22"/>
              </w:rPr>
              <w:t xml:space="preserve"> – </w:t>
            </w:r>
            <w:r w:rsidR="004522A1">
              <w:rPr>
                <w:rFonts w:ascii="Arial" w:hAnsi="Arial" w:cs="Arial"/>
                <w:bCs/>
                <w:sz w:val="22"/>
              </w:rPr>
              <w:t xml:space="preserve">work already </w:t>
            </w:r>
            <w:r w:rsidR="004522A1" w:rsidRPr="001E2D2A">
              <w:rPr>
                <w:rFonts w:ascii="Arial" w:hAnsi="Arial" w:cs="Arial"/>
                <w:bCs/>
                <w:sz w:val="22"/>
              </w:rPr>
              <w:t>commence</w:t>
            </w:r>
            <w:r w:rsidR="004522A1">
              <w:rPr>
                <w:rFonts w:ascii="Arial" w:hAnsi="Arial" w:cs="Arial"/>
                <w:bCs/>
                <w:sz w:val="22"/>
              </w:rPr>
              <w:t xml:space="preserve">d and due to </w:t>
            </w:r>
            <w:r w:rsidR="007E0F02">
              <w:rPr>
                <w:rFonts w:ascii="Arial" w:hAnsi="Arial" w:cs="Arial"/>
                <w:bCs/>
                <w:sz w:val="22"/>
              </w:rPr>
              <w:t>complet</w:t>
            </w:r>
            <w:r w:rsidR="004522A1">
              <w:rPr>
                <w:rFonts w:ascii="Arial" w:hAnsi="Arial" w:cs="Arial"/>
                <w:bCs/>
                <w:sz w:val="22"/>
              </w:rPr>
              <w:t>e</w:t>
            </w:r>
            <w:r w:rsidR="007E0F02">
              <w:rPr>
                <w:rFonts w:ascii="Arial" w:hAnsi="Arial" w:cs="Arial"/>
                <w:bCs/>
                <w:sz w:val="22"/>
              </w:rPr>
              <w:t xml:space="preserve"> </w:t>
            </w:r>
            <w:r w:rsidRPr="001E2D2A">
              <w:rPr>
                <w:rFonts w:ascii="Arial" w:hAnsi="Arial" w:cs="Arial"/>
                <w:bCs/>
                <w:sz w:val="22"/>
              </w:rPr>
              <w:t xml:space="preserve">in 2018/19. </w:t>
            </w:r>
          </w:p>
        </w:tc>
        <w:tc>
          <w:tcPr>
            <w:tcW w:w="1701" w:type="dxa"/>
            <w:vAlign w:val="center"/>
          </w:tcPr>
          <w:p w:rsidR="001E2D2A" w:rsidRPr="007E0F02" w:rsidRDefault="001E2D2A" w:rsidP="00311200">
            <w:pPr>
              <w:tabs>
                <w:tab w:val="left" w:pos="3765"/>
              </w:tabs>
              <w:spacing w:after="160"/>
              <w:jc w:val="center"/>
              <w:rPr>
                <w:rFonts w:ascii="Arial" w:hAnsi="Arial" w:cs="Arial"/>
                <w:color w:val="0000FF"/>
                <w:sz w:val="22"/>
                <w:szCs w:val="22"/>
              </w:rPr>
            </w:pPr>
            <w:r w:rsidRPr="007E0F02">
              <w:rPr>
                <w:rFonts w:ascii="Arial" w:hAnsi="Arial" w:cs="Arial"/>
                <w:color w:val="0000FF"/>
                <w:sz w:val="22"/>
                <w:szCs w:val="22"/>
              </w:rPr>
              <w:t>(30,000)</w:t>
            </w:r>
          </w:p>
        </w:tc>
      </w:tr>
      <w:tr w:rsidR="00CF5A48" w:rsidTr="003E1C7C">
        <w:tc>
          <w:tcPr>
            <w:tcW w:w="817" w:type="dxa"/>
            <w:vAlign w:val="center"/>
          </w:tcPr>
          <w:p w:rsidR="001E2D2A" w:rsidRPr="00B908D2" w:rsidRDefault="00E04358" w:rsidP="003E1C7C">
            <w:pPr>
              <w:tabs>
                <w:tab w:val="left" w:pos="3765"/>
              </w:tabs>
              <w:spacing w:after="160"/>
              <w:rPr>
                <w:rFonts w:ascii="Arial" w:hAnsi="Arial" w:cs="Arial"/>
                <w:sz w:val="22"/>
                <w:szCs w:val="22"/>
              </w:rPr>
            </w:pPr>
            <w:r>
              <w:rPr>
                <w:rFonts w:ascii="Arial" w:hAnsi="Arial" w:cs="Arial"/>
                <w:sz w:val="22"/>
                <w:szCs w:val="22"/>
              </w:rPr>
              <w:t>1</w:t>
            </w:r>
            <w:r w:rsidR="001E2D2A">
              <w:rPr>
                <w:rFonts w:ascii="Arial" w:hAnsi="Arial" w:cs="Arial"/>
                <w:sz w:val="22"/>
                <w:szCs w:val="22"/>
              </w:rPr>
              <w:t>1.</w:t>
            </w:r>
          </w:p>
        </w:tc>
        <w:tc>
          <w:tcPr>
            <w:tcW w:w="7088" w:type="dxa"/>
            <w:vAlign w:val="center"/>
          </w:tcPr>
          <w:p w:rsidR="00CF5A48" w:rsidRPr="00B908D2" w:rsidRDefault="004522A1" w:rsidP="004522A1">
            <w:pPr>
              <w:tabs>
                <w:tab w:val="left" w:pos="3765"/>
              </w:tabs>
              <w:spacing w:after="160"/>
              <w:rPr>
                <w:rFonts w:ascii="Arial" w:hAnsi="Arial" w:cs="Arial"/>
                <w:bCs/>
                <w:sz w:val="22"/>
                <w:szCs w:val="22"/>
              </w:rPr>
            </w:pPr>
            <w:r>
              <w:rPr>
                <w:rFonts w:ascii="Arial" w:hAnsi="Arial" w:cs="Arial"/>
                <w:bCs/>
                <w:sz w:val="22"/>
                <w:szCs w:val="22"/>
              </w:rPr>
              <w:t>Total of o</w:t>
            </w:r>
            <w:r w:rsidR="00CF5A48" w:rsidRPr="00B908D2">
              <w:rPr>
                <w:rFonts w:ascii="Arial" w:hAnsi="Arial" w:cs="Arial"/>
                <w:bCs/>
                <w:sz w:val="22"/>
                <w:szCs w:val="22"/>
              </w:rPr>
              <w:t xml:space="preserve">ther </w:t>
            </w:r>
            <w:r>
              <w:rPr>
                <w:rFonts w:ascii="Arial" w:hAnsi="Arial" w:cs="Arial"/>
                <w:bCs/>
                <w:sz w:val="22"/>
                <w:szCs w:val="22"/>
              </w:rPr>
              <w:t>v</w:t>
            </w:r>
            <w:r w:rsidR="00CF5A48" w:rsidRPr="00B908D2">
              <w:rPr>
                <w:rFonts w:ascii="Arial" w:hAnsi="Arial" w:cs="Arial"/>
                <w:bCs/>
                <w:sz w:val="22"/>
                <w:szCs w:val="22"/>
              </w:rPr>
              <w:t>ariances</w:t>
            </w:r>
            <w:r w:rsidR="0010671E">
              <w:rPr>
                <w:rFonts w:ascii="Arial" w:hAnsi="Arial" w:cs="Arial"/>
                <w:bCs/>
                <w:sz w:val="22"/>
                <w:szCs w:val="22"/>
              </w:rPr>
              <w:t xml:space="preserve"> below £20,000</w:t>
            </w:r>
            <w:r w:rsidR="007E0F02">
              <w:rPr>
                <w:rFonts w:ascii="Arial" w:hAnsi="Arial" w:cs="Arial"/>
                <w:bCs/>
                <w:sz w:val="22"/>
                <w:szCs w:val="22"/>
              </w:rPr>
              <w:t>.</w:t>
            </w:r>
          </w:p>
        </w:tc>
        <w:tc>
          <w:tcPr>
            <w:tcW w:w="1701" w:type="dxa"/>
            <w:vAlign w:val="center"/>
          </w:tcPr>
          <w:p w:rsidR="00CF5A48" w:rsidRPr="00B908D2" w:rsidRDefault="00AD3C0B" w:rsidP="00AD3C0B">
            <w:pPr>
              <w:tabs>
                <w:tab w:val="left" w:pos="3765"/>
              </w:tabs>
              <w:spacing w:after="160"/>
              <w:jc w:val="center"/>
              <w:rPr>
                <w:rFonts w:ascii="Arial" w:hAnsi="Arial" w:cs="Arial"/>
                <w:sz w:val="22"/>
                <w:szCs w:val="22"/>
              </w:rPr>
            </w:pPr>
            <w:r>
              <w:rPr>
                <w:rFonts w:ascii="Arial" w:hAnsi="Arial" w:cs="Arial"/>
                <w:color w:val="0000FF"/>
                <w:sz w:val="22"/>
                <w:szCs w:val="22"/>
              </w:rPr>
              <w:t>(7</w:t>
            </w:r>
            <w:r w:rsidR="00B908D2" w:rsidRPr="00726F90">
              <w:rPr>
                <w:rFonts w:ascii="Arial" w:hAnsi="Arial" w:cs="Arial"/>
                <w:color w:val="0000FF"/>
                <w:sz w:val="22"/>
                <w:szCs w:val="22"/>
              </w:rPr>
              <w:t>5,</w:t>
            </w:r>
            <w:r>
              <w:rPr>
                <w:rFonts w:ascii="Arial" w:hAnsi="Arial" w:cs="Arial"/>
                <w:color w:val="0000FF"/>
                <w:sz w:val="22"/>
                <w:szCs w:val="22"/>
              </w:rPr>
              <w:t>050</w:t>
            </w:r>
            <w:r w:rsidR="00B908D2" w:rsidRPr="00726F90">
              <w:rPr>
                <w:rFonts w:ascii="Arial" w:hAnsi="Arial" w:cs="Arial"/>
                <w:color w:val="0000FF"/>
                <w:sz w:val="22"/>
                <w:szCs w:val="22"/>
              </w:rPr>
              <w:t>)</w:t>
            </w:r>
          </w:p>
        </w:tc>
      </w:tr>
      <w:tr w:rsidR="00E04358" w:rsidTr="003E1C7C">
        <w:trPr>
          <w:trHeight w:val="876"/>
        </w:trPr>
        <w:tc>
          <w:tcPr>
            <w:tcW w:w="817" w:type="dxa"/>
            <w:vAlign w:val="center"/>
          </w:tcPr>
          <w:p w:rsidR="00E04358" w:rsidRPr="00B908D2" w:rsidRDefault="001E2D2A" w:rsidP="003E1C7C">
            <w:pPr>
              <w:tabs>
                <w:tab w:val="left" w:pos="3765"/>
              </w:tabs>
              <w:spacing w:after="160"/>
              <w:rPr>
                <w:rFonts w:ascii="Arial" w:hAnsi="Arial" w:cs="Arial"/>
              </w:rPr>
            </w:pPr>
            <w:r>
              <w:rPr>
                <w:rFonts w:ascii="Arial" w:hAnsi="Arial" w:cs="Arial"/>
                <w:sz w:val="22"/>
              </w:rPr>
              <w:t>12.</w:t>
            </w:r>
          </w:p>
        </w:tc>
        <w:tc>
          <w:tcPr>
            <w:tcW w:w="7088" w:type="dxa"/>
            <w:vAlign w:val="center"/>
          </w:tcPr>
          <w:p w:rsidR="00E04358" w:rsidRPr="00AE0EF0" w:rsidRDefault="004522A1" w:rsidP="004522A1">
            <w:pPr>
              <w:rPr>
                <w:rFonts w:ascii="Arial" w:hAnsi="Arial" w:cs="Arial"/>
                <w:sz w:val="22"/>
                <w:szCs w:val="22"/>
              </w:rPr>
            </w:pPr>
            <w:r>
              <w:rPr>
                <w:rFonts w:ascii="Arial" w:hAnsi="Arial" w:cs="Arial"/>
                <w:sz w:val="22"/>
                <w:szCs w:val="22"/>
              </w:rPr>
              <w:t>Drawdown of investment budget in</w:t>
            </w:r>
            <w:r w:rsidR="007E0F02" w:rsidRPr="00AE0EF0">
              <w:rPr>
                <w:rFonts w:ascii="Arial" w:hAnsi="Arial" w:cs="Arial"/>
                <w:sz w:val="22"/>
                <w:szCs w:val="22"/>
              </w:rPr>
              <w:t>to</w:t>
            </w:r>
            <w:r w:rsidR="00E04358" w:rsidRPr="00AE0EF0">
              <w:rPr>
                <w:rFonts w:ascii="Arial" w:hAnsi="Arial" w:cs="Arial"/>
                <w:sz w:val="22"/>
                <w:szCs w:val="22"/>
              </w:rPr>
              <w:t xml:space="preserve"> 2017/18 for a loan to Three Rivers Homes </w:t>
            </w:r>
            <w:r>
              <w:rPr>
                <w:rFonts w:ascii="Arial" w:hAnsi="Arial" w:cs="Arial"/>
                <w:sz w:val="22"/>
                <w:szCs w:val="22"/>
              </w:rPr>
              <w:t xml:space="preserve">Limited – this loan is to support </w:t>
            </w:r>
            <w:r w:rsidR="00E04358" w:rsidRPr="00AE0EF0">
              <w:rPr>
                <w:rFonts w:ascii="Arial" w:hAnsi="Arial" w:cs="Arial"/>
                <w:sz w:val="22"/>
                <w:szCs w:val="22"/>
              </w:rPr>
              <w:t>work</w:t>
            </w:r>
            <w:r>
              <w:rPr>
                <w:rFonts w:ascii="Arial" w:hAnsi="Arial" w:cs="Arial"/>
                <w:sz w:val="22"/>
                <w:szCs w:val="22"/>
              </w:rPr>
              <w:t>s</w:t>
            </w:r>
            <w:r w:rsidR="00E04358" w:rsidRPr="00AE0EF0">
              <w:rPr>
                <w:rFonts w:ascii="Arial" w:hAnsi="Arial" w:cs="Arial"/>
                <w:sz w:val="22"/>
                <w:szCs w:val="22"/>
              </w:rPr>
              <w:t xml:space="preserve"> to</w:t>
            </w:r>
            <w:r w:rsidR="00FD5B34">
              <w:rPr>
                <w:rFonts w:ascii="Arial" w:hAnsi="Arial" w:cs="Arial"/>
                <w:sz w:val="22"/>
                <w:szCs w:val="22"/>
              </w:rPr>
              <w:t xml:space="preserve"> the Grapevine site</w:t>
            </w:r>
            <w:r w:rsidR="007E0F02">
              <w:rPr>
                <w:rFonts w:ascii="Arial" w:hAnsi="Arial" w:cs="Arial"/>
                <w:sz w:val="22"/>
                <w:szCs w:val="22"/>
              </w:rPr>
              <w:t xml:space="preserve"> in South </w:t>
            </w:r>
            <w:proofErr w:type="spellStart"/>
            <w:r w:rsidR="007E0F02">
              <w:rPr>
                <w:rFonts w:ascii="Arial" w:hAnsi="Arial" w:cs="Arial"/>
                <w:sz w:val="22"/>
                <w:szCs w:val="22"/>
              </w:rPr>
              <w:t>Oxhey</w:t>
            </w:r>
            <w:proofErr w:type="spellEnd"/>
            <w:r w:rsidR="00FD5B34">
              <w:rPr>
                <w:rFonts w:ascii="Arial" w:hAnsi="Arial" w:cs="Arial"/>
                <w:sz w:val="22"/>
                <w:szCs w:val="22"/>
              </w:rPr>
              <w:t xml:space="preserve">. </w:t>
            </w:r>
          </w:p>
        </w:tc>
        <w:tc>
          <w:tcPr>
            <w:tcW w:w="1701" w:type="dxa"/>
            <w:vAlign w:val="center"/>
          </w:tcPr>
          <w:p w:rsidR="00E04358" w:rsidRPr="00AE0EF0" w:rsidRDefault="00E04358" w:rsidP="00AD3C0B">
            <w:pPr>
              <w:tabs>
                <w:tab w:val="left" w:pos="3765"/>
              </w:tabs>
              <w:spacing w:after="160"/>
              <w:jc w:val="center"/>
              <w:rPr>
                <w:rFonts w:ascii="Arial" w:hAnsi="Arial" w:cs="Arial"/>
                <w:sz w:val="22"/>
              </w:rPr>
            </w:pPr>
            <w:r w:rsidRPr="00AE0EF0">
              <w:rPr>
                <w:rFonts w:ascii="Arial" w:hAnsi="Arial" w:cs="Arial"/>
                <w:sz w:val="22"/>
              </w:rPr>
              <w:t>1,</w:t>
            </w:r>
            <w:r>
              <w:rPr>
                <w:rFonts w:ascii="Arial" w:hAnsi="Arial" w:cs="Arial"/>
                <w:sz w:val="22"/>
              </w:rPr>
              <w:t>0</w:t>
            </w:r>
            <w:r w:rsidR="00AD3C0B">
              <w:rPr>
                <w:rFonts w:ascii="Arial" w:hAnsi="Arial" w:cs="Arial"/>
                <w:sz w:val="22"/>
              </w:rPr>
              <w:t>0</w:t>
            </w:r>
            <w:r>
              <w:rPr>
                <w:rFonts w:ascii="Arial" w:hAnsi="Arial" w:cs="Arial"/>
                <w:sz w:val="22"/>
              </w:rPr>
              <w:t>0,</w:t>
            </w:r>
            <w:r w:rsidR="00AD3C0B">
              <w:rPr>
                <w:rFonts w:ascii="Arial" w:hAnsi="Arial" w:cs="Arial"/>
                <w:sz w:val="22"/>
              </w:rPr>
              <w:t>000</w:t>
            </w:r>
          </w:p>
        </w:tc>
      </w:tr>
      <w:tr w:rsidR="00E04358" w:rsidTr="003E1C7C">
        <w:trPr>
          <w:trHeight w:val="221"/>
        </w:trPr>
        <w:tc>
          <w:tcPr>
            <w:tcW w:w="817" w:type="dxa"/>
            <w:vAlign w:val="center"/>
          </w:tcPr>
          <w:p w:rsidR="00E04358" w:rsidRDefault="00E04358" w:rsidP="003E1C7C">
            <w:pPr>
              <w:tabs>
                <w:tab w:val="left" w:pos="3765"/>
              </w:tabs>
              <w:spacing w:after="160"/>
              <w:rPr>
                <w:rFonts w:ascii="Arial" w:hAnsi="Arial" w:cs="Arial"/>
              </w:rPr>
            </w:pPr>
          </w:p>
        </w:tc>
        <w:tc>
          <w:tcPr>
            <w:tcW w:w="7088" w:type="dxa"/>
            <w:vAlign w:val="center"/>
          </w:tcPr>
          <w:p w:rsidR="00E04358" w:rsidRPr="00B908D2" w:rsidRDefault="0003354B" w:rsidP="007E0F02">
            <w:pPr>
              <w:tabs>
                <w:tab w:val="left" w:pos="3765"/>
              </w:tabs>
              <w:spacing w:after="160"/>
              <w:rPr>
                <w:rFonts w:ascii="Arial" w:hAnsi="Arial" w:cs="Arial"/>
                <w:b/>
                <w:bCs/>
              </w:rPr>
            </w:pPr>
            <w:r w:rsidRPr="00B908D2">
              <w:rPr>
                <w:rFonts w:ascii="Arial" w:hAnsi="Arial" w:cs="Arial"/>
                <w:b/>
                <w:bCs/>
                <w:sz w:val="22"/>
              </w:rPr>
              <w:t>Totals</w:t>
            </w:r>
            <w:r w:rsidR="00E04358" w:rsidRPr="00B908D2">
              <w:rPr>
                <w:rFonts w:ascii="Arial" w:hAnsi="Arial" w:cs="Arial"/>
                <w:b/>
                <w:bCs/>
                <w:sz w:val="22"/>
              </w:rPr>
              <w:t xml:space="preserve"> Capital </w:t>
            </w:r>
            <w:r w:rsidR="007E0F02" w:rsidRPr="00B908D2">
              <w:rPr>
                <w:rFonts w:ascii="Arial" w:hAnsi="Arial" w:cs="Arial"/>
                <w:b/>
                <w:bCs/>
                <w:sz w:val="22"/>
              </w:rPr>
              <w:t>Variance</w:t>
            </w:r>
            <w:r w:rsidR="007E0F02">
              <w:rPr>
                <w:rFonts w:ascii="Arial" w:hAnsi="Arial" w:cs="Arial"/>
                <w:b/>
                <w:bCs/>
                <w:sz w:val="22"/>
              </w:rPr>
              <w:t xml:space="preserve"> </w:t>
            </w:r>
            <w:r w:rsidR="0039449C">
              <w:rPr>
                <w:rFonts w:ascii="Arial" w:hAnsi="Arial" w:cs="Arial"/>
                <w:b/>
                <w:bCs/>
                <w:sz w:val="22"/>
              </w:rPr>
              <w:t xml:space="preserve">- </w:t>
            </w:r>
            <w:proofErr w:type="spellStart"/>
            <w:r w:rsidR="0039449C">
              <w:rPr>
                <w:rFonts w:ascii="Arial" w:hAnsi="Arial" w:cs="Arial"/>
                <w:b/>
                <w:bCs/>
                <w:sz w:val="22"/>
              </w:rPr>
              <w:t>rephasing</w:t>
            </w:r>
            <w:proofErr w:type="spellEnd"/>
            <w:r w:rsidR="00E04358">
              <w:rPr>
                <w:rFonts w:ascii="Arial" w:hAnsi="Arial" w:cs="Arial"/>
                <w:b/>
                <w:bCs/>
                <w:sz w:val="22"/>
              </w:rPr>
              <w:t>.</w:t>
            </w:r>
          </w:p>
        </w:tc>
        <w:tc>
          <w:tcPr>
            <w:tcW w:w="1701" w:type="dxa"/>
            <w:vAlign w:val="center"/>
          </w:tcPr>
          <w:p w:rsidR="00E04358" w:rsidRPr="00AE0EF0" w:rsidRDefault="00E04358" w:rsidP="00311200">
            <w:pPr>
              <w:tabs>
                <w:tab w:val="left" w:pos="3765"/>
              </w:tabs>
              <w:spacing w:after="160"/>
              <w:jc w:val="center"/>
              <w:rPr>
                <w:rFonts w:ascii="Arial" w:hAnsi="Arial" w:cs="Arial"/>
                <w:color w:val="0000FF"/>
                <w:sz w:val="22"/>
              </w:rPr>
            </w:pPr>
            <w:r>
              <w:rPr>
                <w:rFonts w:ascii="Arial" w:hAnsi="Arial" w:cs="Arial"/>
                <w:color w:val="0000FF"/>
                <w:sz w:val="22"/>
              </w:rPr>
              <w:t>(</w:t>
            </w:r>
            <w:r w:rsidR="001E2D2A">
              <w:rPr>
                <w:rFonts w:ascii="Arial" w:hAnsi="Arial" w:cs="Arial"/>
                <w:color w:val="0000FF"/>
                <w:sz w:val="22"/>
              </w:rPr>
              <w:t>74</w:t>
            </w:r>
            <w:r>
              <w:rPr>
                <w:rFonts w:ascii="Arial" w:hAnsi="Arial" w:cs="Arial"/>
                <w:color w:val="0000FF"/>
                <w:sz w:val="22"/>
              </w:rPr>
              <w:t>9,560</w:t>
            </w:r>
            <w:r w:rsidRPr="00CF5A48">
              <w:rPr>
                <w:rFonts w:ascii="Arial" w:hAnsi="Arial" w:cs="Arial"/>
                <w:color w:val="0000FF"/>
                <w:sz w:val="22"/>
              </w:rPr>
              <w:t>)</w:t>
            </w:r>
          </w:p>
        </w:tc>
      </w:tr>
    </w:tbl>
    <w:p w:rsidR="00B52061" w:rsidRPr="00891A71" w:rsidRDefault="00B52061" w:rsidP="00484385">
      <w:pPr>
        <w:tabs>
          <w:tab w:val="left" w:pos="3765"/>
        </w:tabs>
        <w:spacing w:after="160" w:line="240" w:lineRule="auto"/>
        <w:jc w:val="both"/>
        <w:rPr>
          <w:rFonts w:ascii="Arial" w:hAnsi="Arial" w:cs="Arial"/>
        </w:rPr>
      </w:pPr>
    </w:p>
    <w:p w:rsidR="008A2383" w:rsidRPr="00F54810" w:rsidRDefault="00E7781F" w:rsidP="00484385">
      <w:pPr>
        <w:tabs>
          <w:tab w:val="left" w:pos="709"/>
        </w:tabs>
        <w:spacing w:after="160" w:line="240" w:lineRule="auto"/>
        <w:rPr>
          <w:rFonts w:ascii="Arial" w:hAnsi="Arial" w:cs="Arial"/>
          <w:b/>
        </w:rPr>
      </w:pPr>
      <w:r w:rsidRPr="00F54810">
        <w:rPr>
          <w:rFonts w:ascii="Arial" w:hAnsi="Arial" w:cs="Arial"/>
          <w:b/>
        </w:rPr>
        <w:t>1</w:t>
      </w:r>
      <w:r w:rsidR="0034135E" w:rsidRPr="00F54810">
        <w:rPr>
          <w:rFonts w:ascii="Arial" w:hAnsi="Arial" w:cs="Arial"/>
          <w:b/>
        </w:rPr>
        <w:t>.0</w:t>
      </w:r>
      <w:r w:rsidRPr="00F54810">
        <w:rPr>
          <w:rFonts w:ascii="Arial" w:hAnsi="Arial" w:cs="Arial"/>
          <w:b/>
        </w:rPr>
        <w:t xml:space="preserve"> </w:t>
      </w:r>
      <w:r w:rsidR="00DE494D" w:rsidRPr="00F54810">
        <w:rPr>
          <w:rFonts w:ascii="Arial" w:hAnsi="Arial" w:cs="Arial"/>
          <w:b/>
        </w:rPr>
        <w:t xml:space="preserve"> </w:t>
      </w:r>
      <w:r w:rsidR="00F54810" w:rsidRPr="00F54810">
        <w:rPr>
          <w:rFonts w:ascii="Arial" w:hAnsi="Arial" w:cs="Arial"/>
          <w:b/>
        </w:rPr>
        <w:tab/>
      </w:r>
      <w:r w:rsidR="009D4AD6" w:rsidRPr="00F54810">
        <w:rPr>
          <w:rFonts w:ascii="Arial" w:hAnsi="Arial" w:cs="Arial"/>
          <w:b/>
        </w:rPr>
        <w:t>Revenue Budget</w:t>
      </w:r>
    </w:p>
    <w:p w:rsidR="00B719C7" w:rsidRPr="00B274CD" w:rsidRDefault="00E7781F" w:rsidP="00484385">
      <w:pPr>
        <w:tabs>
          <w:tab w:val="left" w:pos="3765"/>
        </w:tabs>
        <w:spacing w:after="160" w:line="240" w:lineRule="auto"/>
        <w:ind w:left="720" w:hanging="720"/>
        <w:jc w:val="both"/>
        <w:rPr>
          <w:rFonts w:ascii="Arial" w:hAnsi="Arial" w:cs="Arial"/>
          <w:b/>
        </w:rPr>
      </w:pPr>
      <w:r>
        <w:rPr>
          <w:rFonts w:ascii="Arial" w:eastAsia="Times New Roman" w:hAnsi="Arial" w:cs="Arial"/>
          <w:lang w:eastAsia="en-GB"/>
        </w:rPr>
        <w:t>1</w:t>
      </w:r>
      <w:r w:rsidR="0034135E" w:rsidRPr="00616004">
        <w:rPr>
          <w:rFonts w:ascii="Arial" w:eastAsia="Times New Roman" w:hAnsi="Arial" w:cs="Arial"/>
          <w:lang w:eastAsia="en-GB"/>
        </w:rPr>
        <w:t>.1</w:t>
      </w:r>
      <w:r>
        <w:rPr>
          <w:rFonts w:ascii="Arial" w:eastAsia="Times New Roman" w:hAnsi="Arial" w:cs="Arial"/>
          <w:lang w:eastAsia="en-GB"/>
        </w:rPr>
        <w:t xml:space="preserve"> </w:t>
      </w:r>
      <w:r w:rsidR="0034135E" w:rsidRPr="00616004">
        <w:rPr>
          <w:rFonts w:ascii="Arial" w:eastAsia="Times New Roman" w:hAnsi="Arial" w:cs="Arial"/>
          <w:lang w:eastAsia="en-GB"/>
        </w:rPr>
        <w:t xml:space="preserve"> </w:t>
      </w:r>
      <w:r>
        <w:rPr>
          <w:rFonts w:ascii="Arial" w:eastAsia="Times New Roman" w:hAnsi="Arial" w:cs="Arial"/>
          <w:lang w:eastAsia="en-GB"/>
        </w:rPr>
        <w:tab/>
      </w:r>
      <w:r w:rsidR="0034135E" w:rsidRPr="0068083E">
        <w:rPr>
          <w:rFonts w:ascii="Arial" w:eastAsia="Times New Roman" w:hAnsi="Arial" w:cs="Arial"/>
          <w:lang w:eastAsia="en-GB"/>
        </w:rPr>
        <w:t>The</w:t>
      </w:r>
      <w:r w:rsidR="00B719C7" w:rsidRPr="0068083E">
        <w:rPr>
          <w:rFonts w:ascii="Arial" w:eastAsia="Times New Roman" w:hAnsi="Arial" w:cs="Arial"/>
          <w:lang w:eastAsia="en-GB"/>
        </w:rPr>
        <w:t xml:space="preserve"> Council</w:t>
      </w:r>
      <w:r w:rsidR="00AD2C95" w:rsidRPr="0068083E">
        <w:rPr>
          <w:rFonts w:ascii="Arial" w:eastAsia="Times New Roman" w:hAnsi="Arial" w:cs="Arial"/>
          <w:lang w:eastAsia="en-GB"/>
        </w:rPr>
        <w:t>’</w:t>
      </w:r>
      <w:r w:rsidR="00B719C7" w:rsidRPr="0068083E">
        <w:rPr>
          <w:rFonts w:ascii="Arial" w:eastAsia="Times New Roman" w:hAnsi="Arial" w:cs="Arial"/>
          <w:lang w:eastAsia="en-GB"/>
        </w:rPr>
        <w:t xml:space="preserve">s latest </w:t>
      </w:r>
      <w:r w:rsidR="00FD2FC7" w:rsidRPr="0068083E">
        <w:rPr>
          <w:rFonts w:ascii="Arial" w:eastAsia="Times New Roman" w:hAnsi="Arial" w:cs="Arial"/>
          <w:lang w:eastAsia="en-GB"/>
        </w:rPr>
        <w:t xml:space="preserve">approved </w:t>
      </w:r>
      <w:r w:rsidR="00B719C7" w:rsidRPr="0068083E">
        <w:rPr>
          <w:rFonts w:ascii="Arial" w:eastAsia="Times New Roman" w:hAnsi="Arial" w:cs="Arial"/>
          <w:lang w:eastAsia="en-GB"/>
        </w:rPr>
        <w:t xml:space="preserve">budget is </w:t>
      </w:r>
      <w:r w:rsidR="004D40CA" w:rsidRPr="0068083E">
        <w:rPr>
          <w:rFonts w:ascii="Arial" w:hAnsi="Arial" w:cs="Arial"/>
          <w:b/>
        </w:rPr>
        <w:t xml:space="preserve">£10.950 </w:t>
      </w:r>
      <w:r w:rsidR="006813EF" w:rsidRPr="0068083E">
        <w:rPr>
          <w:rFonts w:ascii="Arial" w:hAnsi="Arial" w:cs="Arial"/>
          <w:b/>
        </w:rPr>
        <w:t>million.</w:t>
      </w:r>
      <w:r w:rsidR="00B719C7" w:rsidRPr="0068083E">
        <w:rPr>
          <w:rFonts w:ascii="Arial" w:hAnsi="Arial" w:cs="Arial"/>
        </w:rPr>
        <w:t xml:space="preserve"> The forecast outturn is now estimated to be </w:t>
      </w:r>
      <w:r w:rsidR="007F7F9F" w:rsidRPr="0068083E">
        <w:rPr>
          <w:rFonts w:ascii="Arial" w:hAnsi="Arial" w:cs="Arial"/>
          <w:b/>
        </w:rPr>
        <w:t>£</w:t>
      </w:r>
      <w:r w:rsidR="000875CB">
        <w:rPr>
          <w:rFonts w:ascii="Arial" w:hAnsi="Arial" w:cs="Arial"/>
          <w:b/>
        </w:rPr>
        <w:t xml:space="preserve">10.768 </w:t>
      </w:r>
      <w:r w:rsidR="000875CB" w:rsidRPr="0068083E">
        <w:rPr>
          <w:rFonts w:ascii="Arial" w:hAnsi="Arial" w:cs="Arial"/>
          <w:b/>
        </w:rPr>
        <w:t>million</w:t>
      </w:r>
      <w:r w:rsidR="00B719C7" w:rsidRPr="0068083E">
        <w:rPr>
          <w:rFonts w:ascii="Arial" w:hAnsi="Arial" w:cs="Arial"/>
          <w:b/>
        </w:rPr>
        <w:t xml:space="preserve"> </w:t>
      </w:r>
      <w:r w:rsidR="004D40CA" w:rsidRPr="0068083E">
        <w:rPr>
          <w:rFonts w:ascii="Arial" w:hAnsi="Arial" w:cs="Arial"/>
        </w:rPr>
        <w:t xml:space="preserve">which results in a </w:t>
      </w:r>
      <w:r w:rsidR="00B719C7" w:rsidRPr="0068083E">
        <w:rPr>
          <w:rFonts w:ascii="Arial" w:hAnsi="Arial" w:cs="Arial"/>
        </w:rPr>
        <w:t xml:space="preserve">favourable variance of </w:t>
      </w:r>
      <w:r w:rsidR="00B274CD" w:rsidRPr="0068083E">
        <w:rPr>
          <w:rFonts w:ascii="Arial" w:hAnsi="Arial" w:cs="Arial"/>
          <w:color w:val="0000FF"/>
        </w:rPr>
        <w:t>(</w:t>
      </w:r>
      <w:r w:rsidR="0078234B" w:rsidRPr="0068083E">
        <w:rPr>
          <w:rFonts w:ascii="Arial" w:hAnsi="Arial" w:cs="Arial"/>
          <w:b/>
          <w:color w:val="0000FF"/>
        </w:rPr>
        <w:t>£0.</w:t>
      </w:r>
      <w:r w:rsidR="000875CB">
        <w:rPr>
          <w:rFonts w:ascii="Arial" w:hAnsi="Arial" w:cs="Arial"/>
          <w:b/>
          <w:color w:val="0000FF"/>
        </w:rPr>
        <w:t>182</w:t>
      </w:r>
      <w:r w:rsidR="00B274CD" w:rsidRPr="0068083E">
        <w:rPr>
          <w:rFonts w:ascii="Arial" w:hAnsi="Arial" w:cs="Arial"/>
          <w:b/>
          <w:color w:val="0000FF"/>
        </w:rPr>
        <w:t>)</w:t>
      </w:r>
      <w:r w:rsidR="004D40CA" w:rsidRPr="0068083E">
        <w:rPr>
          <w:rFonts w:ascii="Arial" w:hAnsi="Arial" w:cs="Arial"/>
          <w:b/>
          <w:color w:val="0000FF"/>
        </w:rPr>
        <w:t xml:space="preserve"> </w:t>
      </w:r>
      <w:r w:rsidR="00B719C7" w:rsidRPr="0068083E">
        <w:rPr>
          <w:rFonts w:ascii="Arial" w:hAnsi="Arial" w:cs="Arial"/>
          <w:b/>
          <w:color w:val="0000FF"/>
        </w:rPr>
        <w:t>million.</w:t>
      </w:r>
      <w:r w:rsidR="00D13962">
        <w:rPr>
          <w:rFonts w:ascii="Arial" w:hAnsi="Arial" w:cs="Arial"/>
          <w:b/>
          <w:color w:val="0000FF"/>
        </w:rPr>
        <w:t xml:space="preserve"> </w:t>
      </w:r>
      <w:r w:rsidR="00D13962" w:rsidRPr="00D13962">
        <w:rPr>
          <w:rFonts w:ascii="Arial" w:hAnsi="Arial" w:cs="Arial"/>
        </w:rPr>
        <w:t xml:space="preserve">There are no variances </w:t>
      </w:r>
      <w:r w:rsidR="008757E6">
        <w:rPr>
          <w:rFonts w:ascii="Arial" w:hAnsi="Arial" w:cs="Arial"/>
        </w:rPr>
        <w:t>for</w:t>
      </w:r>
      <w:r w:rsidR="00D13962" w:rsidRPr="00D13962">
        <w:rPr>
          <w:rFonts w:ascii="Arial" w:hAnsi="Arial" w:cs="Arial"/>
        </w:rPr>
        <w:t xml:space="preserve"> future years at this stage</w:t>
      </w:r>
      <w:r w:rsidR="00D13962">
        <w:rPr>
          <w:rFonts w:ascii="Arial" w:hAnsi="Arial" w:cs="Arial"/>
        </w:rPr>
        <w:t>.</w:t>
      </w:r>
    </w:p>
    <w:p w:rsidR="00934095" w:rsidRDefault="00E7781F" w:rsidP="000875CB">
      <w:pPr>
        <w:tabs>
          <w:tab w:val="left" w:pos="709"/>
        </w:tabs>
        <w:spacing w:after="160" w:line="240" w:lineRule="auto"/>
        <w:ind w:left="709" w:hanging="709"/>
        <w:jc w:val="both"/>
        <w:rPr>
          <w:rFonts w:ascii="Arial" w:eastAsia="Times New Roman" w:hAnsi="Arial" w:cs="Arial"/>
          <w:lang w:eastAsia="en-GB"/>
        </w:rPr>
      </w:pPr>
      <w:r>
        <w:rPr>
          <w:rFonts w:ascii="Arial" w:eastAsia="Times New Roman" w:hAnsi="Arial" w:cs="Arial"/>
          <w:lang w:eastAsia="en-GB"/>
        </w:rPr>
        <w:t>1</w:t>
      </w:r>
      <w:r w:rsidR="0034135E" w:rsidRPr="00616004">
        <w:rPr>
          <w:rFonts w:ascii="Arial" w:eastAsia="Times New Roman" w:hAnsi="Arial" w:cs="Arial"/>
          <w:lang w:eastAsia="en-GB"/>
        </w:rPr>
        <w:t xml:space="preserve">.2 </w:t>
      </w:r>
      <w:r>
        <w:rPr>
          <w:rFonts w:ascii="Arial" w:eastAsia="Times New Roman" w:hAnsi="Arial" w:cs="Arial"/>
          <w:lang w:eastAsia="en-GB"/>
        </w:rPr>
        <w:tab/>
      </w:r>
      <w:r w:rsidR="003F4BF7">
        <w:rPr>
          <w:rFonts w:ascii="Arial" w:eastAsia="Times New Roman" w:hAnsi="Arial" w:cs="Arial"/>
          <w:lang w:eastAsia="en-GB"/>
        </w:rPr>
        <w:tab/>
      </w:r>
      <w:r w:rsidR="0034135E" w:rsidRPr="006813EF">
        <w:rPr>
          <w:rFonts w:ascii="Arial" w:eastAsia="Times New Roman" w:hAnsi="Arial" w:cs="Arial"/>
          <w:lang w:eastAsia="en-GB"/>
        </w:rPr>
        <w:t>The</w:t>
      </w:r>
      <w:r w:rsidR="00B719C7" w:rsidRPr="006813EF">
        <w:rPr>
          <w:rFonts w:ascii="Arial" w:eastAsia="Times New Roman" w:hAnsi="Arial" w:cs="Arial"/>
          <w:lang w:eastAsia="en-GB"/>
        </w:rPr>
        <w:t xml:space="preserve"> trend over the financial year 2017/18 is plotted on the graph below</w:t>
      </w:r>
      <w:r w:rsidR="000D7414" w:rsidRPr="006813EF">
        <w:rPr>
          <w:rFonts w:ascii="Arial" w:eastAsia="Times New Roman" w:hAnsi="Arial" w:cs="Arial"/>
          <w:lang w:eastAsia="en-GB"/>
        </w:rPr>
        <w:t>.</w:t>
      </w:r>
      <w:r w:rsidR="006B2110" w:rsidRPr="006813EF">
        <w:rPr>
          <w:rFonts w:ascii="Arial" w:eastAsia="Times New Roman" w:hAnsi="Arial" w:cs="Arial"/>
          <w:lang w:eastAsia="en-GB"/>
        </w:rPr>
        <w:t xml:space="preserve"> The forecast outturn should be compared with the original budget plus the carry forwards from 2016/17 as this is essentially the starting point for</w:t>
      </w:r>
      <w:r w:rsidR="006813EF">
        <w:rPr>
          <w:rFonts w:ascii="Arial" w:eastAsia="Times New Roman" w:hAnsi="Arial" w:cs="Arial"/>
          <w:lang w:eastAsia="en-GB"/>
        </w:rPr>
        <w:t xml:space="preserve"> the </w:t>
      </w:r>
      <w:r w:rsidR="006B2110" w:rsidRPr="006813EF">
        <w:rPr>
          <w:rFonts w:ascii="Arial" w:eastAsia="Times New Roman" w:hAnsi="Arial" w:cs="Arial"/>
          <w:lang w:eastAsia="en-GB"/>
        </w:rPr>
        <w:t>2017/18</w:t>
      </w:r>
      <w:r w:rsidR="006813EF">
        <w:rPr>
          <w:rFonts w:ascii="Arial" w:eastAsia="Times New Roman" w:hAnsi="Arial" w:cs="Arial"/>
          <w:lang w:eastAsia="en-GB"/>
        </w:rPr>
        <w:t xml:space="preserve"> working budget</w:t>
      </w:r>
      <w:r w:rsidR="00E940DB">
        <w:rPr>
          <w:rFonts w:ascii="Arial" w:eastAsia="Times New Roman" w:hAnsi="Arial" w:cs="Arial"/>
          <w:lang w:eastAsia="en-GB"/>
        </w:rPr>
        <w:t>.</w:t>
      </w:r>
    </w:p>
    <w:p w:rsidR="006A2CE2" w:rsidRDefault="00934095" w:rsidP="00484385">
      <w:pPr>
        <w:tabs>
          <w:tab w:val="left" w:pos="709"/>
        </w:tabs>
        <w:spacing w:after="160" w:line="240" w:lineRule="auto"/>
        <w:ind w:left="709" w:hanging="709"/>
        <w:jc w:val="center"/>
        <w:rPr>
          <w:rFonts w:ascii="Arial" w:eastAsia="Times New Roman" w:hAnsi="Arial" w:cs="Arial"/>
          <w:lang w:eastAsia="en-GB"/>
        </w:rPr>
      </w:pPr>
      <w:r>
        <w:rPr>
          <w:noProof/>
          <w:lang w:eastAsia="en-GB"/>
        </w:rPr>
        <w:drawing>
          <wp:inline distT="0" distB="0" distL="0" distR="0" wp14:anchorId="4FDCC2AA" wp14:editId="6324C5CD">
            <wp:extent cx="4993419" cy="2576222"/>
            <wp:effectExtent l="0" t="0" r="17145" b="1460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414" w:rsidRDefault="00B274CD" w:rsidP="00484385">
      <w:pPr>
        <w:tabs>
          <w:tab w:val="left" w:pos="1276"/>
          <w:tab w:val="left" w:pos="4253"/>
          <w:tab w:val="left" w:pos="4395"/>
        </w:tabs>
        <w:spacing w:line="240" w:lineRule="auto"/>
        <w:ind w:left="993" w:hanging="709"/>
        <w:rPr>
          <w:rFonts w:ascii="Arial" w:hAnsi="Arial" w:cs="Arial"/>
        </w:rPr>
      </w:pPr>
      <w:r>
        <w:rPr>
          <w:rFonts w:ascii="Arial" w:hAnsi="Arial" w:cs="Arial"/>
        </w:rPr>
        <w:t>1.3</w:t>
      </w:r>
      <w:r>
        <w:rPr>
          <w:rFonts w:ascii="Arial" w:hAnsi="Arial" w:cs="Arial"/>
        </w:rPr>
        <w:tab/>
      </w:r>
      <w:r w:rsidR="000D7414" w:rsidRPr="00616004">
        <w:rPr>
          <w:rFonts w:ascii="Arial" w:hAnsi="Arial" w:cs="Arial"/>
        </w:rPr>
        <w:t xml:space="preserve">The table below </w:t>
      </w:r>
      <w:r w:rsidR="000D7414">
        <w:rPr>
          <w:rFonts w:ascii="Arial" w:hAnsi="Arial" w:cs="Arial"/>
        </w:rPr>
        <w:t>compares the latest budget to the forecast outturn and shows</w:t>
      </w:r>
      <w:r w:rsidR="000D7414" w:rsidRPr="00616004">
        <w:rPr>
          <w:rFonts w:ascii="Arial" w:hAnsi="Arial" w:cs="Arial"/>
        </w:rPr>
        <w:t xml:space="preserve"> the variance against each </w:t>
      </w:r>
      <w:r w:rsidR="000D7414">
        <w:rPr>
          <w:rFonts w:ascii="Arial" w:hAnsi="Arial" w:cs="Arial"/>
        </w:rPr>
        <w:t>Committee</w:t>
      </w:r>
      <w:r w:rsidR="000D7414" w:rsidRPr="00616004">
        <w:rPr>
          <w:rFonts w:ascii="Arial" w:hAnsi="Arial" w:cs="Arial"/>
        </w:rPr>
        <w:t xml:space="preserve">. </w:t>
      </w:r>
      <w:r w:rsidR="00C32CFA">
        <w:rPr>
          <w:rFonts w:ascii="Arial" w:hAnsi="Arial" w:cs="Arial"/>
        </w:rPr>
        <w:t>It also shows the spe</w:t>
      </w:r>
      <w:r w:rsidR="00C053A2">
        <w:rPr>
          <w:rFonts w:ascii="Arial" w:hAnsi="Arial" w:cs="Arial"/>
        </w:rPr>
        <w:t xml:space="preserve">nd to date up to the end of </w:t>
      </w:r>
      <w:r w:rsidR="00934095">
        <w:rPr>
          <w:rFonts w:ascii="Arial" w:hAnsi="Arial" w:cs="Arial"/>
        </w:rPr>
        <w:t>January (Period 10</w:t>
      </w:r>
      <w:r w:rsidR="00C32CFA">
        <w:rPr>
          <w:rFonts w:ascii="Arial" w:hAnsi="Arial" w:cs="Arial"/>
        </w:rPr>
        <w:t>).</w:t>
      </w:r>
      <w:r w:rsidR="000D7414" w:rsidRPr="00616004">
        <w:rPr>
          <w:rFonts w:ascii="Arial" w:hAnsi="Arial" w:cs="Arial"/>
        </w:rPr>
        <w:t xml:space="preserve">The figures relate to costs and incomes </w:t>
      </w:r>
      <w:r w:rsidR="000D7414">
        <w:rPr>
          <w:rFonts w:ascii="Arial" w:hAnsi="Arial" w:cs="Arial"/>
        </w:rPr>
        <w:t xml:space="preserve">within </w:t>
      </w:r>
      <w:r w:rsidR="0085134A">
        <w:rPr>
          <w:rFonts w:ascii="Arial" w:hAnsi="Arial" w:cs="Arial"/>
        </w:rPr>
        <w:t xml:space="preserve">each </w:t>
      </w:r>
      <w:r w:rsidR="000D7414">
        <w:rPr>
          <w:rFonts w:ascii="Arial" w:hAnsi="Arial" w:cs="Arial"/>
        </w:rPr>
        <w:t>Committee</w:t>
      </w:r>
      <w:r w:rsidR="000D7414" w:rsidRPr="00616004">
        <w:rPr>
          <w:rFonts w:ascii="Arial" w:hAnsi="Arial" w:cs="Arial"/>
        </w:rPr>
        <w:t>.</w:t>
      </w:r>
    </w:p>
    <w:p w:rsidR="0039449C" w:rsidRDefault="0039449C" w:rsidP="00484385">
      <w:pPr>
        <w:tabs>
          <w:tab w:val="left" w:pos="1276"/>
          <w:tab w:val="left" w:pos="4253"/>
          <w:tab w:val="left" w:pos="4395"/>
        </w:tabs>
        <w:spacing w:line="240" w:lineRule="auto"/>
        <w:ind w:left="993" w:hanging="709"/>
        <w:rPr>
          <w:rFonts w:ascii="Arial" w:hAnsi="Arial" w:cs="Arial"/>
        </w:rPr>
      </w:pPr>
    </w:p>
    <w:p w:rsidR="0039449C" w:rsidRDefault="0039449C" w:rsidP="00484385">
      <w:pPr>
        <w:tabs>
          <w:tab w:val="left" w:pos="1276"/>
          <w:tab w:val="left" w:pos="4253"/>
          <w:tab w:val="left" w:pos="4395"/>
        </w:tabs>
        <w:spacing w:line="240" w:lineRule="auto"/>
        <w:ind w:left="993" w:hanging="709"/>
        <w:rPr>
          <w:rFonts w:ascii="Arial" w:hAnsi="Arial" w:cs="Arial"/>
        </w:rPr>
      </w:pPr>
    </w:p>
    <w:p w:rsidR="0039449C" w:rsidRDefault="0039449C" w:rsidP="00484385">
      <w:pPr>
        <w:tabs>
          <w:tab w:val="left" w:pos="1276"/>
          <w:tab w:val="left" w:pos="4253"/>
          <w:tab w:val="left" w:pos="4395"/>
        </w:tabs>
        <w:spacing w:line="240" w:lineRule="auto"/>
        <w:ind w:left="993" w:hanging="709"/>
        <w:rPr>
          <w:rFonts w:ascii="Arial" w:hAnsi="Arial" w:cs="Arial"/>
        </w:rPr>
      </w:pPr>
    </w:p>
    <w:p w:rsidR="00484385" w:rsidRDefault="00484385" w:rsidP="005053C6">
      <w:pPr>
        <w:tabs>
          <w:tab w:val="left" w:pos="1276"/>
          <w:tab w:val="left" w:pos="4253"/>
          <w:tab w:val="left" w:pos="4395"/>
        </w:tabs>
        <w:spacing w:line="240" w:lineRule="auto"/>
        <w:rPr>
          <w:rFonts w:ascii="Arial" w:hAnsi="Arial" w:cs="Arial"/>
        </w:rPr>
      </w:pPr>
    </w:p>
    <w:tbl>
      <w:tblPr>
        <w:tblW w:w="8566" w:type="dxa"/>
        <w:jc w:val="center"/>
        <w:tblInd w:w="1789" w:type="dxa"/>
        <w:tblLayout w:type="fixed"/>
        <w:tblLook w:val="04A0" w:firstRow="1" w:lastRow="0" w:firstColumn="1" w:lastColumn="0" w:noHBand="0" w:noVBand="1"/>
      </w:tblPr>
      <w:tblGrid>
        <w:gridCol w:w="2951"/>
        <w:gridCol w:w="1134"/>
        <w:gridCol w:w="1134"/>
        <w:gridCol w:w="992"/>
        <w:gridCol w:w="1134"/>
        <w:gridCol w:w="1221"/>
      </w:tblGrid>
      <w:tr w:rsidR="000D7414" w:rsidRPr="00616004" w:rsidTr="005D127A">
        <w:trPr>
          <w:trHeight w:val="293"/>
          <w:jc w:val="center"/>
        </w:trPr>
        <w:tc>
          <w:tcPr>
            <w:tcW w:w="8566" w:type="dxa"/>
            <w:gridSpan w:val="6"/>
            <w:vMerge w:val="restart"/>
            <w:tcBorders>
              <w:top w:val="single" w:sz="4" w:space="0" w:color="auto"/>
              <w:left w:val="single" w:sz="4" w:space="0" w:color="auto"/>
              <w:bottom w:val="nil"/>
              <w:right w:val="single" w:sz="4" w:space="0" w:color="000000"/>
            </w:tcBorders>
            <w:shd w:val="clear" w:color="auto" w:fill="DDD9C3" w:themeFill="background2" w:themeFillShade="E6"/>
            <w:vAlign w:val="center"/>
            <w:hideMark/>
          </w:tcPr>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2017/18  Revenue  Account – General Fund Summary</w:t>
            </w:r>
          </w:p>
        </w:tc>
      </w:tr>
      <w:tr w:rsidR="000D7414" w:rsidRPr="00616004" w:rsidTr="005D127A">
        <w:trPr>
          <w:trHeight w:val="253"/>
          <w:jc w:val="center"/>
        </w:trPr>
        <w:tc>
          <w:tcPr>
            <w:tcW w:w="8566" w:type="dxa"/>
            <w:gridSpan w:val="6"/>
            <w:vMerge/>
            <w:tcBorders>
              <w:top w:val="single" w:sz="4" w:space="0" w:color="auto"/>
              <w:left w:val="single" w:sz="4" w:space="0" w:color="auto"/>
              <w:bottom w:val="nil"/>
              <w:right w:val="single" w:sz="4" w:space="0" w:color="000000"/>
            </w:tcBorders>
            <w:shd w:val="clear" w:color="auto" w:fill="DDD9C3" w:themeFill="background2" w:themeFillShade="E6"/>
            <w:vAlign w:val="center"/>
            <w:hideMark/>
          </w:tcPr>
          <w:p w:rsidR="000D7414" w:rsidRPr="00616004" w:rsidRDefault="000D7414" w:rsidP="00484385">
            <w:pPr>
              <w:spacing w:after="0" w:line="240" w:lineRule="auto"/>
              <w:rPr>
                <w:rFonts w:ascii="Arial" w:eastAsia="Times New Roman" w:hAnsi="Arial" w:cs="Arial"/>
                <w:b/>
                <w:bCs/>
                <w:lang w:eastAsia="en-GB"/>
              </w:rPr>
            </w:pPr>
          </w:p>
        </w:tc>
      </w:tr>
      <w:tr w:rsidR="00C32CFA" w:rsidRPr="00616004" w:rsidTr="005D127A">
        <w:trPr>
          <w:trHeight w:val="347"/>
          <w:jc w:val="center"/>
        </w:trPr>
        <w:tc>
          <w:tcPr>
            <w:tcW w:w="2951" w:type="dxa"/>
            <w:tcBorders>
              <w:top w:val="single" w:sz="4" w:space="0" w:color="auto"/>
              <w:left w:val="single" w:sz="4" w:space="0" w:color="auto"/>
              <w:bottom w:val="single" w:sz="4" w:space="0" w:color="000000"/>
              <w:right w:val="nil"/>
            </w:tcBorders>
            <w:shd w:val="clear" w:color="auto" w:fill="DDD9C3" w:themeFill="background2" w:themeFillShade="E6"/>
            <w:noWrap/>
            <w:vAlign w:val="center"/>
          </w:tcPr>
          <w:p w:rsidR="00C32CFA" w:rsidRPr="00616004" w:rsidRDefault="00C32CFA" w:rsidP="00484385">
            <w:pPr>
              <w:spacing w:after="0" w:line="240" w:lineRule="auto"/>
              <w:jc w:val="center"/>
              <w:rPr>
                <w:rFonts w:ascii="Arial" w:eastAsia="Times New Roman" w:hAnsi="Arial" w:cs="Arial"/>
                <w:b/>
                <w:bCs/>
                <w:lang w:eastAsia="en-GB"/>
              </w:rPr>
            </w:pPr>
          </w:p>
        </w:tc>
        <w:tc>
          <w:tcPr>
            <w:tcW w:w="1134" w:type="dxa"/>
            <w:tcBorders>
              <w:top w:val="single" w:sz="4" w:space="0" w:color="auto"/>
              <w:left w:val="single" w:sz="4" w:space="0" w:color="auto"/>
              <w:bottom w:val="nil"/>
              <w:right w:val="single" w:sz="4" w:space="0" w:color="auto"/>
            </w:tcBorders>
            <w:shd w:val="clear" w:color="auto" w:fill="DDD9C3" w:themeFill="background2" w:themeFillShade="E6"/>
            <w:vAlign w:val="center"/>
          </w:tcPr>
          <w:p w:rsidR="00C32CFA" w:rsidRPr="00616004" w:rsidRDefault="00C32CFA" w:rsidP="00484385">
            <w:pPr>
              <w:spacing w:after="0" w:line="240" w:lineRule="auto"/>
              <w:jc w:val="center"/>
              <w:rPr>
                <w:rFonts w:ascii="Arial" w:eastAsia="Times New Roman" w:hAnsi="Arial" w:cs="Arial"/>
                <w:b/>
                <w:bCs/>
                <w:lang w:eastAsia="en-GB"/>
              </w:rPr>
            </w:pPr>
          </w:p>
        </w:tc>
        <w:tc>
          <w:tcPr>
            <w:tcW w:w="1134" w:type="dxa"/>
            <w:tcBorders>
              <w:top w:val="single" w:sz="4" w:space="0" w:color="auto"/>
              <w:left w:val="nil"/>
              <w:bottom w:val="nil"/>
              <w:right w:val="single" w:sz="4" w:space="0" w:color="auto"/>
            </w:tcBorders>
            <w:shd w:val="clear" w:color="auto" w:fill="DDD9C3" w:themeFill="background2" w:themeFillShade="E6"/>
            <w:vAlign w:val="center"/>
          </w:tcPr>
          <w:p w:rsidR="00C32CFA" w:rsidRPr="00616004" w:rsidRDefault="00C32CFA"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(A)</w:t>
            </w:r>
          </w:p>
        </w:tc>
        <w:tc>
          <w:tcPr>
            <w:tcW w:w="992" w:type="dxa"/>
            <w:tcBorders>
              <w:top w:val="single" w:sz="4" w:space="0" w:color="auto"/>
              <w:left w:val="nil"/>
              <w:bottom w:val="nil"/>
              <w:right w:val="single" w:sz="4" w:space="0" w:color="auto"/>
            </w:tcBorders>
            <w:shd w:val="clear" w:color="auto" w:fill="DDD9C3" w:themeFill="background2" w:themeFillShade="E6"/>
          </w:tcPr>
          <w:p w:rsidR="00C32CFA" w:rsidRPr="00616004" w:rsidRDefault="00C32CFA" w:rsidP="00484385">
            <w:pPr>
              <w:spacing w:after="0" w:line="240" w:lineRule="auto"/>
              <w:jc w:val="center"/>
              <w:rPr>
                <w:rFonts w:ascii="Arial" w:eastAsia="Times New Roman" w:hAnsi="Arial" w:cs="Arial"/>
                <w:b/>
                <w:bCs/>
                <w:lang w:eastAsia="en-GB"/>
              </w:rPr>
            </w:pPr>
          </w:p>
        </w:tc>
        <w:tc>
          <w:tcPr>
            <w:tcW w:w="1134" w:type="dxa"/>
            <w:tcBorders>
              <w:top w:val="single" w:sz="4" w:space="0" w:color="auto"/>
              <w:left w:val="single" w:sz="4" w:space="0" w:color="auto"/>
              <w:bottom w:val="nil"/>
              <w:right w:val="single" w:sz="4" w:space="0" w:color="auto"/>
            </w:tcBorders>
            <w:shd w:val="clear" w:color="auto" w:fill="DDD9C3" w:themeFill="background2" w:themeFillShade="E6"/>
            <w:vAlign w:val="center"/>
          </w:tcPr>
          <w:p w:rsidR="00C32CFA" w:rsidRPr="00616004" w:rsidRDefault="00C32CFA"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(B)</w:t>
            </w:r>
          </w:p>
        </w:tc>
        <w:tc>
          <w:tcPr>
            <w:tcW w:w="1221" w:type="dxa"/>
            <w:tcBorders>
              <w:top w:val="single" w:sz="4" w:space="0" w:color="auto"/>
              <w:left w:val="nil"/>
              <w:bottom w:val="nil"/>
              <w:right w:val="single" w:sz="4" w:space="0" w:color="auto"/>
            </w:tcBorders>
            <w:shd w:val="clear" w:color="auto" w:fill="DDD9C3" w:themeFill="background2" w:themeFillShade="E6"/>
            <w:vAlign w:val="center"/>
          </w:tcPr>
          <w:p w:rsidR="00C32CFA" w:rsidRPr="00616004" w:rsidRDefault="00C32CFA"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w:t>
            </w:r>
            <w:r w:rsidR="00F66820">
              <w:rPr>
                <w:rFonts w:ascii="Arial" w:eastAsia="Times New Roman" w:hAnsi="Arial" w:cs="Arial"/>
                <w:b/>
                <w:bCs/>
                <w:lang w:eastAsia="en-GB"/>
              </w:rPr>
              <w:t>B</w:t>
            </w:r>
            <w:r>
              <w:rPr>
                <w:rFonts w:ascii="Arial" w:eastAsia="Times New Roman" w:hAnsi="Arial" w:cs="Arial"/>
                <w:b/>
                <w:bCs/>
                <w:lang w:eastAsia="en-GB"/>
              </w:rPr>
              <w:t xml:space="preserve"> – </w:t>
            </w:r>
            <w:r w:rsidR="00F66820">
              <w:rPr>
                <w:rFonts w:ascii="Arial" w:eastAsia="Times New Roman" w:hAnsi="Arial" w:cs="Arial"/>
                <w:b/>
                <w:bCs/>
                <w:lang w:eastAsia="en-GB"/>
              </w:rPr>
              <w:t>A</w:t>
            </w:r>
            <w:r>
              <w:rPr>
                <w:rFonts w:ascii="Arial" w:eastAsia="Times New Roman" w:hAnsi="Arial" w:cs="Arial"/>
                <w:b/>
                <w:bCs/>
                <w:lang w:eastAsia="en-GB"/>
              </w:rPr>
              <w:t>)</w:t>
            </w:r>
          </w:p>
        </w:tc>
      </w:tr>
      <w:tr w:rsidR="000D7414" w:rsidRPr="00616004" w:rsidTr="005D127A">
        <w:trPr>
          <w:trHeight w:val="936"/>
          <w:jc w:val="center"/>
        </w:trPr>
        <w:tc>
          <w:tcPr>
            <w:tcW w:w="2951" w:type="dxa"/>
            <w:vMerge w:val="restart"/>
            <w:tcBorders>
              <w:top w:val="single" w:sz="4" w:space="0" w:color="auto"/>
              <w:left w:val="single" w:sz="4" w:space="0" w:color="auto"/>
              <w:bottom w:val="single" w:sz="4" w:space="0" w:color="000000"/>
              <w:right w:val="nil"/>
            </w:tcBorders>
            <w:shd w:val="clear" w:color="auto" w:fill="DDD9C3" w:themeFill="background2" w:themeFillShade="E6"/>
            <w:noWrap/>
            <w:vAlign w:val="center"/>
            <w:hideMark/>
          </w:tcPr>
          <w:p w:rsidR="008E4E06" w:rsidRDefault="008E4E06" w:rsidP="00484385">
            <w:pPr>
              <w:spacing w:after="0" w:line="240" w:lineRule="auto"/>
              <w:jc w:val="center"/>
              <w:rPr>
                <w:rFonts w:ascii="Arial" w:eastAsia="Times New Roman" w:hAnsi="Arial" w:cs="Arial"/>
                <w:b/>
                <w:bCs/>
                <w:lang w:eastAsia="en-GB"/>
              </w:rPr>
            </w:pPr>
          </w:p>
          <w:p w:rsidR="008E4E06" w:rsidRDefault="008E4E06" w:rsidP="00484385">
            <w:pPr>
              <w:spacing w:after="0" w:line="240" w:lineRule="auto"/>
              <w:jc w:val="center"/>
              <w:rPr>
                <w:rFonts w:ascii="Arial" w:eastAsia="Times New Roman" w:hAnsi="Arial" w:cs="Arial"/>
                <w:b/>
                <w:bCs/>
                <w:lang w:eastAsia="en-GB"/>
              </w:rPr>
            </w:pPr>
          </w:p>
          <w:p w:rsidR="008E4E06" w:rsidRDefault="008E4E06" w:rsidP="00484385">
            <w:pPr>
              <w:spacing w:after="0" w:line="240" w:lineRule="auto"/>
              <w:jc w:val="center"/>
              <w:rPr>
                <w:rFonts w:ascii="Arial" w:eastAsia="Times New Roman" w:hAnsi="Arial" w:cs="Arial"/>
                <w:b/>
                <w:bCs/>
                <w:lang w:eastAsia="en-GB"/>
              </w:rPr>
            </w:pPr>
          </w:p>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Committee</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Original Budget</w:t>
            </w:r>
          </w:p>
        </w:tc>
        <w:tc>
          <w:tcPr>
            <w:tcW w:w="113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 xml:space="preserve"> Latest Budget </w:t>
            </w:r>
          </w:p>
        </w:tc>
        <w:tc>
          <w:tcPr>
            <w:tcW w:w="992" w:type="dxa"/>
            <w:tcBorders>
              <w:top w:val="single" w:sz="4" w:space="0" w:color="auto"/>
              <w:left w:val="nil"/>
              <w:bottom w:val="single" w:sz="4" w:space="0" w:color="auto"/>
              <w:right w:val="single" w:sz="4" w:space="0" w:color="auto"/>
            </w:tcBorders>
            <w:shd w:val="clear" w:color="auto" w:fill="DDD9C3" w:themeFill="background2" w:themeFillShade="E6"/>
          </w:tcPr>
          <w:p w:rsidR="000D7414" w:rsidRPr="00616004" w:rsidRDefault="00A451A0"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Net</w:t>
            </w:r>
          </w:p>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Spend</w:t>
            </w:r>
          </w:p>
          <w:p w:rsidR="000D7414" w:rsidRPr="00616004" w:rsidRDefault="00C32CFA"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t</w:t>
            </w:r>
            <w:r w:rsidR="000D7414" w:rsidRPr="00616004">
              <w:rPr>
                <w:rFonts w:ascii="Arial" w:eastAsia="Times New Roman" w:hAnsi="Arial" w:cs="Arial"/>
                <w:b/>
                <w:bCs/>
                <w:lang w:eastAsia="en-GB"/>
              </w:rPr>
              <w:t xml:space="preserve">o </w:t>
            </w:r>
          </w:p>
          <w:p w:rsidR="000D7414" w:rsidRPr="00616004" w:rsidRDefault="00863725"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Period 10</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 xml:space="preserve"> Forecast</w:t>
            </w:r>
          </w:p>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 xml:space="preserve">Outturn  </w:t>
            </w:r>
          </w:p>
        </w:tc>
        <w:tc>
          <w:tcPr>
            <w:tcW w:w="1221" w:type="dxa"/>
            <w:tcBorders>
              <w:top w:val="single" w:sz="4" w:space="0" w:color="auto"/>
              <w:left w:val="nil"/>
              <w:bottom w:val="nil"/>
              <w:right w:val="single" w:sz="4" w:space="0" w:color="auto"/>
            </w:tcBorders>
            <w:shd w:val="clear" w:color="auto" w:fill="DDD9C3" w:themeFill="background2" w:themeFillShade="E6"/>
            <w:vAlign w:val="center"/>
            <w:hideMark/>
          </w:tcPr>
          <w:p w:rsidR="000D7414" w:rsidRPr="00616004" w:rsidRDefault="000D7414"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 xml:space="preserve"> </w:t>
            </w:r>
            <w:r w:rsidR="00A451A0">
              <w:rPr>
                <w:rFonts w:ascii="Arial" w:eastAsia="Times New Roman" w:hAnsi="Arial" w:cs="Arial"/>
                <w:b/>
                <w:bCs/>
                <w:lang w:eastAsia="en-GB"/>
              </w:rPr>
              <w:t xml:space="preserve">Outturn </w:t>
            </w:r>
            <w:r w:rsidRPr="00616004">
              <w:rPr>
                <w:rFonts w:ascii="Arial" w:eastAsia="Times New Roman" w:hAnsi="Arial" w:cs="Arial"/>
                <w:b/>
                <w:bCs/>
                <w:lang w:eastAsia="en-GB"/>
              </w:rPr>
              <w:t xml:space="preserve">Variance </w:t>
            </w:r>
          </w:p>
        </w:tc>
      </w:tr>
      <w:tr w:rsidR="008E4E06" w:rsidRPr="00616004" w:rsidTr="005D127A">
        <w:trPr>
          <w:trHeight w:val="217"/>
          <w:jc w:val="center"/>
        </w:trPr>
        <w:tc>
          <w:tcPr>
            <w:tcW w:w="2951" w:type="dxa"/>
            <w:vMerge/>
            <w:tcBorders>
              <w:top w:val="single" w:sz="4" w:space="0" w:color="auto"/>
              <w:left w:val="single" w:sz="4" w:space="0" w:color="auto"/>
              <w:bottom w:val="single" w:sz="4" w:space="0" w:color="000000"/>
              <w:right w:val="nil"/>
            </w:tcBorders>
            <w:shd w:val="clear" w:color="auto" w:fill="DDD9C3" w:themeFill="background2" w:themeFillShade="E6"/>
            <w:noWrap/>
            <w:vAlign w:val="center"/>
          </w:tcPr>
          <w:p w:rsidR="008E4E06" w:rsidRPr="00616004" w:rsidRDefault="008E4E06" w:rsidP="00484385">
            <w:pPr>
              <w:spacing w:after="0" w:line="240" w:lineRule="auto"/>
              <w:jc w:val="center"/>
              <w:rPr>
                <w:rFonts w:ascii="Arial" w:eastAsia="Times New Roman"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E4E06" w:rsidRPr="00616004" w:rsidRDefault="005D127A"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£000</w:t>
            </w:r>
          </w:p>
        </w:tc>
        <w:tc>
          <w:tcPr>
            <w:tcW w:w="113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8E4E06" w:rsidRPr="00616004" w:rsidRDefault="005D127A"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£000</w:t>
            </w:r>
          </w:p>
        </w:tc>
        <w:tc>
          <w:tcPr>
            <w:tcW w:w="992" w:type="dxa"/>
            <w:tcBorders>
              <w:top w:val="single" w:sz="4" w:space="0" w:color="auto"/>
              <w:left w:val="nil"/>
              <w:bottom w:val="single" w:sz="4" w:space="0" w:color="auto"/>
              <w:right w:val="single" w:sz="4" w:space="0" w:color="auto"/>
            </w:tcBorders>
            <w:shd w:val="clear" w:color="auto" w:fill="DDD9C3" w:themeFill="background2" w:themeFillShade="E6"/>
          </w:tcPr>
          <w:p w:rsidR="008E4E06" w:rsidRPr="00616004" w:rsidRDefault="005D127A"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£000</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E4E06" w:rsidRPr="00616004" w:rsidRDefault="005D127A"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£000</w:t>
            </w:r>
          </w:p>
        </w:tc>
        <w:tc>
          <w:tcPr>
            <w:tcW w:w="1221" w:type="dxa"/>
            <w:tcBorders>
              <w:top w:val="single" w:sz="4" w:space="0" w:color="auto"/>
              <w:left w:val="nil"/>
              <w:bottom w:val="nil"/>
              <w:right w:val="single" w:sz="4" w:space="0" w:color="auto"/>
            </w:tcBorders>
            <w:shd w:val="clear" w:color="auto" w:fill="DDD9C3" w:themeFill="background2" w:themeFillShade="E6"/>
            <w:vAlign w:val="center"/>
          </w:tcPr>
          <w:p w:rsidR="008E4E06" w:rsidRPr="00616004" w:rsidRDefault="005D127A" w:rsidP="00484385">
            <w:pPr>
              <w:spacing w:after="0" w:line="240" w:lineRule="auto"/>
              <w:jc w:val="center"/>
              <w:rPr>
                <w:rFonts w:ascii="Arial" w:eastAsia="Times New Roman" w:hAnsi="Arial" w:cs="Arial"/>
                <w:b/>
                <w:bCs/>
                <w:lang w:eastAsia="en-GB"/>
              </w:rPr>
            </w:pPr>
            <w:r w:rsidRPr="00616004">
              <w:rPr>
                <w:rFonts w:ascii="Arial" w:eastAsia="Times New Roman" w:hAnsi="Arial" w:cs="Arial"/>
                <w:b/>
                <w:bCs/>
                <w:lang w:eastAsia="en-GB"/>
              </w:rPr>
              <w:t>£000</w:t>
            </w:r>
          </w:p>
        </w:tc>
      </w:tr>
      <w:tr w:rsidR="000D7414" w:rsidRPr="00616004" w:rsidTr="00B66D04">
        <w:trPr>
          <w:trHeight w:val="487"/>
          <w:jc w:val="center"/>
        </w:trPr>
        <w:tc>
          <w:tcPr>
            <w:tcW w:w="2951" w:type="dxa"/>
            <w:tcBorders>
              <w:top w:val="nil"/>
              <w:left w:val="single" w:sz="4" w:space="0" w:color="auto"/>
              <w:bottom w:val="nil"/>
              <w:right w:val="nil"/>
            </w:tcBorders>
            <w:shd w:val="clear" w:color="auto" w:fill="auto"/>
            <w:noWrap/>
            <w:vAlign w:val="center"/>
            <w:hideMark/>
          </w:tcPr>
          <w:p w:rsidR="000D7414" w:rsidRPr="003A3AE7" w:rsidRDefault="000D7414" w:rsidP="00484385">
            <w:pPr>
              <w:spacing w:after="0" w:line="240" w:lineRule="auto"/>
              <w:rPr>
                <w:rFonts w:ascii="Arial" w:eastAsia="Times New Roman" w:hAnsi="Arial" w:cs="Arial"/>
                <w:lang w:eastAsia="en-GB"/>
              </w:rPr>
            </w:pPr>
            <w:r w:rsidRPr="003A3AE7">
              <w:rPr>
                <w:rFonts w:ascii="Arial" w:eastAsia="Times New Roman" w:hAnsi="Arial" w:cs="Arial"/>
                <w:lang w:eastAsia="en-GB"/>
              </w:rPr>
              <w:t>Leisure, Wellbeing &amp; Health</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0D7414" w:rsidRPr="003A3AE7" w:rsidRDefault="00B66D04"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2,</w:t>
            </w:r>
            <w:r w:rsidR="003E36FB" w:rsidRPr="003A3AE7">
              <w:rPr>
                <w:rFonts w:ascii="Arial" w:eastAsia="Times New Roman" w:hAnsi="Arial" w:cs="Arial"/>
                <w:lang w:eastAsia="en-GB"/>
              </w:rPr>
              <w:t>270</w:t>
            </w:r>
          </w:p>
        </w:tc>
        <w:tc>
          <w:tcPr>
            <w:tcW w:w="1134" w:type="dxa"/>
            <w:tcBorders>
              <w:top w:val="single" w:sz="4" w:space="0" w:color="auto"/>
              <w:left w:val="nil"/>
              <w:bottom w:val="nil"/>
              <w:right w:val="single" w:sz="4" w:space="0" w:color="auto"/>
            </w:tcBorders>
            <w:shd w:val="clear" w:color="auto" w:fill="auto"/>
            <w:noWrap/>
            <w:vAlign w:val="center"/>
          </w:tcPr>
          <w:p w:rsidR="000D7414" w:rsidRPr="003A3AE7" w:rsidRDefault="004069CA"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2,134</w:t>
            </w:r>
          </w:p>
        </w:tc>
        <w:tc>
          <w:tcPr>
            <w:tcW w:w="992" w:type="dxa"/>
            <w:tcBorders>
              <w:top w:val="single" w:sz="4" w:space="0" w:color="auto"/>
              <w:left w:val="nil"/>
              <w:bottom w:val="nil"/>
              <w:right w:val="single" w:sz="4" w:space="0" w:color="auto"/>
            </w:tcBorders>
            <w:vAlign w:val="center"/>
          </w:tcPr>
          <w:p w:rsidR="000D7414" w:rsidRPr="003A3AE7" w:rsidRDefault="00B57EB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1,51</w:t>
            </w:r>
            <w:r w:rsidR="004069CA" w:rsidRPr="003A3AE7">
              <w:rPr>
                <w:rFonts w:ascii="Arial" w:eastAsia="Times New Roman" w:hAnsi="Arial" w:cs="Arial"/>
                <w:lang w:eastAsia="en-GB"/>
              </w:rPr>
              <w:t>1</w:t>
            </w:r>
          </w:p>
        </w:tc>
        <w:tc>
          <w:tcPr>
            <w:tcW w:w="1134" w:type="dxa"/>
            <w:tcBorders>
              <w:top w:val="single" w:sz="4" w:space="0" w:color="auto"/>
              <w:left w:val="single" w:sz="4" w:space="0" w:color="auto"/>
              <w:bottom w:val="nil"/>
              <w:right w:val="nil"/>
            </w:tcBorders>
            <w:shd w:val="clear" w:color="auto" w:fill="auto"/>
            <w:noWrap/>
            <w:vAlign w:val="center"/>
          </w:tcPr>
          <w:p w:rsidR="000D7414" w:rsidRPr="003A3AE7" w:rsidRDefault="004069CA"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2,</w:t>
            </w:r>
            <w:r w:rsidR="00471B8B" w:rsidRPr="003A3AE7">
              <w:rPr>
                <w:rFonts w:ascii="Arial" w:eastAsia="Times New Roman" w:hAnsi="Arial" w:cs="Arial"/>
                <w:lang w:eastAsia="en-GB"/>
              </w:rPr>
              <w:t>144</w:t>
            </w:r>
          </w:p>
        </w:tc>
        <w:tc>
          <w:tcPr>
            <w:tcW w:w="1221" w:type="dxa"/>
            <w:tcBorders>
              <w:top w:val="single" w:sz="4" w:space="0" w:color="auto"/>
              <w:left w:val="single" w:sz="4" w:space="0" w:color="auto"/>
              <w:bottom w:val="nil"/>
              <w:right w:val="single" w:sz="4" w:space="0" w:color="auto"/>
            </w:tcBorders>
            <w:shd w:val="clear" w:color="auto" w:fill="auto"/>
            <w:noWrap/>
            <w:vAlign w:val="center"/>
          </w:tcPr>
          <w:p w:rsidR="000D7414" w:rsidRPr="003A3AE7" w:rsidRDefault="004069CA"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10</w:t>
            </w:r>
          </w:p>
        </w:tc>
      </w:tr>
      <w:tr w:rsidR="000D7414" w:rsidRPr="00616004" w:rsidTr="00C32CFA">
        <w:trPr>
          <w:trHeight w:val="300"/>
          <w:jc w:val="center"/>
        </w:trPr>
        <w:tc>
          <w:tcPr>
            <w:tcW w:w="2951" w:type="dxa"/>
            <w:tcBorders>
              <w:top w:val="nil"/>
              <w:left w:val="single" w:sz="4" w:space="0" w:color="auto"/>
              <w:bottom w:val="nil"/>
              <w:right w:val="nil"/>
            </w:tcBorders>
            <w:shd w:val="clear" w:color="auto" w:fill="auto"/>
            <w:noWrap/>
            <w:vAlign w:val="center"/>
            <w:hideMark/>
          </w:tcPr>
          <w:p w:rsidR="000D7414" w:rsidRPr="003A3AE7" w:rsidRDefault="000D7414" w:rsidP="00484385">
            <w:pPr>
              <w:spacing w:after="0" w:line="240" w:lineRule="auto"/>
              <w:rPr>
                <w:rFonts w:ascii="Arial" w:eastAsia="Times New Roman" w:hAnsi="Arial" w:cs="Arial"/>
                <w:lang w:eastAsia="en-GB"/>
              </w:rPr>
            </w:pPr>
            <w:r w:rsidRPr="003A3AE7">
              <w:rPr>
                <w:rFonts w:ascii="Arial" w:eastAsia="Times New Roman" w:hAnsi="Arial" w:cs="Arial"/>
                <w:lang w:eastAsia="en-GB"/>
              </w:rPr>
              <w:t xml:space="preserve">Sustainable Development, </w:t>
            </w:r>
          </w:p>
          <w:p w:rsidR="000D7414" w:rsidRPr="003A3AE7" w:rsidRDefault="000D7414" w:rsidP="00484385">
            <w:pPr>
              <w:spacing w:after="0" w:line="240" w:lineRule="auto"/>
              <w:rPr>
                <w:rFonts w:ascii="Arial" w:eastAsia="Times New Roman" w:hAnsi="Arial" w:cs="Arial"/>
                <w:lang w:eastAsia="en-GB"/>
              </w:rPr>
            </w:pPr>
            <w:r w:rsidRPr="003A3AE7">
              <w:rPr>
                <w:rFonts w:ascii="Arial" w:eastAsia="Times New Roman" w:hAnsi="Arial" w:cs="Arial"/>
                <w:lang w:eastAsia="en-GB"/>
              </w:rPr>
              <w:t>Planning &amp; Transport</w:t>
            </w:r>
          </w:p>
        </w:tc>
        <w:tc>
          <w:tcPr>
            <w:tcW w:w="1134" w:type="dxa"/>
            <w:tcBorders>
              <w:top w:val="nil"/>
              <w:left w:val="single" w:sz="4" w:space="0" w:color="auto"/>
              <w:bottom w:val="nil"/>
              <w:right w:val="single" w:sz="4" w:space="0" w:color="auto"/>
            </w:tcBorders>
            <w:shd w:val="clear" w:color="auto" w:fill="auto"/>
            <w:noWrap/>
            <w:vAlign w:val="center"/>
          </w:tcPr>
          <w:p w:rsidR="000D7414" w:rsidRPr="003A3AE7" w:rsidRDefault="003E36F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1,834</w:t>
            </w:r>
          </w:p>
        </w:tc>
        <w:tc>
          <w:tcPr>
            <w:tcW w:w="1134" w:type="dxa"/>
            <w:tcBorders>
              <w:top w:val="nil"/>
              <w:left w:val="nil"/>
              <w:bottom w:val="nil"/>
              <w:right w:val="single" w:sz="4" w:space="0" w:color="auto"/>
            </w:tcBorders>
            <w:shd w:val="clear" w:color="auto" w:fill="auto"/>
            <w:noWrap/>
            <w:vAlign w:val="center"/>
          </w:tcPr>
          <w:p w:rsidR="000D7414" w:rsidRPr="003A3AE7" w:rsidRDefault="00D13962" w:rsidP="00484385">
            <w:pPr>
              <w:spacing w:after="0" w:line="240" w:lineRule="auto"/>
              <w:jc w:val="center"/>
              <w:rPr>
                <w:rFonts w:ascii="Arial" w:eastAsia="Times New Roman" w:hAnsi="Arial" w:cs="Arial"/>
                <w:lang w:eastAsia="en-GB"/>
              </w:rPr>
            </w:pPr>
            <w:r>
              <w:rPr>
                <w:rFonts w:ascii="Arial" w:eastAsia="Times New Roman" w:hAnsi="Arial" w:cs="Arial"/>
                <w:lang w:eastAsia="en-GB"/>
              </w:rPr>
              <w:t>2,127</w:t>
            </w:r>
          </w:p>
        </w:tc>
        <w:tc>
          <w:tcPr>
            <w:tcW w:w="992" w:type="dxa"/>
            <w:tcBorders>
              <w:top w:val="nil"/>
              <w:left w:val="nil"/>
              <w:bottom w:val="nil"/>
              <w:right w:val="single" w:sz="4" w:space="0" w:color="auto"/>
            </w:tcBorders>
            <w:vAlign w:val="center"/>
          </w:tcPr>
          <w:p w:rsidR="000D7414" w:rsidRPr="003A3AE7" w:rsidRDefault="00B57EB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1,016</w:t>
            </w:r>
          </w:p>
        </w:tc>
        <w:tc>
          <w:tcPr>
            <w:tcW w:w="1134" w:type="dxa"/>
            <w:tcBorders>
              <w:top w:val="nil"/>
              <w:left w:val="single" w:sz="4" w:space="0" w:color="auto"/>
              <w:bottom w:val="nil"/>
              <w:right w:val="nil"/>
            </w:tcBorders>
            <w:shd w:val="clear" w:color="auto" w:fill="auto"/>
            <w:noWrap/>
            <w:vAlign w:val="center"/>
          </w:tcPr>
          <w:p w:rsidR="000D7414" w:rsidRPr="003A3AE7" w:rsidRDefault="00684F3F"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1,8</w:t>
            </w:r>
            <w:r w:rsidR="00D13962">
              <w:rPr>
                <w:rFonts w:ascii="Arial" w:eastAsia="Times New Roman" w:hAnsi="Arial" w:cs="Arial"/>
                <w:lang w:eastAsia="en-GB"/>
              </w:rPr>
              <w:t>26</w:t>
            </w:r>
          </w:p>
        </w:tc>
        <w:tc>
          <w:tcPr>
            <w:tcW w:w="1221" w:type="dxa"/>
            <w:tcBorders>
              <w:top w:val="nil"/>
              <w:left w:val="single" w:sz="4" w:space="0" w:color="auto"/>
              <w:bottom w:val="nil"/>
              <w:right w:val="single" w:sz="4" w:space="0" w:color="auto"/>
            </w:tcBorders>
            <w:shd w:val="clear" w:color="auto" w:fill="auto"/>
            <w:noWrap/>
            <w:vAlign w:val="center"/>
          </w:tcPr>
          <w:p w:rsidR="000D7414" w:rsidRPr="00484385" w:rsidRDefault="00B57EBB" w:rsidP="00484385">
            <w:pPr>
              <w:spacing w:after="0" w:line="240" w:lineRule="auto"/>
              <w:jc w:val="center"/>
              <w:rPr>
                <w:rFonts w:ascii="Arial" w:eastAsia="Times New Roman" w:hAnsi="Arial" w:cs="Arial"/>
                <w:color w:val="0000FF"/>
                <w:lang w:eastAsia="en-GB"/>
              </w:rPr>
            </w:pPr>
            <w:r w:rsidRPr="00484385">
              <w:rPr>
                <w:rFonts w:ascii="Arial" w:eastAsia="Times New Roman" w:hAnsi="Arial" w:cs="Arial"/>
                <w:color w:val="0000FF"/>
                <w:lang w:eastAsia="en-GB"/>
              </w:rPr>
              <w:t>(301)</w:t>
            </w:r>
          </w:p>
        </w:tc>
      </w:tr>
      <w:tr w:rsidR="000D7414" w:rsidRPr="00616004" w:rsidTr="00C32CFA">
        <w:trPr>
          <w:trHeight w:val="630"/>
          <w:jc w:val="center"/>
        </w:trPr>
        <w:tc>
          <w:tcPr>
            <w:tcW w:w="2951" w:type="dxa"/>
            <w:tcBorders>
              <w:top w:val="nil"/>
              <w:left w:val="single" w:sz="4" w:space="0" w:color="auto"/>
              <w:bottom w:val="nil"/>
              <w:right w:val="nil"/>
            </w:tcBorders>
            <w:shd w:val="clear" w:color="auto" w:fill="auto"/>
            <w:noWrap/>
            <w:vAlign w:val="center"/>
            <w:hideMark/>
          </w:tcPr>
          <w:p w:rsidR="000D7414" w:rsidRPr="003A3AE7" w:rsidRDefault="000D7414" w:rsidP="00484385">
            <w:pPr>
              <w:spacing w:after="0" w:line="240" w:lineRule="auto"/>
              <w:rPr>
                <w:rFonts w:ascii="Arial" w:eastAsia="Times New Roman" w:hAnsi="Arial" w:cs="Arial"/>
                <w:lang w:eastAsia="en-GB"/>
              </w:rPr>
            </w:pPr>
            <w:r w:rsidRPr="003A3AE7">
              <w:rPr>
                <w:rFonts w:ascii="Arial" w:eastAsia="Times New Roman" w:hAnsi="Arial" w:cs="Arial"/>
                <w:lang w:eastAsia="en-GB"/>
              </w:rPr>
              <w:t>General Public Services &amp; Community Safety</w:t>
            </w:r>
          </w:p>
        </w:tc>
        <w:tc>
          <w:tcPr>
            <w:tcW w:w="1134" w:type="dxa"/>
            <w:tcBorders>
              <w:top w:val="nil"/>
              <w:left w:val="single" w:sz="4" w:space="0" w:color="auto"/>
              <w:bottom w:val="nil"/>
              <w:right w:val="single" w:sz="4" w:space="0" w:color="auto"/>
            </w:tcBorders>
            <w:shd w:val="clear" w:color="auto" w:fill="auto"/>
            <w:noWrap/>
            <w:vAlign w:val="center"/>
          </w:tcPr>
          <w:p w:rsidR="000D7414" w:rsidRPr="003A3AE7" w:rsidRDefault="003E36F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1,947</w:t>
            </w:r>
          </w:p>
        </w:tc>
        <w:tc>
          <w:tcPr>
            <w:tcW w:w="1134" w:type="dxa"/>
            <w:tcBorders>
              <w:top w:val="nil"/>
              <w:left w:val="nil"/>
              <w:bottom w:val="nil"/>
              <w:right w:val="single" w:sz="4" w:space="0" w:color="auto"/>
            </w:tcBorders>
            <w:shd w:val="clear" w:color="auto" w:fill="auto"/>
            <w:noWrap/>
            <w:vAlign w:val="center"/>
          </w:tcPr>
          <w:p w:rsidR="000D7414" w:rsidRPr="003A3AE7" w:rsidRDefault="00684F3F"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1,77</w:t>
            </w:r>
            <w:r w:rsidR="00F14D7A" w:rsidRPr="003A3AE7">
              <w:rPr>
                <w:rFonts w:ascii="Arial" w:eastAsia="Times New Roman" w:hAnsi="Arial" w:cs="Arial"/>
                <w:lang w:eastAsia="en-GB"/>
              </w:rPr>
              <w:t>7</w:t>
            </w:r>
          </w:p>
        </w:tc>
        <w:tc>
          <w:tcPr>
            <w:tcW w:w="992" w:type="dxa"/>
            <w:tcBorders>
              <w:top w:val="nil"/>
              <w:left w:val="nil"/>
              <w:bottom w:val="nil"/>
              <w:right w:val="single" w:sz="4" w:space="0" w:color="auto"/>
            </w:tcBorders>
            <w:vAlign w:val="center"/>
          </w:tcPr>
          <w:p w:rsidR="000D7414" w:rsidRPr="003A3AE7" w:rsidRDefault="00B57EB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1,012</w:t>
            </w:r>
          </w:p>
        </w:tc>
        <w:tc>
          <w:tcPr>
            <w:tcW w:w="1134" w:type="dxa"/>
            <w:tcBorders>
              <w:top w:val="nil"/>
              <w:left w:val="single" w:sz="4" w:space="0" w:color="auto"/>
              <w:bottom w:val="nil"/>
              <w:right w:val="nil"/>
            </w:tcBorders>
            <w:shd w:val="clear" w:color="auto" w:fill="auto"/>
            <w:noWrap/>
            <w:vAlign w:val="center"/>
          </w:tcPr>
          <w:p w:rsidR="000D7414" w:rsidRPr="003A3AE7" w:rsidRDefault="00B57EB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1,691</w:t>
            </w:r>
          </w:p>
        </w:tc>
        <w:tc>
          <w:tcPr>
            <w:tcW w:w="1221" w:type="dxa"/>
            <w:tcBorders>
              <w:top w:val="nil"/>
              <w:left w:val="single" w:sz="4" w:space="0" w:color="auto"/>
              <w:bottom w:val="nil"/>
              <w:right w:val="single" w:sz="4" w:space="0" w:color="auto"/>
            </w:tcBorders>
            <w:shd w:val="clear" w:color="auto" w:fill="auto"/>
            <w:noWrap/>
            <w:vAlign w:val="center"/>
          </w:tcPr>
          <w:p w:rsidR="000D7414" w:rsidRPr="00484385" w:rsidRDefault="00B57EBB" w:rsidP="00484385">
            <w:pPr>
              <w:spacing w:after="0" w:line="240" w:lineRule="auto"/>
              <w:jc w:val="center"/>
              <w:rPr>
                <w:rFonts w:ascii="Arial" w:eastAsia="Times New Roman" w:hAnsi="Arial" w:cs="Arial"/>
                <w:color w:val="0000FF"/>
                <w:lang w:eastAsia="en-GB"/>
              </w:rPr>
            </w:pPr>
            <w:r w:rsidRPr="00484385">
              <w:rPr>
                <w:rFonts w:ascii="Arial" w:eastAsia="Times New Roman" w:hAnsi="Arial" w:cs="Arial"/>
                <w:color w:val="0000FF"/>
                <w:lang w:eastAsia="en-GB"/>
              </w:rPr>
              <w:t>(86</w:t>
            </w:r>
            <w:r w:rsidR="004069CA" w:rsidRPr="00484385">
              <w:rPr>
                <w:rFonts w:ascii="Arial" w:eastAsia="Times New Roman" w:hAnsi="Arial" w:cs="Arial"/>
                <w:color w:val="0000FF"/>
                <w:lang w:eastAsia="en-GB"/>
              </w:rPr>
              <w:t>)</w:t>
            </w:r>
          </w:p>
        </w:tc>
      </w:tr>
      <w:tr w:rsidR="000D7414" w:rsidRPr="00616004" w:rsidTr="00C32CFA">
        <w:trPr>
          <w:trHeight w:val="355"/>
          <w:jc w:val="center"/>
        </w:trPr>
        <w:tc>
          <w:tcPr>
            <w:tcW w:w="2951" w:type="dxa"/>
            <w:tcBorders>
              <w:top w:val="nil"/>
              <w:left w:val="single" w:sz="4" w:space="0" w:color="auto"/>
              <w:bottom w:val="single" w:sz="4" w:space="0" w:color="auto"/>
              <w:right w:val="nil"/>
            </w:tcBorders>
            <w:shd w:val="clear" w:color="auto" w:fill="auto"/>
            <w:noWrap/>
            <w:hideMark/>
          </w:tcPr>
          <w:p w:rsidR="000D7414" w:rsidRPr="003A3AE7" w:rsidRDefault="000D7414" w:rsidP="00484385">
            <w:pPr>
              <w:spacing w:after="0" w:line="240" w:lineRule="auto"/>
              <w:rPr>
                <w:rFonts w:ascii="Arial" w:eastAsia="Times New Roman" w:hAnsi="Arial" w:cs="Arial"/>
                <w:lang w:eastAsia="en-GB"/>
              </w:rPr>
            </w:pPr>
            <w:r w:rsidRPr="003A3AE7">
              <w:rPr>
                <w:rFonts w:ascii="Arial" w:eastAsia="Times New Roman" w:hAnsi="Arial" w:cs="Arial"/>
                <w:lang w:eastAsia="en-GB"/>
              </w:rPr>
              <w:t>Policy &amp; Resources</w:t>
            </w:r>
          </w:p>
        </w:tc>
        <w:tc>
          <w:tcPr>
            <w:tcW w:w="1134" w:type="dxa"/>
            <w:tcBorders>
              <w:top w:val="nil"/>
              <w:left w:val="single" w:sz="4" w:space="0" w:color="auto"/>
              <w:bottom w:val="single" w:sz="4" w:space="0" w:color="auto"/>
              <w:right w:val="single" w:sz="4" w:space="0" w:color="auto"/>
            </w:tcBorders>
            <w:shd w:val="clear" w:color="auto" w:fill="auto"/>
            <w:noWrap/>
          </w:tcPr>
          <w:p w:rsidR="000D7414" w:rsidRPr="003A3AE7" w:rsidRDefault="00E41045"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4,487</w:t>
            </w:r>
          </w:p>
        </w:tc>
        <w:tc>
          <w:tcPr>
            <w:tcW w:w="1134" w:type="dxa"/>
            <w:tcBorders>
              <w:top w:val="nil"/>
              <w:left w:val="nil"/>
              <w:bottom w:val="single" w:sz="4" w:space="0" w:color="auto"/>
              <w:right w:val="single" w:sz="4" w:space="0" w:color="auto"/>
            </w:tcBorders>
            <w:shd w:val="clear" w:color="auto" w:fill="auto"/>
            <w:noWrap/>
          </w:tcPr>
          <w:p w:rsidR="000D7414" w:rsidRPr="003A3AE7" w:rsidRDefault="004069CA"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4,912</w:t>
            </w:r>
          </w:p>
        </w:tc>
        <w:tc>
          <w:tcPr>
            <w:tcW w:w="992" w:type="dxa"/>
            <w:tcBorders>
              <w:top w:val="nil"/>
              <w:left w:val="nil"/>
              <w:bottom w:val="single" w:sz="4" w:space="0" w:color="auto"/>
              <w:right w:val="single" w:sz="4" w:space="0" w:color="auto"/>
            </w:tcBorders>
          </w:tcPr>
          <w:p w:rsidR="000D7414" w:rsidRPr="003A3AE7" w:rsidRDefault="00B57EB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4,981</w:t>
            </w:r>
          </w:p>
        </w:tc>
        <w:tc>
          <w:tcPr>
            <w:tcW w:w="1134" w:type="dxa"/>
            <w:tcBorders>
              <w:top w:val="nil"/>
              <w:left w:val="single" w:sz="4" w:space="0" w:color="auto"/>
              <w:bottom w:val="single" w:sz="4" w:space="0" w:color="auto"/>
              <w:right w:val="nil"/>
            </w:tcBorders>
            <w:shd w:val="clear" w:color="auto" w:fill="auto"/>
            <w:noWrap/>
          </w:tcPr>
          <w:p w:rsidR="000D7414" w:rsidRPr="003A3AE7" w:rsidRDefault="00684F3F"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5,</w:t>
            </w:r>
            <w:r w:rsidR="004A512E" w:rsidRPr="003A3AE7">
              <w:rPr>
                <w:rFonts w:ascii="Arial" w:eastAsia="Times New Roman" w:hAnsi="Arial" w:cs="Arial"/>
                <w:lang w:eastAsia="en-GB"/>
              </w:rPr>
              <w:t>082</w:t>
            </w:r>
          </w:p>
        </w:tc>
        <w:tc>
          <w:tcPr>
            <w:tcW w:w="1221" w:type="dxa"/>
            <w:tcBorders>
              <w:top w:val="nil"/>
              <w:left w:val="single" w:sz="4" w:space="0" w:color="auto"/>
              <w:bottom w:val="single" w:sz="4" w:space="0" w:color="auto"/>
              <w:right w:val="single" w:sz="4" w:space="0" w:color="auto"/>
            </w:tcBorders>
            <w:shd w:val="clear" w:color="auto" w:fill="auto"/>
            <w:noWrap/>
          </w:tcPr>
          <w:p w:rsidR="000D7414" w:rsidRPr="003A3AE7" w:rsidRDefault="00B57EBB" w:rsidP="00484385">
            <w:pPr>
              <w:spacing w:after="0" w:line="240" w:lineRule="auto"/>
              <w:jc w:val="center"/>
              <w:rPr>
                <w:rFonts w:ascii="Arial" w:eastAsia="Times New Roman" w:hAnsi="Arial" w:cs="Arial"/>
                <w:lang w:eastAsia="en-GB"/>
              </w:rPr>
            </w:pPr>
            <w:r w:rsidRPr="003A3AE7">
              <w:rPr>
                <w:rFonts w:ascii="Arial" w:eastAsia="Times New Roman" w:hAnsi="Arial" w:cs="Arial"/>
                <w:lang w:eastAsia="en-GB"/>
              </w:rPr>
              <w:t>170</w:t>
            </w:r>
          </w:p>
        </w:tc>
      </w:tr>
      <w:tr w:rsidR="000D7414" w:rsidRPr="00616004" w:rsidTr="00C32CFA">
        <w:trPr>
          <w:trHeight w:val="340"/>
          <w:jc w:val="center"/>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414" w:rsidRPr="003A3AE7" w:rsidRDefault="000D7414" w:rsidP="00484385">
            <w:pPr>
              <w:spacing w:after="0" w:line="240" w:lineRule="auto"/>
              <w:rPr>
                <w:rFonts w:ascii="Arial" w:eastAsia="Times New Roman" w:hAnsi="Arial" w:cs="Arial"/>
                <w:b/>
                <w:bCs/>
                <w:lang w:eastAsia="en-GB"/>
              </w:rPr>
            </w:pPr>
            <w:r w:rsidRPr="003A3AE7">
              <w:rPr>
                <w:rFonts w:ascii="Arial" w:eastAsia="Times New Roman" w:hAnsi="Arial" w:cs="Arial"/>
                <w:b/>
                <w:bCs/>
                <w:lang w:eastAsia="en-GB"/>
              </w:rPr>
              <w:t>Net General Fund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7414" w:rsidRPr="003A3AE7" w:rsidRDefault="003E36FB" w:rsidP="00484385">
            <w:pPr>
              <w:spacing w:after="0" w:line="240" w:lineRule="auto"/>
              <w:jc w:val="center"/>
              <w:rPr>
                <w:rFonts w:ascii="Arial" w:eastAsia="Times New Roman" w:hAnsi="Arial" w:cs="Arial"/>
                <w:b/>
                <w:bCs/>
                <w:lang w:eastAsia="en-GB"/>
              </w:rPr>
            </w:pPr>
            <w:r w:rsidRPr="003A3AE7">
              <w:rPr>
                <w:rFonts w:ascii="Arial" w:eastAsia="Times New Roman" w:hAnsi="Arial" w:cs="Arial"/>
                <w:b/>
                <w:bCs/>
                <w:lang w:eastAsia="en-GB"/>
              </w:rPr>
              <w:t>10,538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7414" w:rsidRPr="003A3AE7" w:rsidRDefault="004069CA" w:rsidP="00484385">
            <w:pPr>
              <w:spacing w:after="0" w:line="240" w:lineRule="auto"/>
              <w:jc w:val="center"/>
              <w:rPr>
                <w:rFonts w:ascii="Arial" w:eastAsia="Times New Roman" w:hAnsi="Arial" w:cs="Arial"/>
                <w:b/>
                <w:bCs/>
                <w:lang w:eastAsia="en-GB"/>
              </w:rPr>
            </w:pPr>
            <w:r w:rsidRPr="003A3AE7">
              <w:rPr>
                <w:rFonts w:ascii="Arial" w:eastAsia="Times New Roman" w:hAnsi="Arial" w:cs="Arial"/>
                <w:b/>
                <w:bCs/>
                <w:lang w:eastAsia="en-GB"/>
              </w:rPr>
              <w:t>10,950</w:t>
            </w:r>
          </w:p>
        </w:tc>
        <w:tc>
          <w:tcPr>
            <w:tcW w:w="992" w:type="dxa"/>
            <w:tcBorders>
              <w:top w:val="single" w:sz="4" w:space="0" w:color="auto"/>
              <w:left w:val="nil"/>
              <w:bottom w:val="single" w:sz="4" w:space="0" w:color="auto"/>
              <w:right w:val="single" w:sz="4" w:space="0" w:color="auto"/>
            </w:tcBorders>
            <w:vAlign w:val="center"/>
          </w:tcPr>
          <w:p w:rsidR="000D7414" w:rsidRPr="003A3AE7" w:rsidRDefault="00F379AD" w:rsidP="00484385">
            <w:pPr>
              <w:spacing w:after="0" w:line="240" w:lineRule="auto"/>
              <w:jc w:val="center"/>
              <w:rPr>
                <w:rFonts w:ascii="Arial" w:eastAsia="Times New Roman" w:hAnsi="Arial" w:cs="Arial"/>
                <w:b/>
                <w:bCs/>
                <w:color w:val="365F91" w:themeColor="accent1" w:themeShade="BF"/>
                <w:lang w:eastAsia="en-GB"/>
              </w:rPr>
            </w:pPr>
            <w:r>
              <w:rPr>
                <w:rFonts w:ascii="Arial" w:eastAsia="Times New Roman" w:hAnsi="Arial" w:cs="Arial"/>
                <w:b/>
                <w:bCs/>
                <w:lang w:eastAsia="en-GB"/>
              </w:rPr>
              <w:t>8,520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414" w:rsidRPr="003A3AE7" w:rsidRDefault="00484385"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10,743</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0D7414" w:rsidRPr="00484385" w:rsidRDefault="00B57EBB" w:rsidP="00484385">
            <w:pPr>
              <w:spacing w:after="0" w:line="240" w:lineRule="auto"/>
              <w:jc w:val="center"/>
              <w:rPr>
                <w:rFonts w:ascii="Arial" w:eastAsia="Times New Roman" w:hAnsi="Arial" w:cs="Arial"/>
                <w:b/>
                <w:bCs/>
                <w:color w:val="0000FF"/>
                <w:lang w:eastAsia="en-GB"/>
              </w:rPr>
            </w:pPr>
            <w:r w:rsidRPr="00484385">
              <w:rPr>
                <w:rFonts w:ascii="Arial" w:eastAsia="Times New Roman" w:hAnsi="Arial" w:cs="Arial"/>
                <w:b/>
                <w:bCs/>
                <w:color w:val="0000FF"/>
                <w:lang w:eastAsia="en-GB"/>
              </w:rPr>
              <w:t>(207</w:t>
            </w:r>
            <w:r w:rsidR="00471B8B" w:rsidRPr="00484385">
              <w:rPr>
                <w:rFonts w:ascii="Arial" w:eastAsia="Times New Roman" w:hAnsi="Arial" w:cs="Arial"/>
                <w:b/>
                <w:bCs/>
                <w:color w:val="0000FF"/>
                <w:lang w:eastAsia="en-GB"/>
              </w:rPr>
              <w:t>)</w:t>
            </w:r>
          </w:p>
        </w:tc>
      </w:tr>
      <w:tr w:rsidR="003A3AE7" w:rsidRPr="00616004" w:rsidTr="00C32CFA">
        <w:trPr>
          <w:trHeight w:val="340"/>
          <w:jc w:val="center"/>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AE7" w:rsidRPr="003A3AE7" w:rsidRDefault="003A3AE7" w:rsidP="00484385">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Interest Received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AE7" w:rsidRPr="003A3AE7" w:rsidRDefault="003A3AE7"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AE7" w:rsidRPr="003A3AE7" w:rsidRDefault="003A3AE7"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0</w:t>
            </w:r>
          </w:p>
        </w:tc>
        <w:tc>
          <w:tcPr>
            <w:tcW w:w="992" w:type="dxa"/>
            <w:tcBorders>
              <w:top w:val="single" w:sz="4" w:space="0" w:color="auto"/>
              <w:left w:val="nil"/>
              <w:bottom w:val="single" w:sz="4" w:space="0" w:color="auto"/>
              <w:right w:val="single" w:sz="4" w:space="0" w:color="auto"/>
            </w:tcBorders>
            <w:vAlign w:val="center"/>
          </w:tcPr>
          <w:p w:rsidR="003A3AE7" w:rsidRPr="003A3AE7" w:rsidRDefault="003A3AE7"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AE7" w:rsidRPr="003A3AE7" w:rsidRDefault="000875CB"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25</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A3AE7" w:rsidRPr="003A3AE7" w:rsidRDefault="000875CB"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25</w:t>
            </w:r>
          </w:p>
        </w:tc>
      </w:tr>
      <w:tr w:rsidR="003A3AE7" w:rsidRPr="00616004" w:rsidTr="00C32CFA">
        <w:trPr>
          <w:trHeight w:val="340"/>
          <w:jc w:val="center"/>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AE7" w:rsidRPr="003A3AE7" w:rsidRDefault="00F379AD" w:rsidP="00484385">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Total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AE7" w:rsidRPr="003A3AE7" w:rsidRDefault="003A3AE7"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10,538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3AE7" w:rsidRPr="003A3AE7" w:rsidRDefault="003A3AE7"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10,950</w:t>
            </w:r>
          </w:p>
        </w:tc>
        <w:tc>
          <w:tcPr>
            <w:tcW w:w="992" w:type="dxa"/>
            <w:tcBorders>
              <w:top w:val="single" w:sz="4" w:space="0" w:color="auto"/>
              <w:left w:val="nil"/>
              <w:bottom w:val="single" w:sz="4" w:space="0" w:color="auto"/>
              <w:right w:val="single" w:sz="4" w:space="0" w:color="auto"/>
            </w:tcBorders>
            <w:vAlign w:val="center"/>
          </w:tcPr>
          <w:p w:rsidR="003A3AE7" w:rsidRPr="003A3AE7" w:rsidRDefault="00F379AD"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8,520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AE7" w:rsidRPr="003A3AE7" w:rsidRDefault="000875CB" w:rsidP="0048438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10,768</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3A3AE7" w:rsidRPr="003A3AE7" w:rsidRDefault="003A3AE7" w:rsidP="00484385">
            <w:pPr>
              <w:spacing w:after="0" w:line="240" w:lineRule="auto"/>
              <w:jc w:val="center"/>
              <w:rPr>
                <w:rFonts w:ascii="Arial" w:eastAsia="Times New Roman" w:hAnsi="Arial" w:cs="Arial"/>
                <w:b/>
                <w:bCs/>
                <w:lang w:eastAsia="en-GB"/>
              </w:rPr>
            </w:pPr>
            <w:r w:rsidRPr="00484385">
              <w:rPr>
                <w:rFonts w:ascii="Arial" w:eastAsia="Times New Roman" w:hAnsi="Arial" w:cs="Arial"/>
                <w:b/>
                <w:bCs/>
                <w:color w:val="0000FF"/>
                <w:lang w:eastAsia="en-GB"/>
              </w:rPr>
              <w:t>(</w:t>
            </w:r>
            <w:r w:rsidR="000875CB">
              <w:rPr>
                <w:rFonts w:ascii="Arial" w:eastAsia="Times New Roman" w:hAnsi="Arial" w:cs="Arial"/>
                <w:b/>
                <w:bCs/>
                <w:color w:val="0000FF"/>
                <w:lang w:eastAsia="en-GB"/>
              </w:rPr>
              <w:t>182</w:t>
            </w:r>
            <w:r w:rsidRPr="00484385">
              <w:rPr>
                <w:rFonts w:ascii="Arial" w:eastAsia="Times New Roman" w:hAnsi="Arial" w:cs="Arial"/>
                <w:b/>
                <w:bCs/>
                <w:color w:val="0000FF"/>
                <w:lang w:eastAsia="en-GB"/>
              </w:rPr>
              <w:t>)</w:t>
            </w:r>
          </w:p>
        </w:tc>
      </w:tr>
    </w:tbl>
    <w:p w:rsidR="004F1F4B" w:rsidRDefault="000D7414" w:rsidP="00484385">
      <w:pPr>
        <w:tabs>
          <w:tab w:val="left" w:pos="1260"/>
          <w:tab w:val="left" w:pos="1980"/>
          <w:tab w:val="left" w:pos="2700"/>
          <w:tab w:val="left" w:pos="3420"/>
        </w:tabs>
        <w:spacing w:after="160" w:line="240" w:lineRule="auto"/>
        <w:ind w:left="1267" w:hanging="1267"/>
        <w:jc w:val="both"/>
        <w:rPr>
          <w:rFonts w:ascii="Arial" w:eastAsia="Times New Roman" w:hAnsi="Arial" w:cs="Times New Roman"/>
          <w:szCs w:val="20"/>
          <w:lang w:eastAsia="en-GB"/>
        </w:rPr>
      </w:pPr>
      <w:r>
        <w:rPr>
          <w:rFonts w:ascii="Arial" w:eastAsia="Times New Roman" w:hAnsi="Arial" w:cs="Times New Roman"/>
          <w:szCs w:val="20"/>
          <w:lang w:eastAsia="en-GB"/>
        </w:rPr>
        <w:tab/>
      </w:r>
    </w:p>
    <w:p w:rsidR="000D7414" w:rsidRPr="00D61B4E" w:rsidRDefault="00C32CFA" w:rsidP="00484385">
      <w:pPr>
        <w:tabs>
          <w:tab w:val="left" w:pos="709"/>
          <w:tab w:val="left" w:pos="1980"/>
          <w:tab w:val="left" w:pos="2700"/>
          <w:tab w:val="left" w:pos="3420"/>
        </w:tabs>
        <w:spacing w:after="160" w:line="240" w:lineRule="auto"/>
        <w:ind w:left="705" w:hanging="705"/>
        <w:jc w:val="both"/>
        <w:rPr>
          <w:rFonts w:ascii="Arial" w:eastAsia="Times New Roman" w:hAnsi="Arial" w:cs="Times New Roman"/>
          <w:b/>
          <w:szCs w:val="20"/>
          <w:lang w:eastAsia="en-GB"/>
        </w:rPr>
      </w:pPr>
      <w:r>
        <w:rPr>
          <w:rFonts w:ascii="Arial" w:eastAsia="Times New Roman" w:hAnsi="Arial" w:cs="Times New Roman"/>
          <w:szCs w:val="20"/>
          <w:lang w:eastAsia="en-GB"/>
        </w:rPr>
        <w:t>1.4</w:t>
      </w:r>
      <w:r w:rsidR="004F1F4B">
        <w:rPr>
          <w:rFonts w:ascii="Arial" w:eastAsia="Times New Roman" w:hAnsi="Arial" w:cs="Times New Roman"/>
          <w:szCs w:val="20"/>
          <w:lang w:eastAsia="en-GB"/>
        </w:rPr>
        <w:tab/>
      </w:r>
      <w:r w:rsidR="0000747C">
        <w:rPr>
          <w:rFonts w:ascii="Arial" w:eastAsia="Times New Roman" w:hAnsi="Arial" w:cs="Times New Roman"/>
          <w:szCs w:val="20"/>
          <w:lang w:eastAsia="en-GB"/>
        </w:rPr>
        <w:tab/>
      </w:r>
      <w:r w:rsidR="000D7414" w:rsidRPr="00D61B4E">
        <w:rPr>
          <w:rFonts w:ascii="Arial" w:eastAsia="Times New Roman" w:hAnsi="Arial" w:cs="Times New Roman"/>
          <w:szCs w:val="20"/>
          <w:lang w:eastAsia="en-GB"/>
        </w:rPr>
        <w:t>Each Committee’s revenue medium term financial plan which incorporates comments by Officers is shown</w:t>
      </w:r>
      <w:r w:rsidR="000D7414" w:rsidRPr="00D61B4E">
        <w:rPr>
          <w:rFonts w:ascii="Arial" w:eastAsia="Times New Roman" w:hAnsi="Arial" w:cs="Times New Roman"/>
          <w:b/>
          <w:szCs w:val="20"/>
          <w:lang w:eastAsia="en-GB"/>
        </w:rPr>
        <w:t xml:space="preserve"> Appendix 1</w:t>
      </w:r>
      <w:r w:rsidR="000D7414" w:rsidRPr="00D61B4E">
        <w:rPr>
          <w:rFonts w:ascii="Arial" w:eastAsia="Times New Roman" w:hAnsi="Arial" w:cs="Times New Roman"/>
          <w:szCs w:val="20"/>
          <w:lang w:eastAsia="en-GB"/>
        </w:rPr>
        <w:t>.</w:t>
      </w:r>
      <w:r w:rsidR="000D7414" w:rsidRPr="00D61B4E">
        <w:rPr>
          <w:rFonts w:ascii="Arial" w:eastAsia="Times New Roman" w:hAnsi="Arial" w:cs="Times New Roman"/>
          <w:b/>
          <w:szCs w:val="20"/>
          <w:lang w:eastAsia="en-GB"/>
        </w:rPr>
        <w:t xml:space="preserve"> </w:t>
      </w:r>
    </w:p>
    <w:p w:rsidR="00B52061" w:rsidRPr="006D2CEC" w:rsidRDefault="00C32CFA" w:rsidP="00484385">
      <w:pPr>
        <w:tabs>
          <w:tab w:val="left" w:pos="1276"/>
          <w:tab w:val="left" w:pos="1980"/>
          <w:tab w:val="left" w:pos="2700"/>
          <w:tab w:val="left" w:pos="3420"/>
        </w:tabs>
        <w:spacing w:after="160" w:line="240" w:lineRule="auto"/>
        <w:ind w:left="720" w:hanging="720"/>
        <w:jc w:val="both"/>
        <w:rPr>
          <w:rFonts w:ascii="Arial" w:eastAsia="Times New Roman" w:hAnsi="Arial" w:cs="Arial"/>
          <w:lang w:eastAsia="en-GB"/>
        </w:rPr>
      </w:pPr>
      <w:r>
        <w:rPr>
          <w:rFonts w:ascii="Arial" w:eastAsia="Times New Roman" w:hAnsi="Arial" w:cs="Arial"/>
          <w:lang w:eastAsia="en-GB"/>
        </w:rPr>
        <w:t>1.</w:t>
      </w:r>
      <w:r w:rsidR="003305FF">
        <w:rPr>
          <w:rFonts w:ascii="Arial" w:eastAsia="Times New Roman" w:hAnsi="Arial" w:cs="Arial"/>
          <w:lang w:eastAsia="en-GB"/>
        </w:rPr>
        <w:t>5</w:t>
      </w:r>
      <w:r>
        <w:rPr>
          <w:rFonts w:ascii="Arial" w:eastAsia="Times New Roman" w:hAnsi="Arial" w:cs="Arial"/>
          <w:lang w:eastAsia="en-GB"/>
        </w:rPr>
        <w:tab/>
      </w:r>
      <w:r w:rsidR="00F413F8" w:rsidRPr="00616004">
        <w:rPr>
          <w:rFonts w:ascii="Arial" w:eastAsia="Times New Roman" w:hAnsi="Arial" w:cs="Arial"/>
          <w:lang w:eastAsia="en-GB"/>
        </w:rPr>
        <w:t xml:space="preserve">The detail of comparing latest budget to the forecast outturn together with an explanation of the variances by </w:t>
      </w:r>
      <w:r w:rsidR="000B7C9E" w:rsidRPr="00616004">
        <w:rPr>
          <w:rFonts w:ascii="Arial" w:eastAsia="Times New Roman" w:hAnsi="Arial" w:cs="Arial"/>
          <w:lang w:eastAsia="en-GB"/>
        </w:rPr>
        <w:t>committee is</w:t>
      </w:r>
      <w:r w:rsidR="00F413F8" w:rsidRPr="00616004">
        <w:rPr>
          <w:rFonts w:ascii="Arial" w:eastAsia="Times New Roman" w:hAnsi="Arial" w:cs="Arial"/>
          <w:lang w:eastAsia="en-GB"/>
        </w:rPr>
        <w:t xml:space="preserve"> </w:t>
      </w:r>
      <w:r w:rsidR="000B7C9E" w:rsidRPr="00616004">
        <w:rPr>
          <w:rFonts w:ascii="Arial" w:eastAsia="Times New Roman" w:hAnsi="Arial" w:cs="Arial"/>
          <w:lang w:eastAsia="en-GB"/>
        </w:rPr>
        <w:t>shown in</w:t>
      </w:r>
      <w:r w:rsidR="00F413F8" w:rsidRPr="00616004">
        <w:rPr>
          <w:rFonts w:ascii="Arial" w:eastAsia="Times New Roman" w:hAnsi="Arial" w:cs="Arial"/>
          <w:lang w:eastAsia="en-GB"/>
        </w:rPr>
        <w:t xml:space="preserve"> </w:t>
      </w:r>
      <w:r w:rsidR="00F413F8" w:rsidRPr="00616004">
        <w:rPr>
          <w:rFonts w:ascii="Arial" w:eastAsia="Times New Roman" w:hAnsi="Arial" w:cs="Arial"/>
          <w:b/>
          <w:lang w:eastAsia="en-GB"/>
        </w:rPr>
        <w:t xml:space="preserve">Appendix 2. </w:t>
      </w:r>
      <w:r w:rsidR="003F4BF7">
        <w:rPr>
          <w:rFonts w:ascii="Arial" w:eastAsia="Times New Roman" w:hAnsi="Arial" w:cs="Arial"/>
          <w:lang w:eastAsia="en-GB"/>
        </w:rPr>
        <w:t>Committee’s</w:t>
      </w:r>
      <w:r w:rsidR="00F413F8" w:rsidRPr="00C32CFA">
        <w:rPr>
          <w:rFonts w:ascii="Arial" w:eastAsia="Times New Roman" w:hAnsi="Arial" w:cs="Arial"/>
          <w:lang w:eastAsia="en-GB"/>
        </w:rPr>
        <w:t xml:space="preserve"> with significant variances are p</w:t>
      </w:r>
      <w:r w:rsidR="006D2CEC">
        <w:rPr>
          <w:rFonts w:ascii="Arial" w:eastAsia="Times New Roman" w:hAnsi="Arial" w:cs="Arial"/>
          <w:lang w:eastAsia="en-GB"/>
        </w:rPr>
        <w:t>rovided in the narratives below</w:t>
      </w:r>
    </w:p>
    <w:p w:rsidR="00817023" w:rsidRPr="00703D00" w:rsidRDefault="00817023" w:rsidP="00BA0688">
      <w:pPr>
        <w:tabs>
          <w:tab w:val="left" w:pos="709"/>
        </w:tabs>
        <w:spacing w:after="160"/>
        <w:jc w:val="both"/>
        <w:rPr>
          <w:rFonts w:ascii="Arial" w:eastAsia="Times New Roman" w:hAnsi="Arial" w:cs="Arial"/>
          <w:b/>
          <w:lang w:eastAsia="en-GB"/>
        </w:rPr>
      </w:pPr>
      <w:r>
        <w:rPr>
          <w:rFonts w:ascii="Arial" w:eastAsia="Times New Roman" w:hAnsi="Arial" w:cs="Arial"/>
          <w:lang w:eastAsia="en-GB"/>
        </w:rPr>
        <w:t>1.6</w:t>
      </w:r>
      <w:r>
        <w:rPr>
          <w:rFonts w:ascii="Arial" w:eastAsia="Times New Roman" w:hAnsi="Arial" w:cs="Arial"/>
          <w:b/>
          <w:lang w:eastAsia="en-GB"/>
        </w:rPr>
        <w:tab/>
      </w:r>
      <w:r w:rsidRPr="00703D00">
        <w:rPr>
          <w:rFonts w:ascii="Arial" w:eastAsia="Times New Roman" w:hAnsi="Arial" w:cs="Arial"/>
          <w:b/>
          <w:lang w:eastAsia="en-GB"/>
        </w:rPr>
        <w:t>Leisure, Wellbeing &amp; Health</w:t>
      </w:r>
    </w:p>
    <w:p w:rsidR="00E940DB" w:rsidRPr="00E940DB" w:rsidRDefault="00F21835" w:rsidP="0039449C">
      <w:pPr>
        <w:pStyle w:val="ListParagraph"/>
        <w:numPr>
          <w:ilvl w:val="0"/>
          <w:numId w:val="37"/>
        </w:numPr>
        <w:tabs>
          <w:tab w:val="clear" w:pos="1980"/>
          <w:tab w:val="left" w:pos="709"/>
          <w:tab w:val="left" w:pos="851"/>
        </w:tabs>
        <w:spacing w:after="160" w:line="276" w:lineRule="auto"/>
        <w:ind w:left="1276" w:hanging="425"/>
        <w:rPr>
          <w:rFonts w:cs="Arial"/>
        </w:rPr>
      </w:pPr>
      <w:r w:rsidRPr="00703D00">
        <w:rPr>
          <w:rFonts w:cs="Arial"/>
        </w:rPr>
        <w:t>Cemeteries</w:t>
      </w:r>
      <w:r w:rsidR="00703D00" w:rsidRPr="00703D00">
        <w:rPr>
          <w:rFonts w:cs="Arial"/>
        </w:rPr>
        <w:t xml:space="preserve">: - </w:t>
      </w:r>
      <w:r w:rsidR="00703D00">
        <w:rPr>
          <w:rFonts w:cs="Arial"/>
        </w:rPr>
        <w:t xml:space="preserve">Reduction in income </w:t>
      </w:r>
      <w:r w:rsidR="0039449C">
        <w:rPr>
          <w:rFonts w:cs="Arial"/>
        </w:rPr>
        <w:t>of</w:t>
      </w:r>
      <w:r w:rsidR="00703D00">
        <w:rPr>
          <w:rFonts w:cs="Arial"/>
        </w:rPr>
        <w:t xml:space="preserve"> £10,000 due to the lower demand.</w:t>
      </w:r>
    </w:p>
    <w:p w:rsidR="00C053A2" w:rsidRPr="00703D00" w:rsidRDefault="006D2CEC" w:rsidP="00BA0688">
      <w:pPr>
        <w:tabs>
          <w:tab w:val="left" w:pos="709"/>
        </w:tabs>
        <w:spacing w:after="160"/>
        <w:jc w:val="both"/>
        <w:rPr>
          <w:rFonts w:ascii="Arial" w:eastAsia="Times New Roman" w:hAnsi="Arial" w:cs="Arial"/>
          <w:b/>
          <w:lang w:eastAsia="en-GB"/>
        </w:rPr>
      </w:pPr>
      <w:r>
        <w:rPr>
          <w:rFonts w:ascii="Arial" w:eastAsia="Times New Roman" w:hAnsi="Arial" w:cs="Arial"/>
          <w:lang w:eastAsia="en-GB"/>
        </w:rPr>
        <w:t>1.</w:t>
      </w:r>
      <w:r w:rsidR="00817023">
        <w:rPr>
          <w:rFonts w:ascii="Arial" w:eastAsia="Times New Roman" w:hAnsi="Arial" w:cs="Arial"/>
          <w:lang w:eastAsia="en-GB"/>
        </w:rPr>
        <w:t>7</w:t>
      </w:r>
      <w:r w:rsidR="00126A95" w:rsidRPr="00703D00">
        <w:rPr>
          <w:rFonts w:ascii="Arial" w:eastAsia="Times New Roman" w:hAnsi="Arial" w:cs="Arial"/>
          <w:b/>
          <w:lang w:eastAsia="en-GB"/>
        </w:rPr>
        <w:tab/>
      </w:r>
      <w:r w:rsidR="00126A95" w:rsidRPr="00703D00">
        <w:rPr>
          <w:rFonts w:ascii="Arial" w:eastAsia="Times New Roman" w:hAnsi="Arial" w:cs="Arial"/>
          <w:b/>
          <w:lang w:eastAsia="en-GB"/>
        </w:rPr>
        <w:tab/>
      </w:r>
      <w:r w:rsidR="0034135E" w:rsidRPr="00703D00">
        <w:rPr>
          <w:rFonts w:ascii="Arial" w:eastAsia="Times New Roman" w:hAnsi="Arial" w:cs="Arial"/>
          <w:b/>
          <w:lang w:eastAsia="en-GB"/>
        </w:rPr>
        <w:t>Sustainable</w:t>
      </w:r>
      <w:r w:rsidR="00F413F8" w:rsidRPr="00703D00">
        <w:rPr>
          <w:rFonts w:ascii="Arial" w:eastAsia="Times New Roman" w:hAnsi="Arial" w:cs="Arial"/>
          <w:b/>
          <w:lang w:eastAsia="en-GB"/>
        </w:rPr>
        <w:t xml:space="preserve"> De</w:t>
      </w:r>
      <w:r w:rsidR="003F4BF7" w:rsidRPr="00703D00">
        <w:rPr>
          <w:rFonts w:ascii="Arial" w:eastAsia="Times New Roman" w:hAnsi="Arial" w:cs="Arial"/>
          <w:b/>
          <w:lang w:eastAsia="en-GB"/>
        </w:rPr>
        <w:t>velopment, Planning &amp; Transport</w:t>
      </w:r>
      <w:r w:rsidR="00F413F8" w:rsidRPr="00703D00">
        <w:rPr>
          <w:rFonts w:ascii="Arial" w:eastAsia="Times New Roman" w:hAnsi="Arial" w:cs="Arial"/>
          <w:b/>
          <w:lang w:eastAsia="en-GB"/>
        </w:rPr>
        <w:t xml:space="preserve"> </w:t>
      </w:r>
    </w:p>
    <w:p w:rsidR="00E940DB" w:rsidRDefault="00703D00" w:rsidP="00BA0688">
      <w:pPr>
        <w:pStyle w:val="ListParagraph"/>
        <w:numPr>
          <w:ilvl w:val="0"/>
          <w:numId w:val="37"/>
        </w:numPr>
        <w:tabs>
          <w:tab w:val="left" w:pos="709"/>
        </w:tabs>
        <w:spacing w:after="120" w:line="276" w:lineRule="auto"/>
        <w:ind w:left="1276" w:hanging="425"/>
        <w:rPr>
          <w:rFonts w:cs="Arial"/>
        </w:rPr>
      </w:pPr>
      <w:r w:rsidRPr="00703D00">
        <w:rPr>
          <w:rFonts w:cs="Arial"/>
        </w:rPr>
        <w:t>Homelessness</w:t>
      </w:r>
      <w:r w:rsidR="00863725">
        <w:rPr>
          <w:rFonts w:cs="Arial"/>
        </w:rPr>
        <w:t>- Reduction of costs of temporary a</w:t>
      </w:r>
      <w:r w:rsidR="00547B5D">
        <w:rPr>
          <w:rFonts w:cs="Arial"/>
        </w:rPr>
        <w:t>ccommodation</w:t>
      </w:r>
      <w:r w:rsidR="00AA1843">
        <w:rPr>
          <w:rFonts w:cs="Arial"/>
        </w:rPr>
        <w:t xml:space="preserve"> of </w:t>
      </w:r>
      <w:r w:rsidR="00AA1843" w:rsidRPr="00AA1843">
        <w:rPr>
          <w:rFonts w:cs="Arial"/>
          <w:color w:val="0000FF"/>
        </w:rPr>
        <w:t>(£280,000)</w:t>
      </w:r>
      <w:r w:rsidR="00547B5D">
        <w:rPr>
          <w:rFonts w:cs="Arial"/>
        </w:rPr>
        <w:t xml:space="preserve"> provision</w:t>
      </w:r>
      <w:r w:rsidR="00863725">
        <w:rPr>
          <w:rFonts w:cs="Arial"/>
        </w:rPr>
        <w:t xml:space="preserve"> of </w:t>
      </w:r>
      <w:r w:rsidR="00AA1843">
        <w:rPr>
          <w:rFonts w:cs="Arial"/>
        </w:rPr>
        <w:t xml:space="preserve">due to: </w:t>
      </w:r>
    </w:p>
    <w:p w:rsidR="000143FA" w:rsidRDefault="00E940DB" w:rsidP="00BA0688">
      <w:pPr>
        <w:pStyle w:val="ListParagraph"/>
        <w:numPr>
          <w:ilvl w:val="0"/>
          <w:numId w:val="40"/>
        </w:numPr>
        <w:tabs>
          <w:tab w:val="left" w:pos="709"/>
        </w:tabs>
        <w:spacing w:after="120" w:line="276" w:lineRule="auto"/>
        <w:rPr>
          <w:rFonts w:cs="Arial"/>
        </w:rPr>
      </w:pPr>
      <w:r>
        <w:rPr>
          <w:rFonts w:cs="Arial"/>
        </w:rPr>
        <w:t>Le</w:t>
      </w:r>
      <w:r w:rsidR="00547B5D" w:rsidRPr="00E940DB">
        <w:rPr>
          <w:rFonts w:cs="Arial"/>
        </w:rPr>
        <w:t>ss expensive provision of temporary accommodation due to the acquisition in the year of le</w:t>
      </w:r>
      <w:r w:rsidR="00863725">
        <w:rPr>
          <w:rFonts w:cs="Arial"/>
        </w:rPr>
        <w:t>aseholder buy</w:t>
      </w:r>
      <w:r w:rsidR="00A71693">
        <w:rPr>
          <w:rFonts w:cs="Arial"/>
        </w:rPr>
        <w:t>-</w:t>
      </w:r>
      <w:r w:rsidR="00863725">
        <w:rPr>
          <w:rFonts w:cs="Arial"/>
        </w:rPr>
        <w:t>in properties in S</w:t>
      </w:r>
      <w:r w:rsidR="00547B5D" w:rsidRPr="00E940DB">
        <w:rPr>
          <w:rFonts w:cs="Arial"/>
        </w:rPr>
        <w:t xml:space="preserve">outh </w:t>
      </w:r>
      <w:proofErr w:type="spellStart"/>
      <w:r w:rsidR="00547B5D" w:rsidRPr="00E940DB">
        <w:rPr>
          <w:rFonts w:cs="Arial"/>
        </w:rPr>
        <w:t>Oxhey</w:t>
      </w:r>
      <w:proofErr w:type="spellEnd"/>
      <w:r w:rsidR="00547B5D" w:rsidRPr="00E940DB">
        <w:rPr>
          <w:rFonts w:cs="Arial"/>
        </w:rPr>
        <w:t xml:space="preserve"> (Thrive) which are being used as temporary accommodation thus reducing </w:t>
      </w:r>
      <w:r w:rsidRPr="00E940DB">
        <w:rPr>
          <w:rFonts w:cs="Arial"/>
        </w:rPr>
        <w:t>the</w:t>
      </w:r>
      <w:r w:rsidR="00547B5D" w:rsidRPr="00E940DB">
        <w:rPr>
          <w:rFonts w:cs="Arial"/>
        </w:rPr>
        <w:t xml:space="preserve"> pay</w:t>
      </w:r>
      <w:r w:rsidR="00863725">
        <w:rPr>
          <w:rFonts w:cs="Arial"/>
        </w:rPr>
        <w:t xml:space="preserve">ment to </w:t>
      </w:r>
      <w:r w:rsidR="00A71693">
        <w:rPr>
          <w:rFonts w:cs="Arial"/>
        </w:rPr>
        <w:t xml:space="preserve">more expensive </w:t>
      </w:r>
      <w:r w:rsidR="00863725">
        <w:rPr>
          <w:rFonts w:cs="Arial"/>
        </w:rPr>
        <w:t>private landlords.  Th</w:t>
      </w:r>
      <w:r w:rsidR="00A71693">
        <w:rPr>
          <w:rFonts w:cs="Arial"/>
        </w:rPr>
        <w:t xml:space="preserve">ere is also rental income for these properties which is shown </w:t>
      </w:r>
      <w:proofErr w:type="gramStart"/>
      <w:r w:rsidR="00A71693">
        <w:rPr>
          <w:rFonts w:cs="Arial"/>
        </w:rPr>
        <w:t xml:space="preserve">in </w:t>
      </w:r>
      <w:r w:rsidR="0039449C">
        <w:rPr>
          <w:rFonts w:cs="Arial"/>
        </w:rPr>
        <w:t xml:space="preserve"> </w:t>
      </w:r>
      <w:r w:rsidR="00A71693">
        <w:rPr>
          <w:rFonts w:cs="Arial"/>
        </w:rPr>
        <w:t>p</w:t>
      </w:r>
      <w:r w:rsidR="0039449C">
        <w:rPr>
          <w:rFonts w:cs="Arial"/>
        </w:rPr>
        <w:t>roperty</w:t>
      </w:r>
      <w:proofErr w:type="gramEnd"/>
      <w:r w:rsidR="0039449C">
        <w:rPr>
          <w:rFonts w:cs="Arial"/>
        </w:rPr>
        <w:t xml:space="preserve"> </w:t>
      </w:r>
      <w:r w:rsidR="00A71693">
        <w:rPr>
          <w:rFonts w:cs="Arial"/>
        </w:rPr>
        <w:t>i</w:t>
      </w:r>
      <w:r w:rsidR="0039449C">
        <w:rPr>
          <w:rFonts w:cs="Arial"/>
        </w:rPr>
        <w:t>nvestment</w:t>
      </w:r>
      <w:r w:rsidR="00863725">
        <w:rPr>
          <w:rFonts w:cs="Arial"/>
        </w:rPr>
        <w:t xml:space="preserve"> income</w:t>
      </w:r>
      <w:r w:rsidR="0039449C">
        <w:rPr>
          <w:rFonts w:cs="Arial"/>
        </w:rPr>
        <w:t>.</w:t>
      </w:r>
      <w:r w:rsidR="0039449C" w:rsidRPr="0039449C">
        <w:rPr>
          <w:rFonts w:cs="Arial"/>
        </w:rPr>
        <w:t xml:space="preserve"> </w:t>
      </w:r>
      <w:r w:rsidR="0039449C">
        <w:rPr>
          <w:rFonts w:cs="Arial"/>
        </w:rPr>
        <w:t>(See Policy and Resources Committee at paragraph 1.9).</w:t>
      </w:r>
    </w:p>
    <w:p w:rsidR="0033799B" w:rsidRDefault="00E940DB" w:rsidP="00BA0688">
      <w:pPr>
        <w:pStyle w:val="ListParagraph"/>
        <w:numPr>
          <w:ilvl w:val="0"/>
          <w:numId w:val="40"/>
        </w:numPr>
        <w:tabs>
          <w:tab w:val="left" w:pos="709"/>
        </w:tabs>
        <w:spacing w:after="120" w:line="276" w:lineRule="auto"/>
        <w:rPr>
          <w:rFonts w:cs="Arial"/>
        </w:rPr>
      </w:pPr>
      <w:r>
        <w:rPr>
          <w:rFonts w:cs="Arial"/>
        </w:rPr>
        <w:t>Provision of cheaper temporary accommodation outside the district.</w:t>
      </w:r>
      <w:r w:rsidR="0033799B">
        <w:rPr>
          <w:rFonts w:cs="Arial"/>
        </w:rPr>
        <w:t xml:space="preserve"> </w:t>
      </w:r>
    </w:p>
    <w:p w:rsidR="0033799B" w:rsidRPr="0033799B" w:rsidRDefault="0033799B" w:rsidP="00BA0688">
      <w:pPr>
        <w:pStyle w:val="ListParagraph"/>
        <w:tabs>
          <w:tab w:val="left" w:pos="709"/>
        </w:tabs>
        <w:spacing w:after="120" w:line="276" w:lineRule="auto"/>
        <w:ind w:left="3076"/>
        <w:rPr>
          <w:rFonts w:cs="Arial"/>
        </w:rPr>
      </w:pPr>
    </w:p>
    <w:p w:rsidR="00BA0688" w:rsidRPr="00BA0688" w:rsidRDefault="00703D00" w:rsidP="00BA0688">
      <w:pPr>
        <w:pStyle w:val="ListParagraph"/>
        <w:numPr>
          <w:ilvl w:val="0"/>
          <w:numId w:val="9"/>
        </w:numPr>
        <w:tabs>
          <w:tab w:val="left" w:pos="709"/>
        </w:tabs>
        <w:spacing w:after="120" w:line="276" w:lineRule="auto"/>
        <w:ind w:left="1276" w:hanging="425"/>
        <w:rPr>
          <w:rFonts w:cs="Arial"/>
        </w:rPr>
      </w:pPr>
      <w:r w:rsidRPr="00703D00">
        <w:rPr>
          <w:rFonts w:cs="Arial"/>
        </w:rPr>
        <w:t xml:space="preserve">Final Payment for management fees for rent deposit scheme totalling </w:t>
      </w:r>
      <w:r w:rsidR="00E940DB">
        <w:rPr>
          <w:rFonts w:cs="Arial"/>
        </w:rPr>
        <w:t>£</w:t>
      </w:r>
      <w:r w:rsidRPr="00703D00">
        <w:rPr>
          <w:rFonts w:cs="Arial"/>
        </w:rPr>
        <w:t>12,000</w:t>
      </w:r>
      <w:r w:rsidR="00484385">
        <w:rPr>
          <w:rFonts w:cs="Arial"/>
        </w:rPr>
        <w:t>.</w:t>
      </w:r>
    </w:p>
    <w:p w:rsidR="005B2E75" w:rsidRPr="00967C6E" w:rsidRDefault="00BA0688" w:rsidP="00967C6E">
      <w:pPr>
        <w:pStyle w:val="ListParagraph"/>
        <w:numPr>
          <w:ilvl w:val="0"/>
          <w:numId w:val="9"/>
        </w:numPr>
        <w:tabs>
          <w:tab w:val="left" w:pos="709"/>
        </w:tabs>
        <w:spacing w:after="120" w:line="276" w:lineRule="auto"/>
        <w:ind w:left="1276" w:hanging="425"/>
        <w:rPr>
          <w:rFonts w:cs="Arial"/>
        </w:rPr>
      </w:pPr>
      <w:r>
        <w:rPr>
          <w:rFonts w:cs="Arial"/>
        </w:rPr>
        <w:t>Increased income from pre</w:t>
      </w:r>
      <w:r w:rsidR="00A71693">
        <w:rPr>
          <w:rFonts w:cs="Arial"/>
        </w:rPr>
        <w:t>-</w:t>
      </w:r>
      <w:r>
        <w:rPr>
          <w:rFonts w:cs="Arial"/>
        </w:rPr>
        <w:t xml:space="preserve">application fees and planning condition fees of </w:t>
      </w:r>
      <w:r w:rsidR="005053C6">
        <w:rPr>
          <w:rFonts w:cs="Arial"/>
          <w:color w:val="0000FF"/>
        </w:rPr>
        <w:t>(£33,000)</w:t>
      </w:r>
    </w:p>
    <w:p w:rsidR="00F63C6B" w:rsidRDefault="00C32CFA" w:rsidP="00F63C6B">
      <w:pPr>
        <w:tabs>
          <w:tab w:val="left" w:pos="709"/>
        </w:tabs>
        <w:spacing w:after="160"/>
        <w:rPr>
          <w:rFonts w:ascii="Arial" w:hAnsi="Arial" w:cs="Arial"/>
          <w:b/>
        </w:rPr>
      </w:pPr>
      <w:r w:rsidRPr="00F7282B">
        <w:rPr>
          <w:rFonts w:ascii="Arial" w:hAnsi="Arial" w:cs="Arial"/>
        </w:rPr>
        <w:t>1.</w:t>
      </w:r>
      <w:r w:rsidR="00817023" w:rsidRPr="00F7282B">
        <w:rPr>
          <w:rFonts w:ascii="Arial" w:hAnsi="Arial" w:cs="Arial"/>
        </w:rPr>
        <w:t>8</w:t>
      </w:r>
      <w:r w:rsidR="00F54810" w:rsidRPr="002F5052">
        <w:rPr>
          <w:rFonts w:ascii="Arial" w:hAnsi="Arial" w:cs="Arial"/>
          <w:b/>
          <w:color w:val="FF0000"/>
        </w:rPr>
        <w:tab/>
      </w:r>
      <w:r w:rsidR="0034135E" w:rsidRPr="00703D00">
        <w:rPr>
          <w:rFonts w:ascii="Arial" w:hAnsi="Arial" w:cs="Arial"/>
          <w:b/>
        </w:rPr>
        <w:t>General</w:t>
      </w:r>
      <w:r w:rsidR="00437522" w:rsidRPr="00703D00">
        <w:rPr>
          <w:rFonts w:ascii="Arial" w:hAnsi="Arial" w:cs="Arial"/>
          <w:b/>
        </w:rPr>
        <w:t xml:space="preserve"> Pub</w:t>
      </w:r>
      <w:r w:rsidR="003F4BF7" w:rsidRPr="00703D00">
        <w:rPr>
          <w:rFonts w:ascii="Arial" w:hAnsi="Arial" w:cs="Arial"/>
          <w:b/>
        </w:rPr>
        <w:t>lic Services &amp; Community Safety</w:t>
      </w:r>
    </w:p>
    <w:p w:rsidR="008F2762" w:rsidRPr="0039449C" w:rsidRDefault="0039449C" w:rsidP="0039449C">
      <w:pPr>
        <w:tabs>
          <w:tab w:val="left" w:pos="709"/>
          <w:tab w:val="left" w:pos="1276"/>
        </w:tabs>
        <w:spacing w:after="160" w:line="240" w:lineRule="auto"/>
        <w:rPr>
          <w:rFonts w:ascii="Arial" w:hAnsi="Arial" w:cs="Arial"/>
          <w:b/>
        </w:rPr>
      </w:pPr>
      <w:r w:rsidRPr="0039449C">
        <w:rPr>
          <w:rFonts w:ascii="Arial" w:hAnsi="Arial" w:cs="Arial"/>
        </w:rPr>
        <w:tab/>
      </w:r>
      <w:r>
        <w:rPr>
          <w:rFonts w:ascii="Arial" w:hAnsi="Arial" w:cs="Arial"/>
        </w:rPr>
        <w:tab/>
      </w:r>
      <w:proofErr w:type="gramStart"/>
      <w:r w:rsidR="008F2762" w:rsidRPr="0039449C">
        <w:rPr>
          <w:rFonts w:ascii="Arial" w:hAnsi="Arial" w:cs="Arial"/>
          <w:u w:val="single"/>
        </w:rPr>
        <w:t>Waste Service</w:t>
      </w:r>
      <w:r>
        <w:rPr>
          <w:rFonts w:ascii="Arial" w:hAnsi="Arial" w:cs="Arial"/>
          <w:u w:val="single"/>
        </w:rPr>
        <w:t>s</w:t>
      </w:r>
      <w:r w:rsidR="008F2762" w:rsidRPr="0039449C">
        <w:rPr>
          <w:rFonts w:ascii="Arial" w:hAnsi="Arial" w:cs="Arial"/>
        </w:rPr>
        <w:t>.</w:t>
      </w:r>
      <w:proofErr w:type="gramEnd"/>
      <w:r w:rsidR="008F2762" w:rsidRPr="0039449C">
        <w:rPr>
          <w:rFonts w:ascii="Arial" w:hAnsi="Arial" w:cs="Arial"/>
        </w:rPr>
        <w:t xml:space="preserve"> </w:t>
      </w:r>
    </w:p>
    <w:p w:rsidR="009C35B4" w:rsidRPr="009C35B4" w:rsidRDefault="0039449C" w:rsidP="00484385">
      <w:pPr>
        <w:pStyle w:val="ListParagraph"/>
        <w:numPr>
          <w:ilvl w:val="0"/>
          <w:numId w:val="9"/>
        </w:numPr>
        <w:spacing w:line="276" w:lineRule="auto"/>
        <w:ind w:left="1276" w:hanging="196"/>
        <w:jc w:val="left"/>
        <w:rPr>
          <w:rFonts w:cs="Arial"/>
          <w:szCs w:val="22"/>
        </w:rPr>
      </w:pPr>
      <w:r>
        <w:rPr>
          <w:rFonts w:cs="Arial"/>
        </w:rPr>
        <w:t>A</w:t>
      </w:r>
      <w:r w:rsidR="009C35B4">
        <w:rPr>
          <w:rFonts w:cs="Arial"/>
        </w:rPr>
        <w:t xml:space="preserve"> favourable variance of </w:t>
      </w:r>
      <w:r w:rsidR="00703D00" w:rsidRPr="005333EB">
        <w:rPr>
          <w:rFonts w:cs="Arial"/>
          <w:color w:val="0000FF"/>
        </w:rPr>
        <w:t>(£7</w:t>
      </w:r>
      <w:r w:rsidR="00024073" w:rsidRPr="005333EB">
        <w:rPr>
          <w:rFonts w:cs="Arial"/>
          <w:color w:val="0000FF"/>
        </w:rPr>
        <w:t>3</w:t>
      </w:r>
      <w:r w:rsidR="00703D00" w:rsidRPr="005333EB">
        <w:rPr>
          <w:rFonts w:cs="Arial"/>
          <w:color w:val="0000FF"/>
        </w:rPr>
        <w:t>,000</w:t>
      </w:r>
      <w:r w:rsidR="009C35B4" w:rsidRPr="005333EB">
        <w:rPr>
          <w:rFonts w:cs="Arial"/>
          <w:color w:val="0000FF"/>
        </w:rPr>
        <w:t>)</w:t>
      </w:r>
      <w:r>
        <w:rPr>
          <w:rFonts w:cs="Arial"/>
          <w:color w:val="0000FF"/>
        </w:rPr>
        <w:t xml:space="preserve"> </w:t>
      </w:r>
      <w:r>
        <w:rPr>
          <w:rFonts w:cs="Arial"/>
        </w:rPr>
        <w:t xml:space="preserve">is now predicted due to </w:t>
      </w:r>
      <w:r w:rsidR="005B2E75">
        <w:rPr>
          <w:rFonts w:cs="Arial"/>
        </w:rPr>
        <w:t xml:space="preserve">increased </w:t>
      </w:r>
      <w:r w:rsidR="003E6666">
        <w:rPr>
          <w:rFonts w:cs="Arial"/>
        </w:rPr>
        <w:t>income</w:t>
      </w:r>
      <w:r w:rsidR="003E6666" w:rsidRPr="0063048C">
        <w:rPr>
          <w:rFonts w:cs="Arial"/>
          <w:szCs w:val="22"/>
        </w:rPr>
        <w:t xml:space="preserve"> </w:t>
      </w:r>
      <w:r w:rsidR="003E6666">
        <w:rPr>
          <w:rFonts w:cs="Arial"/>
          <w:szCs w:val="22"/>
        </w:rPr>
        <w:t>from</w:t>
      </w:r>
      <w:r>
        <w:rPr>
          <w:rFonts w:cs="Arial"/>
          <w:szCs w:val="22"/>
        </w:rPr>
        <w:t xml:space="preserve"> HCC’s</w:t>
      </w:r>
      <w:r w:rsidR="009C35B4" w:rsidRPr="0063048C">
        <w:rPr>
          <w:rFonts w:cs="Arial"/>
          <w:szCs w:val="22"/>
        </w:rPr>
        <w:t xml:space="preserve"> waste model (Alternative Financial Model) regarding waste to land-fill sites.</w:t>
      </w:r>
    </w:p>
    <w:p w:rsidR="005333EB" w:rsidRPr="005333EB" w:rsidRDefault="0039449C" w:rsidP="00484385">
      <w:pPr>
        <w:pStyle w:val="ListParagraph"/>
        <w:numPr>
          <w:ilvl w:val="0"/>
          <w:numId w:val="10"/>
        </w:numPr>
        <w:tabs>
          <w:tab w:val="left" w:pos="709"/>
          <w:tab w:val="left" w:pos="3765"/>
        </w:tabs>
        <w:spacing w:after="160" w:line="276" w:lineRule="auto"/>
        <w:ind w:left="1276"/>
        <w:rPr>
          <w:rFonts w:cs="Arial"/>
          <w:b/>
        </w:rPr>
      </w:pPr>
      <w:r>
        <w:rPr>
          <w:rFonts w:cs="Arial"/>
        </w:rPr>
        <w:t>I</w:t>
      </w:r>
      <w:r w:rsidR="009C35B4">
        <w:rPr>
          <w:rFonts w:cs="Arial"/>
        </w:rPr>
        <w:t xml:space="preserve">ncrease in the </w:t>
      </w:r>
      <w:r w:rsidR="005333EB">
        <w:rPr>
          <w:rFonts w:cs="Arial"/>
        </w:rPr>
        <w:t>cost of disposal of cans and plastics for kerbside recycling</w:t>
      </w:r>
      <w:r w:rsidR="009C35B4">
        <w:rPr>
          <w:rFonts w:cs="Arial"/>
        </w:rPr>
        <w:t xml:space="preserve"> of £12,000</w:t>
      </w:r>
      <w:r>
        <w:rPr>
          <w:rFonts w:cs="Arial"/>
        </w:rPr>
        <w:t>, d</w:t>
      </w:r>
      <w:r w:rsidR="005333EB">
        <w:rPr>
          <w:rFonts w:cs="Arial"/>
        </w:rPr>
        <w:t>ue to fluctuations in the</w:t>
      </w:r>
      <w:r w:rsidR="00B15F9D">
        <w:rPr>
          <w:rFonts w:cs="Arial"/>
        </w:rPr>
        <w:t xml:space="preserve"> recycling </w:t>
      </w:r>
      <w:r w:rsidR="005333EB">
        <w:rPr>
          <w:rFonts w:cs="Arial"/>
        </w:rPr>
        <w:t>markets.</w:t>
      </w:r>
    </w:p>
    <w:p w:rsidR="005333EB" w:rsidRPr="007F007B" w:rsidRDefault="005333EB" w:rsidP="00484385">
      <w:pPr>
        <w:pStyle w:val="ListParagraph"/>
        <w:numPr>
          <w:ilvl w:val="0"/>
          <w:numId w:val="10"/>
        </w:numPr>
        <w:tabs>
          <w:tab w:val="left" w:pos="709"/>
          <w:tab w:val="left" w:pos="3765"/>
        </w:tabs>
        <w:spacing w:after="160" w:line="276" w:lineRule="auto"/>
        <w:ind w:left="1276"/>
        <w:rPr>
          <w:rFonts w:cs="Arial"/>
          <w:b/>
        </w:rPr>
      </w:pPr>
      <w:r>
        <w:rPr>
          <w:rFonts w:cs="Arial"/>
        </w:rPr>
        <w:lastRenderedPageBreak/>
        <w:t xml:space="preserve">Additional income from the sale of scrap metal and </w:t>
      </w:r>
      <w:r w:rsidR="00A71693">
        <w:rPr>
          <w:rFonts w:cs="Arial"/>
        </w:rPr>
        <w:t xml:space="preserve">environmental </w:t>
      </w:r>
      <w:r>
        <w:rPr>
          <w:rFonts w:cs="Arial"/>
        </w:rPr>
        <w:t xml:space="preserve">fixed penalty notices </w:t>
      </w:r>
      <w:r w:rsidRPr="005333EB">
        <w:rPr>
          <w:rFonts w:cs="Arial"/>
          <w:color w:val="0000FF"/>
        </w:rPr>
        <w:t>(£13,000).</w:t>
      </w:r>
    </w:p>
    <w:p w:rsidR="00484385" w:rsidRPr="00BA0688" w:rsidRDefault="007F007B" w:rsidP="00484385">
      <w:pPr>
        <w:pStyle w:val="ListParagraph"/>
        <w:numPr>
          <w:ilvl w:val="0"/>
          <w:numId w:val="10"/>
        </w:numPr>
        <w:tabs>
          <w:tab w:val="left" w:pos="709"/>
          <w:tab w:val="left" w:pos="3765"/>
        </w:tabs>
        <w:spacing w:after="160" w:line="276" w:lineRule="auto"/>
        <w:ind w:left="1276"/>
        <w:rPr>
          <w:rFonts w:cs="Arial"/>
          <w:b/>
        </w:rPr>
      </w:pPr>
      <w:r w:rsidRPr="007F007B">
        <w:rPr>
          <w:rFonts w:cs="Arial"/>
        </w:rPr>
        <w:t>Additional income received from trade waste for the disposal of glass, paper and card</w:t>
      </w:r>
      <w:r>
        <w:rPr>
          <w:rFonts w:cs="Arial"/>
        </w:rPr>
        <w:t xml:space="preserve"> </w:t>
      </w:r>
      <w:r w:rsidRPr="00AA1843">
        <w:rPr>
          <w:rFonts w:cs="Arial"/>
          <w:color w:val="0000FF"/>
        </w:rPr>
        <w:t>(£12,000)</w:t>
      </w:r>
      <w:r w:rsidR="00F379AD">
        <w:rPr>
          <w:rFonts w:cs="Arial"/>
          <w:color w:val="0000FF"/>
        </w:rPr>
        <w:t>.</w:t>
      </w:r>
    </w:p>
    <w:p w:rsidR="0033799B" w:rsidRPr="00F379AD" w:rsidRDefault="00C32CFA" w:rsidP="00484385">
      <w:pPr>
        <w:tabs>
          <w:tab w:val="left" w:pos="709"/>
          <w:tab w:val="left" w:pos="3765"/>
        </w:tabs>
        <w:spacing w:after="160"/>
        <w:rPr>
          <w:rFonts w:ascii="Arial" w:hAnsi="Arial" w:cs="Arial"/>
          <w:b/>
        </w:rPr>
      </w:pPr>
      <w:r w:rsidRPr="008F2762">
        <w:rPr>
          <w:rFonts w:ascii="Arial" w:hAnsi="Arial" w:cs="Arial"/>
        </w:rPr>
        <w:t>1.</w:t>
      </w:r>
      <w:r w:rsidR="00817023" w:rsidRPr="008F2762">
        <w:rPr>
          <w:rFonts w:ascii="Arial" w:hAnsi="Arial" w:cs="Arial"/>
        </w:rPr>
        <w:t>9</w:t>
      </w:r>
      <w:r w:rsidR="0034135E" w:rsidRPr="008F2762">
        <w:rPr>
          <w:rFonts w:cs="Arial"/>
          <w:b/>
        </w:rPr>
        <w:t xml:space="preserve"> </w:t>
      </w:r>
      <w:r w:rsidR="00034C55" w:rsidRPr="008F2762">
        <w:rPr>
          <w:rFonts w:cs="Arial"/>
          <w:b/>
        </w:rPr>
        <w:t xml:space="preserve"> </w:t>
      </w:r>
      <w:r w:rsidR="009823D3" w:rsidRPr="008F2762">
        <w:rPr>
          <w:rFonts w:cs="Arial"/>
          <w:b/>
        </w:rPr>
        <w:tab/>
      </w:r>
      <w:r w:rsidR="001E44F9" w:rsidRPr="008F2762">
        <w:rPr>
          <w:rFonts w:ascii="Arial" w:hAnsi="Arial" w:cs="Arial"/>
          <w:b/>
        </w:rPr>
        <w:t>Polic</w:t>
      </w:r>
      <w:r w:rsidR="003F4BF7" w:rsidRPr="008F2762">
        <w:rPr>
          <w:rFonts w:ascii="Arial" w:hAnsi="Arial" w:cs="Arial"/>
          <w:b/>
        </w:rPr>
        <w:t>y and Resources</w:t>
      </w:r>
    </w:p>
    <w:p w:rsidR="0033799B" w:rsidRPr="00D97D7A" w:rsidRDefault="00627222" w:rsidP="00484385">
      <w:pPr>
        <w:pStyle w:val="ListParagraph"/>
        <w:numPr>
          <w:ilvl w:val="0"/>
          <w:numId w:val="37"/>
        </w:numPr>
        <w:tabs>
          <w:tab w:val="left" w:pos="709"/>
        </w:tabs>
        <w:spacing w:after="120" w:line="276" w:lineRule="auto"/>
        <w:ind w:left="1276" w:hanging="425"/>
        <w:rPr>
          <w:rFonts w:cs="Arial"/>
        </w:rPr>
      </w:pPr>
      <w:r w:rsidRPr="00D97D7A">
        <w:rPr>
          <w:rFonts w:cs="Arial"/>
        </w:rPr>
        <w:t>Property Investment</w:t>
      </w:r>
      <w:r w:rsidR="0039449C">
        <w:rPr>
          <w:rFonts w:cs="Arial"/>
        </w:rPr>
        <w:t xml:space="preserve"> </w:t>
      </w:r>
      <w:r w:rsidR="00A71693">
        <w:rPr>
          <w:rFonts w:cs="Arial"/>
        </w:rPr>
        <w:t>–</w:t>
      </w:r>
      <w:r w:rsidRPr="00D97D7A">
        <w:rPr>
          <w:rFonts w:cs="Arial"/>
        </w:rPr>
        <w:t xml:space="preserve"> </w:t>
      </w:r>
      <w:r w:rsidR="00A71693">
        <w:rPr>
          <w:rFonts w:cs="Arial"/>
        </w:rPr>
        <w:t>variance of</w:t>
      </w:r>
      <w:r w:rsidR="0033799B" w:rsidRPr="00D97D7A">
        <w:rPr>
          <w:rFonts w:cs="Arial"/>
        </w:rPr>
        <w:t xml:space="preserve"> £</w:t>
      </w:r>
      <w:r w:rsidRPr="00D97D7A">
        <w:rPr>
          <w:rFonts w:cs="Arial"/>
        </w:rPr>
        <w:t>214,70</w:t>
      </w:r>
      <w:r w:rsidR="00AA1843" w:rsidRPr="00D97D7A">
        <w:rPr>
          <w:rFonts w:cs="Arial"/>
        </w:rPr>
        <w:t xml:space="preserve">0 </w:t>
      </w:r>
      <w:r w:rsidRPr="00D97D7A">
        <w:rPr>
          <w:rFonts w:cs="Arial"/>
        </w:rPr>
        <w:t xml:space="preserve">due to savings in the cost of temporary accommodation in properties at South </w:t>
      </w:r>
      <w:proofErr w:type="spellStart"/>
      <w:r w:rsidRPr="00D97D7A">
        <w:rPr>
          <w:rFonts w:cs="Arial"/>
        </w:rPr>
        <w:t>Oxhey</w:t>
      </w:r>
      <w:proofErr w:type="spellEnd"/>
      <w:r w:rsidRPr="00D97D7A">
        <w:rPr>
          <w:rFonts w:cs="Arial"/>
        </w:rPr>
        <w:t xml:space="preserve"> which have </w:t>
      </w:r>
      <w:r w:rsidR="00D14EF7" w:rsidRPr="00D97D7A">
        <w:rPr>
          <w:rFonts w:cs="Arial"/>
        </w:rPr>
        <w:t>been</w:t>
      </w:r>
      <w:r w:rsidRPr="00D97D7A">
        <w:rPr>
          <w:rFonts w:cs="Arial"/>
        </w:rPr>
        <w:t xml:space="preserve"> allocated to the Homelessness cost centre in the</w:t>
      </w:r>
      <w:r w:rsidR="0033799B" w:rsidRPr="00D97D7A">
        <w:rPr>
          <w:rFonts w:cs="Arial"/>
        </w:rPr>
        <w:t xml:space="preserve"> Sustainable Deve</w:t>
      </w:r>
      <w:r w:rsidRPr="00D97D7A">
        <w:rPr>
          <w:rFonts w:cs="Arial"/>
        </w:rPr>
        <w:t xml:space="preserve">lopment and Transport Committee </w:t>
      </w:r>
      <w:r w:rsidR="001F1BD5" w:rsidRPr="00D97D7A">
        <w:rPr>
          <w:rFonts w:cs="Arial"/>
        </w:rPr>
        <w:t>(see</w:t>
      </w:r>
      <w:r w:rsidR="0039449C">
        <w:rPr>
          <w:rFonts w:cs="Arial"/>
        </w:rPr>
        <w:t xml:space="preserve"> paragraph 1.7</w:t>
      </w:r>
      <w:r w:rsidRPr="00D97D7A">
        <w:rPr>
          <w:rFonts w:cs="Arial"/>
        </w:rPr>
        <w:t xml:space="preserve"> above)</w:t>
      </w:r>
      <w:r w:rsidR="00A71693">
        <w:rPr>
          <w:rFonts w:cs="Arial"/>
        </w:rPr>
        <w:t xml:space="preserve"> and had been </w:t>
      </w:r>
      <w:r w:rsidR="00FB420F">
        <w:rPr>
          <w:rFonts w:cs="Arial"/>
        </w:rPr>
        <w:t>acc</w:t>
      </w:r>
      <w:r w:rsidR="00A71693">
        <w:rPr>
          <w:rFonts w:cs="Arial"/>
        </w:rPr>
        <w:t xml:space="preserve">ounted </w:t>
      </w:r>
      <w:r w:rsidR="00FB420F">
        <w:rPr>
          <w:rFonts w:cs="Arial"/>
        </w:rPr>
        <w:t xml:space="preserve">for as </w:t>
      </w:r>
      <w:r w:rsidR="00A71693">
        <w:rPr>
          <w:rFonts w:cs="Arial"/>
        </w:rPr>
        <w:t>Property Income</w:t>
      </w:r>
      <w:r w:rsidRPr="00D97D7A">
        <w:rPr>
          <w:rFonts w:cs="Arial"/>
        </w:rPr>
        <w:t xml:space="preserve">. </w:t>
      </w:r>
    </w:p>
    <w:p w:rsidR="008F2762" w:rsidRPr="00484385" w:rsidRDefault="00B15F9D" w:rsidP="00484385">
      <w:pPr>
        <w:pStyle w:val="ListParagraph"/>
        <w:numPr>
          <w:ilvl w:val="0"/>
          <w:numId w:val="11"/>
        </w:numPr>
        <w:spacing w:line="276" w:lineRule="auto"/>
        <w:ind w:hanging="589"/>
        <w:rPr>
          <w:rFonts w:cs="Arial"/>
        </w:rPr>
      </w:pPr>
      <w:r>
        <w:rPr>
          <w:rFonts w:cs="Arial"/>
        </w:rPr>
        <w:t>Customer Service Centre</w:t>
      </w:r>
      <w:r w:rsidR="00C901F8" w:rsidRPr="008F2762">
        <w:rPr>
          <w:rFonts w:cs="Arial"/>
        </w:rPr>
        <w:t xml:space="preserve"> </w:t>
      </w:r>
      <w:r w:rsidR="0033799B">
        <w:rPr>
          <w:rFonts w:cs="Arial"/>
        </w:rPr>
        <w:t>–</w:t>
      </w:r>
      <w:r w:rsidR="00C901F8" w:rsidRPr="008F2762">
        <w:rPr>
          <w:rFonts w:cs="Arial"/>
        </w:rPr>
        <w:t xml:space="preserve"> </w:t>
      </w:r>
      <w:r w:rsidR="0033799B">
        <w:rPr>
          <w:rFonts w:cs="Arial"/>
        </w:rPr>
        <w:t xml:space="preserve">vacancies </w:t>
      </w:r>
      <w:r w:rsidR="00C901F8" w:rsidRPr="008F2762">
        <w:rPr>
          <w:rFonts w:cs="Arial"/>
        </w:rPr>
        <w:t xml:space="preserve">of </w:t>
      </w:r>
      <w:r w:rsidR="00C901F8" w:rsidRPr="008F2762">
        <w:rPr>
          <w:rFonts w:cs="Arial"/>
          <w:color w:val="0000FF"/>
        </w:rPr>
        <w:t>(£47,300)</w:t>
      </w:r>
      <w:r>
        <w:rPr>
          <w:rFonts w:cs="Arial"/>
          <w:color w:val="0000FF"/>
        </w:rPr>
        <w:t>.</w:t>
      </w:r>
    </w:p>
    <w:p w:rsidR="008F2762" w:rsidRPr="00BA0688" w:rsidRDefault="008F2762" w:rsidP="00BA0688">
      <w:pPr>
        <w:pStyle w:val="ListParagraph"/>
        <w:numPr>
          <w:ilvl w:val="0"/>
          <w:numId w:val="11"/>
        </w:numPr>
        <w:spacing w:line="276" w:lineRule="auto"/>
        <w:ind w:hanging="589"/>
        <w:rPr>
          <w:rFonts w:cs="Arial"/>
        </w:rPr>
      </w:pPr>
      <w:r w:rsidRPr="0085134A">
        <w:rPr>
          <w:rFonts w:cs="Arial"/>
        </w:rPr>
        <w:t>Communication</w:t>
      </w:r>
      <w:r w:rsidR="005B2E75">
        <w:rPr>
          <w:rFonts w:cs="Arial"/>
        </w:rPr>
        <w:t xml:space="preserve"> </w:t>
      </w:r>
      <w:r w:rsidR="00BA0688">
        <w:rPr>
          <w:rFonts w:cs="Arial"/>
        </w:rPr>
        <w:t>- a</w:t>
      </w:r>
      <w:r w:rsidRPr="00BA0688">
        <w:rPr>
          <w:rFonts w:cs="Arial"/>
        </w:rPr>
        <w:t>dditional advertising income from Three Rivers Times (</w:t>
      </w:r>
      <w:r w:rsidRPr="00BA0688">
        <w:rPr>
          <w:rFonts w:cs="Arial"/>
          <w:color w:val="0000FF"/>
        </w:rPr>
        <w:t>£7,000)</w:t>
      </w:r>
      <w:r w:rsidR="00B15F9D" w:rsidRPr="00BA0688">
        <w:rPr>
          <w:rFonts w:cs="Arial"/>
          <w:color w:val="0000FF"/>
        </w:rPr>
        <w:t>.</w:t>
      </w:r>
    </w:p>
    <w:p w:rsidR="008F2762" w:rsidRPr="00BA0688" w:rsidRDefault="00BA0688" w:rsidP="00BA0688">
      <w:pPr>
        <w:pStyle w:val="ListParagraph"/>
        <w:numPr>
          <w:ilvl w:val="0"/>
          <w:numId w:val="11"/>
        </w:numPr>
        <w:spacing w:line="276" w:lineRule="auto"/>
        <w:ind w:left="1276" w:hanging="425"/>
        <w:rPr>
          <w:rFonts w:cs="Arial"/>
        </w:rPr>
      </w:pPr>
      <w:r>
        <w:rPr>
          <w:rFonts w:cs="Arial"/>
        </w:rPr>
        <w:t>Office Services- o</w:t>
      </w:r>
      <w:r w:rsidR="008F2762" w:rsidRPr="00BA0688">
        <w:rPr>
          <w:rFonts w:cs="Arial"/>
        </w:rPr>
        <w:t>ne</w:t>
      </w:r>
      <w:r w:rsidRPr="00BA0688">
        <w:rPr>
          <w:rFonts w:cs="Arial"/>
        </w:rPr>
        <w:t>-</w:t>
      </w:r>
      <w:r w:rsidR="008F2762" w:rsidRPr="00BA0688">
        <w:rPr>
          <w:rFonts w:cs="Arial"/>
        </w:rPr>
        <w:t>off re</w:t>
      </w:r>
      <w:r w:rsidR="0033799B" w:rsidRPr="00BA0688">
        <w:rPr>
          <w:rFonts w:cs="Arial"/>
        </w:rPr>
        <w:t>structure</w:t>
      </w:r>
      <w:r w:rsidR="008F2762" w:rsidRPr="00BA0688">
        <w:rPr>
          <w:rFonts w:cs="Arial"/>
        </w:rPr>
        <w:t xml:space="preserve"> costs and additional essential user lump car allowance of £10,150</w:t>
      </w:r>
      <w:r w:rsidR="00B15F9D" w:rsidRPr="00BA0688">
        <w:rPr>
          <w:rFonts w:cs="Arial"/>
        </w:rPr>
        <w:t>.</w:t>
      </w:r>
      <w:r w:rsidR="00FB420F">
        <w:rPr>
          <w:rFonts w:cs="Arial"/>
        </w:rPr>
        <w:t xml:space="preserve">  Ongoing savings from 18/19.</w:t>
      </w:r>
    </w:p>
    <w:p w:rsidR="008F2762" w:rsidRPr="00BA0688" w:rsidRDefault="00BA0688" w:rsidP="00BA0688">
      <w:pPr>
        <w:pStyle w:val="ListParagraph"/>
        <w:numPr>
          <w:ilvl w:val="0"/>
          <w:numId w:val="11"/>
        </w:numPr>
        <w:spacing w:line="276" w:lineRule="auto"/>
        <w:ind w:left="1276" w:hanging="425"/>
        <w:rPr>
          <w:rFonts w:cs="Arial"/>
        </w:rPr>
      </w:pPr>
      <w:r>
        <w:rPr>
          <w:rFonts w:cs="Arial"/>
        </w:rPr>
        <w:t>Electoral Services</w:t>
      </w:r>
      <w:r w:rsidR="005B2E75">
        <w:rPr>
          <w:rFonts w:cs="Arial"/>
        </w:rPr>
        <w:t xml:space="preserve"> </w:t>
      </w:r>
      <w:r>
        <w:rPr>
          <w:rFonts w:cs="Arial"/>
        </w:rPr>
        <w:t>- a</w:t>
      </w:r>
      <w:r w:rsidR="008F2762" w:rsidRPr="00BA0688">
        <w:rPr>
          <w:rFonts w:cs="Arial"/>
        </w:rPr>
        <w:t>dditional consultancy costs for interim Electoral Services Manager of £26,250</w:t>
      </w:r>
      <w:r w:rsidR="00B15F9D" w:rsidRPr="00BA0688">
        <w:rPr>
          <w:rFonts w:cs="Arial"/>
        </w:rPr>
        <w:t>.</w:t>
      </w:r>
    </w:p>
    <w:p w:rsidR="004A512E" w:rsidRPr="004E263F" w:rsidRDefault="004E263F" w:rsidP="004E263F">
      <w:pPr>
        <w:pStyle w:val="ListParagraph"/>
        <w:numPr>
          <w:ilvl w:val="0"/>
          <w:numId w:val="39"/>
        </w:numPr>
        <w:spacing w:line="276" w:lineRule="auto"/>
        <w:ind w:firstLine="131"/>
        <w:rPr>
          <w:rFonts w:cs="Arial"/>
        </w:rPr>
      </w:pPr>
      <w:r>
        <w:rPr>
          <w:rFonts w:cs="Arial"/>
        </w:rPr>
        <w:t xml:space="preserve">Debt Recovery Team- </w:t>
      </w:r>
      <w:proofErr w:type="gramStart"/>
      <w:r>
        <w:rPr>
          <w:rFonts w:cs="Arial"/>
        </w:rPr>
        <w:t>spend</w:t>
      </w:r>
      <w:proofErr w:type="gramEnd"/>
      <w:r>
        <w:rPr>
          <w:rFonts w:cs="Arial"/>
        </w:rPr>
        <w:t xml:space="preserve"> on </w:t>
      </w:r>
      <w:r w:rsidRPr="004E263F">
        <w:rPr>
          <w:rFonts w:cs="Arial"/>
        </w:rPr>
        <w:t>salaries</w:t>
      </w:r>
      <w:r w:rsidR="008F2762" w:rsidRPr="004E263F">
        <w:rPr>
          <w:rFonts w:cs="Arial"/>
        </w:rPr>
        <w:t xml:space="preserve"> is lower than previously projected. </w:t>
      </w:r>
      <w:r w:rsidR="008F2762" w:rsidRPr="004E263F">
        <w:rPr>
          <w:rFonts w:cs="Arial"/>
          <w:color w:val="0000FF"/>
        </w:rPr>
        <w:t>(£28,000)</w:t>
      </w:r>
      <w:r w:rsidR="00B15F9D" w:rsidRPr="004E263F">
        <w:rPr>
          <w:rFonts w:cs="Arial"/>
          <w:color w:val="0000FF"/>
        </w:rPr>
        <w:t>.</w:t>
      </w:r>
    </w:p>
    <w:p w:rsidR="004A512E" w:rsidRPr="005053C6" w:rsidRDefault="004E263F" w:rsidP="004E263F">
      <w:pPr>
        <w:pStyle w:val="ListParagraph"/>
        <w:numPr>
          <w:ilvl w:val="0"/>
          <w:numId w:val="39"/>
        </w:numPr>
        <w:spacing w:line="276" w:lineRule="auto"/>
        <w:ind w:firstLine="131"/>
        <w:rPr>
          <w:rFonts w:cs="Arial"/>
        </w:rPr>
      </w:pPr>
      <w:r w:rsidRPr="005053C6">
        <w:rPr>
          <w:rFonts w:cs="Arial"/>
        </w:rPr>
        <w:t>Insurance</w:t>
      </w:r>
      <w:r w:rsidR="000A4F03">
        <w:rPr>
          <w:rFonts w:cs="Arial"/>
        </w:rPr>
        <w:t xml:space="preserve"> –</w:t>
      </w:r>
      <w:r w:rsidRPr="005053C6">
        <w:rPr>
          <w:rFonts w:cs="Arial"/>
        </w:rPr>
        <w:t xml:space="preserve"> i</w:t>
      </w:r>
      <w:r w:rsidR="004A512E" w:rsidRPr="005053C6">
        <w:rPr>
          <w:rFonts w:cs="Arial"/>
        </w:rPr>
        <w:t>ncrease</w:t>
      </w:r>
      <w:r w:rsidR="000A4F03">
        <w:rPr>
          <w:rFonts w:cs="Arial"/>
        </w:rPr>
        <w:t xml:space="preserve"> due to</w:t>
      </w:r>
      <w:r w:rsidR="00AA1843" w:rsidRPr="005053C6">
        <w:rPr>
          <w:rFonts w:cs="Arial"/>
        </w:rPr>
        <w:t xml:space="preserve"> renewal</w:t>
      </w:r>
      <w:r w:rsidR="004A512E" w:rsidRPr="005053C6">
        <w:rPr>
          <w:rFonts w:cs="Arial"/>
        </w:rPr>
        <w:t xml:space="preserve"> and </w:t>
      </w:r>
      <w:r w:rsidR="000A4F03">
        <w:rPr>
          <w:rFonts w:cs="Arial"/>
        </w:rPr>
        <w:t xml:space="preserve">higher </w:t>
      </w:r>
      <w:r w:rsidR="007C736A" w:rsidRPr="005053C6">
        <w:rPr>
          <w:rFonts w:cs="Arial"/>
        </w:rPr>
        <w:t xml:space="preserve">insurance </w:t>
      </w:r>
      <w:r w:rsidR="004A512E" w:rsidRPr="005053C6">
        <w:rPr>
          <w:rFonts w:cs="Arial"/>
        </w:rPr>
        <w:t>pr</w:t>
      </w:r>
      <w:r w:rsidR="00AA1843" w:rsidRPr="005053C6">
        <w:rPr>
          <w:rFonts w:cs="Arial"/>
        </w:rPr>
        <w:t xml:space="preserve">emium tax </w:t>
      </w:r>
      <w:r w:rsidR="004A512E" w:rsidRPr="005053C6">
        <w:rPr>
          <w:rFonts w:cs="Arial"/>
        </w:rPr>
        <w:t>£18,000</w:t>
      </w:r>
      <w:r w:rsidR="005053C6" w:rsidRPr="005053C6">
        <w:rPr>
          <w:rFonts w:cs="Arial"/>
        </w:rPr>
        <w:t>.</w:t>
      </w:r>
    </w:p>
    <w:p w:rsidR="00B52061" w:rsidRPr="00D14EF7" w:rsidRDefault="000875CB" w:rsidP="00484385">
      <w:pPr>
        <w:pStyle w:val="ListParagraph"/>
        <w:numPr>
          <w:ilvl w:val="0"/>
          <w:numId w:val="39"/>
        </w:numPr>
        <w:tabs>
          <w:tab w:val="clear" w:pos="1260"/>
          <w:tab w:val="left" w:pos="1276"/>
        </w:tabs>
        <w:ind w:left="1276" w:hanging="425"/>
        <w:rPr>
          <w:rFonts w:cs="Arial"/>
          <w:iCs/>
          <w:color w:val="000000" w:themeColor="text1"/>
        </w:rPr>
      </w:pPr>
      <w:r w:rsidRPr="00D14EF7">
        <w:rPr>
          <w:rFonts w:cs="Arial"/>
          <w:color w:val="000000" w:themeColor="text1"/>
        </w:rPr>
        <w:t>Shortfall of £25</w:t>
      </w:r>
      <w:r w:rsidR="005053C6" w:rsidRPr="00D14EF7">
        <w:rPr>
          <w:rFonts w:cs="Arial"/>
          <w:color w:val="000000" w:themeColor="text1"/>
        </w:rPr>
        <w:t xml:space="preserve">,000 on investment income as </w:t>
      </w:r>
      <w:r w:rsidR="005053C6" w:rsidRPr="00D14EF7">
        <w:rPr>
          <w:rFonts w:cs="Arial"/>
          <w:iCs/>
          <w:color w:val="000000" w:themeColor="text1"/>
        </w:rPr>
        <w:t>the Council has invested in more short term deposits where returns are low due to its requirement to increase its liquidity for investment decisions on its property portfolio.</w:t>
      </w:r>
    </w:p>
    <w:p w:rsidR="005053C6" w:rsidRPr="005053C6" w:rsidRDefault="005053C6" w:rsidP="005053C6">
      <w:pPr>
        <w:pStyle w:val="ListParagraph"/>
        <w:tabs>
          <w:tab w:val="clear" w:pos="1260"/>
          <w:tab w:val="left" w:pos="1276"/>
        </w:tabs>
        <w:ind w:left="1276"/>
        <w:rPr>
          <w:rFonts w:cs="Arial"/>
          <w:iCs/>
          <w:color w:val="1F497D"/>
        </w:rPr>
      </w:pPr>
    </w:p>
    <w:p w:rsidR="0000747C" w:rsidRDefault="006D2CEC" w:rsidP="00484385">
      <w:pPr>
        <w:tabs>
          <w:tab w:val="left" w:pos="1276"/>
          <w:tab w:val="left" w:pos="1980"/>
          <w:tab w:val="left" w:pos="2700"/>
          <w:tab w:val="left" w:pos="3420"/>
        </w:tabs>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1.</w:t>
      </w:r>
      <w:r w:rsidR="00817023">
        <w:rPr>
          <w:rFonts w:ascii="Arial" w:eastAsia="Times New Roman" w:hAnsi="Arial" w:cs="Arial"/>
          <w:lang w:eastAsia="en-GB"/>
        </w:rPr>
        <w:t>10</w:t>
      </w:r>
      <w:r w:rsidR="009823D3">
        <w:rPr>
          <w:rFonts w:ascii="Arial" w:eastAsia="Times New Roman" w:hAnsi="Arial" w:cs="Arial"/>
          <w:lang w:eastAsia="en-GB"/>
        </w:rPr>
        <w:tab/>
      </w:r>
      <w:r w:rsidR="001348BD" w:rsidRPr="00616004">
        <w:rPr>
          <w:rFonts w:ascii="Arial" w:eastAsia="Times New Roman" w:hAnsi="Arial" w:cs="Arial"/>
          <w:lang w:eastAsia="en-GB"/>
        </w:rPr>
        <w:t xml:space="preserve">The graph below shows the 2017/18 </w:t>
      </w:r>
      <w:r w:rsidR="003305FF">
        <w:rPr>
          <w:rFonts w:ascii="Arial" w:eastAsia="Times New Roman" w:hAnsi="Arial" w:cs="Arial"/>
          <w:lang w:eastAsia="en-GB"/>
        </w:rPr>
        <w:t>forecast</w:t>
      </w:r>
      <w:r w:rsidR="001348BD" w:rsidRPr="00616004">
        <w:rPr>
          <w:rFonts w:ascii="Arial" w:eastAsia="Times New Roman" w:hAnsi="Arial" w:cs="Arial"/>
          <w:lang w:eastAsia="en-GB"/>
        </w:rPr>
        <w:t xml:space="preserve"> outturn compared with</w:t>
      </w:r>
      <w:r w:rsidR="003305FF">
        <w:rPr>
          <w:rFonts w:ascii="Arial" w:eastAsia="Times New Roman" w:hAnsi="Arial" w:cs="Arial"/>
          <w:lang w:eastAsia="en-GB"/>
        </w:rPr>
        <w:t xml:space="preserve"> the outturns for</w:t>
      </w:r>
      <w:r w:rsidR="001348BD" w:rsidRPr="00616004">
        <w:rPr>
          <w:rFonts w:ascii="Arial" w:eastAsia="Times New Roman" w:hAnsi="Arial" w:cs="Arial"/>
          <w:lang w:eastAsia="en-GB"/>
        </w:rPr>
        <w:t xml:space="preserve"> 2016/17 and 2015/16</w:t>
      </w:r>
      <w:r w:rsidR="00616004">
        <w:rPr>
          <w:rFonts w:ascii="Arial" w:eastAsia="Times New Roman" w:hAnsi="Arial" w:cs="Arial"/>
          <w:lang w:eastAsia="en-GB"/>
        </w:rPr>
        <w:t>.</w:t>
      </w:r>
    </w:p>
    <w:p w:rsidR="005B2E75" w:rsidRDefault="005B2E75" w:rsidP="00484385">
      <w:pPr>
        <w:tabs>
          <w:tab w:val="left" w:pos="1276"/>
          <w:tab w:val="left" w:pos="1980"/>
          <w:tab w:val="left" w:pos="2700"/>
          <w:tab w:val="left" w:pos="3420"/>
        </w:tabs>
        <w:spacing w:after="0" w:line="240" w:lineRule="auto"/>
        <w:ind w:left="720" w:hanging="720"/>
        <w:jc w:val="both"/>
        <w:rPr>
          <w:rFonts w:ascii="Arial" w:eastAsia="Times New Roman" w:hAnsi="Arial" w:cs="Arial"/>
          <w:lang w:eastAsia="en-GB"/>
        </w:rPr>
      </w:pPr>
    </w:p>
    <w:p w:rsidR="00E36578" w:rsidRPr="000731AC" w:rsidRDefault="001E44F9" w:rsidP="000731AC">
      <w:pPr>
        <w:tabs>
          <w:tab w:val="left" w:pos="1276"/>
          <w:tab w:val="left" w:pos="1980"/>
          <w:tab w:val="left" w:pos="2700"/>
          <w:tab w:val="left" w:pos="3420"/>
        </w:tabs>
        <w:spacing w:after="160" w:line="240" w:lineRule="auto"/>
        <w:ind w:left="720" w:hanging="11"/>
        <w:jc w:val="both"/>
        <w:rPr>
          <w:noProof/>
          <w:lang w:eastAsia="en-GB"/>
        </w:rPr>
      </w:pPr>
      <w:r>
        <w:rPr>
          <w:rFonts w:eastAsia="Times New Roman" w:cs="Arial"/>
          <w:lang w:eastAsia="en-GB"/>
        </w:rPr>
        <w:t xml:space="preserve"> </w:t>
      </w:r>
      <w:r w:rsidR="00E940DB">
        <w:rPr>
          <w:noProof/>
          <w:lang w:eastAsia="en-GB"/>
        </w:rPr>
        <w:drawing>
          <wp:inline distT="0" distB="0" distL="0" distR="0" wp14:anchorId="648AF121" wp14:editId="41516CAF">
            <wp:extent cx="5284033" cy="2383436"/>
            <wp:effectExtent l="0" t="0" r="1206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4BF7" w:rsidRPr="00F63C6B" w:rsidRDefault="006D2CEC" w:rsidP="00484385">
      <w:pPr>
        <w:tabs>
          <w:tab w:val="left" w:pos="0"/>
          <w:tab w:val="left" w:pos="709"/>
          <w:tab w:val="left" w:pos="1980"/>
          <w:tab w:val="left" w:pos="2700"/>
          <w:tab w:val="left" w:pos="3420"/>
        </w:tabs>
        <w:spacing w:after="160" w:line="240" w:lineRule="auto"/>
        <w:ind w:left="703" w:hanging="703"/>
        <w:jc w:val="both"/>
        <w:rPr>
          <w:rFonts w:ascii="Arial" w:eastAsia="Times New Roman" w:hAnsi="Arial" w:cs="Arial"/>
          <w:color w:val="000000" w:themeColor="text1"/>
          <w:lang w:eastAsia="en-GB"/>
        </w:rPr>
      </w:pPr>
      <w:r w:rsidRPr="00AA1843">
        <w:rPr>
          <w:rFonts w:ascii="Arial" w:eastAsia="Times New Roman" w:hAnsi="Arial" w:cs="Arial"/>
          <w:lang w:eastAsia="en-GB"/>
        </w:rPr>
        <w:t>1.1</w:t>
      </w:r>
      <w:r w:rsidR="00132D86" w:rsidRPr="00AA1843">
        <w:rPr>
          <w:rFonts w:ascii="Arial" w:eastAsia="Times New Roman" w:hAnsi="Arial" w:cs="Arial"/>
          <w:lang w:eastAsia="en-GB"/>
        </w:rPr>
        <w:t>1</w:t>
      </w:r>
      <w:r w:rsidR="003305FF" w:rsidRPr="00AA1843">
        <w:rPr>
          <w:rFonts w:ascii="Arial" w:eastAsia="Times New Roman" w:hAnsi="Arial" w:cs="Arial"/>
          <w:lang w:eastAsia="en-GB"/>
        </w:rPr>
        <w:tab/>
      </w:r>
      <w:r w:rsidR="003305FF" w:rsidRPr="00F63C6B">
        <w:rPr>
          <w:rFonts w:ascii="Arial" w:eastAsia="Times New Roman" w:hAnsi="Arial" w:cs="Arial"/>
          <w:color w:val="000000" w:themeColor="text1"/>
          <w:lang w:eastAsia="en-GB"/>
        </w:rPr>
        <w:t xml:space="preserve">The effect of the variances on the Council’s general fund balance over </w:t>
      </w:r>
      <w:r w:rsidR="0033799B" w:rsidRPr="00F63C6B">
        <w:rPr>
          <w:rFonts w:ascii="Arial" w:eastAsia="Times New Roman" w:hAnsi="Arial" w:cs="Arial"/>
          <w:color w:val="000000" w:themeColor="text1"/>
          <w:lang w:eastAsia="en-GB"/>
        </w:rPr>
        <w:t>the medium term (2017/18 – 2020/21</w:t>
      </w:r>
      <w:r w:rsidR="003305FF" w:rsidRPr="00F63C6B">
        <w:rPr>
          <w:rFonts w:ascii="Arial" w:eastAsia="Times New Roman" w:hAnsi="Arial" w:cs="Arial"/>
          <w:color w:val="000000" w:themeColor="text1"/>
          <w:lang w:eastAsia="en-GB"/>
        </w:rPr>
        <w:t>) is shown in the table below.</w:t>
      </w:r>
    </w:p>
    <w:tbl>
      <w:tblPr>
        <w:tblStyle w:val="TableGrid"/>
        <w:tblW w:w="7713" w:type="dxa"/>
        <w:jc w:val="center"/>
        <w:tblInd w:w="605" w:type="dxa"/>
        <w:tblLayout w:type="fixed"/>
        <w:tblLook w:val="04A0" w:firstRow="1" w:lastRow="0" w:firstColumn="1" w:lastColumn="0" w:noHBand="0" w:noVBand="1"/>
      </w:tblPr>
      <w:tblGrid>
        <w:gridCol w:w="2552"/>
        <w:gridCol w:w="1275"/>
        <w:gridCol w:w="1276"/>
        <w:gridCol w:w="1305"/>
        <w:gridCol w:w="1305"/>
      </w:tblGrid>
      <w:tr w:rsidR="00F63C6B" w:rsidRPr="00F63C6B" w:rsidTr="0033799B">
        <w:trPr>
          <w:trHeight w:val="347"/>
          <w:jc w:val="center"/>
        </w:trPr>
        <w:tc>
          <w:tcPr>
            <w:tcW w:w="2552" w:type="dxa"/>
            <w:vMerge w:val="restart"/>
            <w:shd w:val="clear" w:color="auto" w:fill="DDD9C3" w:themeFill="background2" w:themeFillShade="E6"/>
            <w:vAlign w:val="center"/>
          </w:tcPr>
          <w:p w:rsidR="0033799B" w:rsidRPr="00F63C6B" w:rsidRDefault="0033799B" w:rsidP="00484385">
            <w:pPr>
              <w:tabs>
                <w:tab w:val="left" w:pos="709"/>
                <w:tab w:val="left" w:pos="1980"/>
                <w:tab w:val="left" w:pos="2700"/>
                <w:tab w:val="left" w:pos="3420"/>
              </w:tabs>
              <w:spacing w:after="160"/>
              <w:rPr>
                <w:rFonts w:ascii="Arial" w:hAnsi="Arial" w:cs="Arial"/>
                <w:b/>
                <w:color w:val="000000" w:themeColor="text1"/>
                <w:sz w:val="22"/>
                <w:szCs w:val="22"/>
              </w:rPr>
            </w:pPr>
            <w:r w:rsidRPr="00F63C6B">
              <w:rPr>
                <w:rFonts w:ascii="Arial" w:hAnsi="Arial" w:cs="Arial"/>
                <w:b/>
                <w:color w:val="000000" w:themeColor="text1"/>
                <w:sz w:val="22"/>
                <w:szCs w:val="22"/>
              </w:rPr>
              <w:t>Movement on             General Fund</w:t>
            </w:r>
          </w:p>
        </w:tc>
        <w:tc>
          <w:tcPr>
            <w:tcW w:w="1275"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2017/18</w:t>
            </w:r>
          </w:p>
        </w:tc>
        <w:tc>
          <w:tcPr>
            <w:tcW w:w="1276"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2018/19</w:t>
            </w:r>
          </w:p>
        </w:tc>
        <w:tc>
          <w:tcPr>
            <w:tcW w:w="1305"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2019/20</w:t>
            </w:r>
          </w:p>
        </w:tc>
        <w:tc>
          <w:tcPr>
            <w:tcW w:w="1305"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2020/21</w:t>
            </w:r>
          </w:p>
        </w:tc>
      </w:tr>
      <w:tr w:rsidR="00F63C6B" w:rsidRPr="00F63C6B" w:rsidTr="0033799B">
        <w:trPr>
          <w:trHeight w:val="289"/>
          <w:jc w:val="center"/>
        </w:trPr>
        <w:tc>
          <w:tcPr>
            <w:tcW w:w="2552" w:type="dxa"/>
            <w:vMerge/>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color w:val="000000" w:themeColor="text1"/>
                <w:sz w:val="22"/>
                <w:szCs w:val="22"/>
              </w:rPr>
            </w:pPr>
          </w:p>
        </w:tc>
        <w:tc>
          <w:tcPr>
            <w:tcW w:w="1275"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£000</w:t>
            </w:r>
          </w:p>
        </w:tc>
        <w:tc>
          <w:tcPr>
            <w:tcW w:w="1276"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£000</w:t>
            </w:r>
          </w:p>
        </w:tc>
        <w:tc>
          <w:tcPr>
            <w:tcW w:w="1305"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£000</w:t>
            </w:r>
          </w:p>
        </w:tc>
        <w:tc>
          <w:tcPr>
            <w:tcW w:w="1305" w:type="dxa"/>
            <w:shd w:val="clear" w:color="auto" w:fill="DDD9C3" w:themeFill="background2" w:themeFillShade="E6"/>
            <w:vAlign w:val="center"/>
          </w:tcPr>
          <w:p w:rsidR="0033799B" w:rsidRPr="00F63C6B" w:rsidRDefault="0033799B" w:rsidP="00484385">
            <w:pPr>
              <w:tabs>
                <w:tab w:val="left" w:pos="1260"/>
                <w:tab w:val="left" w:pos="1980"/>
                <w:tab w:val="left" w:pos="2700"/>
                <w:tab w:val="left" w:pos="3420"/>
              </w:tabs>
              <w:rPr>
                <w:rFonts w:ascii="Arial" w:hAnsi="Arial" w:cs="Arial"/>
                <w:b/>
                <w:color w:val="000000" w:themeColor="text1"/>
                <w:sz w:val="22"/>
                <w:szCs w:val="22"/>
              </w:rPr>
            </w:pPr>
            <w:r w:rsidRPr="00F63C6B">
              <w:rPr>
                <w:rFonts w:ascii="Arial" w:hAnsi="Arial" w:cs="Arial"/>
                <w:b/>
                <w:color w:val="000000" w:themeColor="text1"/>
                <w:sz w:val="22"/>
                <w:szCs w:val="22"/>
              </w:rPr>
              <w:t>£000</w:t>
            </w:r>
          </w:p>
        </w:tc>
      </w:tr>
      <w:tr w:rsidR="00F63C6B" w:rsidRPr="00F63C6B" w:rsidTr="000C1E34">
        <w:trPr>
          <w:trHeight w:val="349"/>
          <w:jc w:val="center"/>
        </w:trPr>
        <w:tc>
          <w:tcPr>
            <w:tcW w:w="2552" w:type="dxa"/>
            <w:vAlign w:val="center"/>
          </w:tcPr>
          <w:p w:rsidR="0033799B" w:rsidRPr="00F63C6B" w:rsidRDefault="0033799B" w:rsidP="00484385">
            <w:pPr>
              <w:tabs>
                <w:tab w:val="left" w:pos="1260"/>
                <w:tab w:val="left" w:pos="1980"/>
                <w:tab w:val="left" w:pos="2700"/>
                <w:tab w:val="left" w:pos="3420"/>
              </w:tabs>
              <w:rPr>
                <w:rFonts w:ascii="Arial" w:hAnsi="Arial" w:cs="Arial"/>
                <w:color w:val="000000" w:themeColor="text1"/>
                <w:sz w:val="22"/>
                <w:szCs w:val="22"/>
              </w:rPr>
            </w:pPr>
            <w:r w:rsidRPr="00F63C6B">
              <w:rPr>
                <w:rFonts w:ascii="Arial" w:hAnsi="Arial" w:cs="Arial"/>
                <w:color w:val="000000" w:themeColor="text1"/>
                <w:sz w:val="22"/>
                <w:szCs w:val="22"/>
              </w:rPr>
              <w:t>Balance at 1 April</w:t>
            </w:r>
          </w:p>
        </w:tc>
        <w:tc>
          <w:tcPr>
            <w:tcW w:w="1275" w:type="dxa"/>
            <w:vAlign w:val="center"/>
          </w:tcPr>
          <w:p w:rsidR="0033799B" w:rsidRPr="00F63C6B" w:rsidRDefault="0033799B" w:rsidP="000C1E34">
            <w:pPr>
              <w:tabs>
                <w:tab w:val="left" w:pos="1260"/>
                <w:tab w:val="left" w:pos="1980"/>
                <w:tab w:val="left" w:pos="2700"/>
                <w:tab w:val="left" w:pos="3420"/>
              </w:tabs>
              <w:jc w:val="right"/>
              <w:rPr>
                <w:rFonts w:ascii="Arial" w:hAnsi="Arial" w:cs="Arial"/>
                <w:color w:val="000000" w:themeColor="text1"/>
                <w:sz w:val="22"/>
                <w:szCs w:val="22"/>
              </w:rPr>
            </w:pPr>
            <w:r w:rsidRPr="00F63C6B">
              <w:rPr>
                <w:rFonts w:ascii="Arial" w:hAnsi="Arial" w:cs="Arial"/>
                <w:color w:val="000000" w:themeColor="text1"/>
                <w:sz w:val="22"/>
                <w:szCs w:val="22"/>
              </w:rPr>
              <w:t>(4,094)</w:t>
            </w:r>
          </w:p>
        </w:tc>
        <w:tc>
          <w:tcPr>
            <w:tcW w:w="1276" w:type="dxa"/>
            <w:vAlign w:val="center"/>
          </w:tcPr>
          <w:p w:rsidR="0033799B" w:rsidRPr="00F63C6B" w:rsidRDefault="00DF7F87"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(3,530)</w:t>
            </w:r>
          </w:p>
        </w:tc>
        <w:tc>
          <w:tcPr>
            <w:tcW w:w="1305" w:type="dxa"/>
            <w:vAlign w:val="center"/>
          </w:tcPr>
          <w:p w:rsidR="0033799B" w:rsidRPr="00F63C6B" w:rsidRDefault="00DF7F87"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(4,209)</w:t>
            </w:r>
          </w:p>
        </w:tc>
        <w:tc>
          <w:tcPr>
            <w:tcW w:w="1305" w:type="dxa"/>
            <w:vAlign w:val="center"/>
          </w:tcPr>
          <w:p w:rsidR="0033799B" w:rsidRPr="00F63C6B" w:rsidRDefault="00DF7F87"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(4,040</w:t>
            </w:r>
            <w:r w:rsidR="0033799B" w:rsidRPr="00F63C6B">
              <w:rPr>
                <w:rFonts w:ascii="Arial" w:hAnsi="Arial" w:cs="Arial"/>
                <w:color w:val="000000" w:themeColor="text1"/>
                <w:sz w:val="22"/>
                <w:szCs w:val="22"/>
              </w:rPr>
              <w:t>)</w:t>
            </w:r>
          </w:p>
        </w:tc>
      </w:tr>
      <w:tr w:rsidR="00F63C6B" w:rsidRPr="00F63C6B" w:rsidTr="000C1E34">
        <w:trPr>
          <w:trHeight w:val="425"/>
          <w:jc w:val="center"/>
        </w:trPr>
        <w:tc>
          <w:tcPr>
            <w:tcW w:w="2552" w:type="dxa"/>
            <w:vAlign w:val="center"/>
          </w:tcPr>
          <w:p w:rsidR="0033799B" w:rsidRPr="00F63C6B" w:rsidRDefault="0033799B" w:rsidP="00484385">
            <w:pPr>
              <w:tabs>
                <w:tab w:val="left" w:pos="1260"/>
                <w:tab w:val="left" w:pos="1980"/>
                <w:tab w:val="left" w:pos="2700"/>
                <w:tab w:val="left" w:pos="3420"/>
              </w:tabs>
              <w:rPr>
                <w:rFonts w:ascii="Arial" w:hAnsi="Arial" w:cs="Arial"/>
                <w:color w:val="000000" w:themeColor="text1"/>
                <w:sz w:val="22"/>
                <w:szCs w:val="22"/>
              </w:rPr>
            </w:pPr>
            <w:r w:rsidRPr="00F63C6B">
              <w:rPr>
                <w:rFonts w:ascii="Arial" w:hAnsi="Arial" w:cs="Arial"/>
                <w:color w:val="000000" w:themeColor="text1"/>
                <w:sz w:val="22"/>
                <w:szCs w:val="22"/>
              </w:rPr>
              <w:t xml:space="preserve">(Surplus)/deficit </w:t>
            </w:r>
          </w:p>
        </w:tc>
        <w:tc>
          <w:tcPr>
            <w:tcW w:w="1275" w:type="dxa"/>
            <w:vAlign w:val="center"/>
          </w:tcPr>
          <w:p w:rsidR="0033799B" w:rsidRPr="00F63C6B" w:rsidRDefault="00DF7F87"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564</w:t>
            </w:r>
          </w:p>
        </w:tc>
        <w:tc>
          <w:tcPr>
            <w:tcW w:w="1276" w:type="dxa"/>
            <w:vAlign w:val="center"/>
          </w:tcPr>
          <w:p w:rsidR="0033799B" w:rsidRPr="00F63C6B" w:rsidRDefault="0033799B" w:rsidP="000C1E34">
            <w:pPr>
              <w:tabs>
                <w:tab w:val="left" w:pos="1260"/>
                <w:tab w:val="left" w:pos="1980"/>
                <w:tab w:val="left" w:pos="2700"/>
                <w:tab w:val="left" w:pos="3420"/>
              </w:tabs>
              <w:jc w:val="right"/>
              <w:rPr>
                <w:rFonts w:ascii="Arial" w:hAnsi="Arial" w:cs="Arial"/>
                <w:color w:val="000000" w:themeColor="text1"/>
                <w:sz w:val="22"/>
                <w:szCs w:val="22"/>
              </w:rPr>
            </w:pPr>
            <w:r w:rsidRPr="00F63C6B">
              <w:rPr>
                <w:rFonts w:ascii="Arial" w:hAnsi="Arial" w:cs="Arial"/>
                <w:color w:val="000000" w:themeColor="text1"/>
                <w:sz w:val="22"/>
                <w:szCs w:val="22"/>
              </w:rPr>
              <w:t>(679)</w:t>
            </w:r>
          </w:p>
        </w:tc>
        <w:tc>
          <w:tcPr>
            <w:tcW w:w="1305" w:type="dxa"/>
            <w:vAlign w:val="center"/>
          </w:tcPr>
          <w:p w:rsidR="0033799B" w:rsidRPr="00F63C6B" w:rsidRDefault="0033799B" w:rsidP="000C1E34">
            <w:pPr>
              <w:tabs>
                <w:tab w:val="left" w:pos="1260"/>
                <w:tab w:val="left" w:pos="1980"/>
                <w:tab w:val="left" w:pos="2700"/>
                <w:tab w:val="left" w:pos="3420"/>
              </w:tabs>
              <w:jc w:val="right"/>
              <w:rPr>
                <w:rFonts w:ascii="Arial" w:hAnsi="Arial" w:cs="Arial"/>
                <w:color w:val="000000" w:themeColor="text1"/>
                <w:sz w:val="22"/>
                <w:szCs w:val="22"/>
              </w:rPr>
            </w:pPr>
            <w:r w:rsidRPr="00F63C6B">
              <w:rPr>
                <w:rFonts w:ascii="Arial" w:hAnsi="Arial" w:cs="Arial"/>
                <w:color w:val="000000" w:themeColor="text1"/>
                <w:sz w:val="22"/>
                <w:szCs w:val="22"/>
              </w:rPr>
              <w:t>169</w:t>
            </w:r>
          </w:p>
        </w:tc>
        <w:tc>
          <w:tcPr>
            <w:tcW w:w="1305" w:type="dxa"/>
            <w:vAlign w:val="center"/>
          </w:tcPr>
          <w:p w:rsidR="0033799B" w:rsidRPr="00F63C6B" w:rsidRDefault="0033799B" w:rsidP="000C1E34">
            <w:pPr>
              <w:tabs>
                <w:tab w:val="left" w:pos="1260"/>
                <w:tab w:val="left" w:pos="1980"/>
                <w:tab w:val="left" w:pos="2700"/>
                <w:tab w:val="left" w:pos="3420"/>
              </w:tabs>
              <w:jc w:val="right"/>
              <w:rPr>
                <w:rFonts w:ascii="Arial" w:hAnsi="Arial" w:cs="Arial"/>
                <w:color w:val="000000" w:themeColor="text1"/>
                <w:sz w:val="22"/>
                <w:szCs w:val="22"/>
              </w:rPr>
            </w:pPr>
            <w:r w:rsidRPr="00F63C6B">
              <w:rPr>
                <w:rFonts w:ascii="Arial" w:hAnsi="Arial" w:cs="Arial"/>
                <w:color w:val="000000" w:themeColor="text1"/>
                <w:sz w:val="22"/>
                <w:szCs w:val="22"/>
              </w:rPr>
              <w:t>398</w:t>
            </w:r>
          </w:p>
        </w:tc>
      </w:tr>
      <w:tr w:rsidR="00AA1843" w:rsidRPr="00F63C6B" w:rsidTr="000C1E34">
        <w:trPr>
          <w:trHeight w:val="417"/>
          <w:jc w:val="center"/>
        </w:trPr>
        <w:tc>
          <w:tcPr>
            <w:tcW w:w="2552" w:type="dxa"/>
            <w:vAlign w:val="center"/>
          </w:tcPr>
          <w:p w:rsidR="0033799B" w:rsidRPr="00F63C6B" w:rsidRDefault="0033799B" w:rsidP="00484385">
            <w:pPr>
              <w:tabs>
                <w:tab w:val="left" w:pos="1260"/>
                <w:tab w:val="left" w:pos="1980"/>
                <w:tab w:val="left" w:pos="2700"/>
                <w:tab w:val="left" w:pos="3420"/>
              </w:tabs>
              <w:rPr>
                <w:rFonts w:ascii="Arial" w:hAnsi="Arial" w:cs="Arial"/>
                <w:color w:val="000000" w:themeColor="text1"/>
                <w:sz w:val="22"/>
                <w:szCs w:val="22"/>
              </w:rPr>
            </w:pPr>
            <w:r w:rsidRPr="00F63C6B">
              <w:rPr>
                <w:rFonts w:ascii="Arial" w:hAnsi="Arial" w:cs="Arial"/>
                <w:color w:val="000000" w:themeColor="text1"/>
                <w:sz w:val="22"/>
                <w:szCs w:val="22"/>
              </w:rPr>
              <w:t>Balance at 31 March</w:t>
            </w:r>
          </w:p>
        </w:tc>
        <w:tc>
          <w:tcPr>
            <w:tcW w:w="1275" w:type="dxa"/>
            <w:vAlign w:val="center"/>
          </w:tcPr>
          <w:p w:rsidR="0033799B" w:rsidRPr="00F63C6B" w:rsidRDefault="00F63C6B"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(3,</w:t>
            </w:r>
            <w:r w:rsidR="00DF7F87">
              <w:rPr>
                <w:rFonts w:ascii="Arial" w:hAnsi="Arial" w:cs="Arial"/>
                <w:color w:val="000000" w:themeColor="text1"/>
                <w:sz w:val="22"/>
                <w:szCs w:val="22"/>
              </w:rPr>
              <w:t>530</w:t>
            </w:r>
            <w:r w:rsidR="0033799B" w:rsidRPr="00F63C6B">
              <w:rPr>
                <w:rFonts w:ascii="Arial" w:hAnsi="Arial" w:cs="Arial"/>
                <w:color w:val="000000" w:themeColor="text1"/>
                <w:sz w:val="22"/>
                <w:szCs w:val="22"/>
              </w:rPr>
              <w:t>)</w:t>
            </w:r>
          </w:p>
        </w:tc>
        <w:tc>
          <w:tcPr>
            <w:tcW w:w="1276" w:type="dxa"/>
            <w:vAlign w:val="center"/>
          </w:tcPr>
          <w:p w:rsidR="0033799B" w:rsidRPr="00F63C6B" w:rsidRDefault="00DF7F87"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(4,209</w:t>
            </w:r>
            <w:r w:rsidR="0033799B" w:rsidRPr="00F63C6B">
              <w:rPr>
                <w:rFonts w:ascii="Arial" w:hAnsi="Arial" w:cs="Arial"/>
                <w:color w:val="000000" w:themeColor="text1"/>
                <w:sz w:val="22"/>
                <w:szCs w:val="22"/>
              </w:rPr>
              <w:t>)</w:t>
            </w:r>
          </w:p>
        </w:tc>
        <w:tc>
          <w:tcPr>
            <w:tcW w:w="1305" w:type="dxa"/>
            <w:vAlign w:val="center"/>
          </w:tcPr>
          <w:p w:rsidR="0033799B" w:rsidRPr="00F63C6B" w:rsidRDefault="00DF7F87"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(4,040</w:t>
            </w:r>
            <w:r w:rsidR="0033799B" w:rsidRPr="00F63C6B">
              <w:rPr>
                <w:rFonts w:ascii="Arial" w:hAnsi="Arial" w:cs="Arial"/>
                <w:color w:val="000000" w:themeColor="text1"/>
                <w:sz w:val="22"/>
                <w:szCs w:val="22"/>
              </w:rPr>
              <w:t>)</w:t>
            </w:r>
          </w:p>
        </w:tc>
        <w:tc>
          <w:tcPr>
            <w:tcW w:w="1305" w:type="dxa"/>
            <w:vAlign w:val="center"/>
          </w:tcPr>
          <w:p w:rsidR="0033799B" w:rsidRPr="00F63C6B" w:rsidRDefault="00DF7F87" w:rsidP="000C1E34">
            <w:pPr>
              <w:tabs>
                <w:tab w:val="left" w:pos="1260"/>
                <w:tab w:val="left" w:pos="1980"/>
                <w:tab w:val="left" w:pos="2700"/>
                <w:tab w:val="left" w:pos="3420"/>
              </w:tabs>
              <w:jc w:val="right"/>
              <w:rPr>
                <w:rFonts w:ascii="Arial" w:hAnsi="Arial" w:cs="Arial"/>
                <w:color w:val="000000" w:themeColor="text1"/>
                <w:sz w:val="22"/>
                <w:szCs w:val="22"/>
              </w:rPr>
            </w:pPr>
            <w:r>
              <w:rPr>
                <w:rFonts w:ascii="Arial" w:hAnsi="Arial" w:cs="Arial"/>
                <w:color w:val="000000" w:themeColor="text1"/>
                <w:sz w:val="22"/>
                <w:szCs w:val="22"/>
              </w:rPr>
              <w:t>(3,642</w:t>
            </w:r>
            <w:r w:rsidR="0033799B" w:rsidRPr="00F63C6B">
              <w:rPr>
                <w:rFonts w:ascii="Arial" w:hAnsi="Arial" w:cs="Arial"/>
                <w:color w:val="000000" w:themeColor="text1"/>
                <w:sz w:val="22"/>
                <w:szCs w:val="22"/>
              </w:rPr>
              <w:t>)</w:t>
            </w:r>
          </w:p>
        </w:tc>
      </w:tr>
    </w:tbl>
    <w:p w:rsidR="00FB22BB" w:rsidRPr="00F63C6B" w:rsidRDefault="003305FF" w:rsidP="00484385">
      <w:pPr>
        <w:tabs>
          <w:tab w:val="left" w:pos="567"/>
          <w:tab w:val="left" w:pos="1980"/>
          <w:tab w:val="left" w:pos="2700"/>
          <w:tab w:val="left" w:pos="3420"/>
        </w:tabs>
        <w:spacing w:after="0" w:line="240" w:lineRule="auto"/>
        <w:ind w:left="1267" w:hanging="1267"/>
        <w:jc w:val="both"/>
        <w:rPr>
          <w:rFonts w:ascii="Arial" w:eastAsia="Times New Roman" w:hAnsi="Arial" w:cs="Arial"/>
          <w:i/>
          <w:color w:val="000000" w:themeColor="text1"/>
          <w:lang w:eastAsia="en-GB"/>
        </w:rPr>
      </w:pPr>
      <w:r w:rsidRPr="00F63C6B">
        <w:rPr>
          <w:rFonts w:ascii="Arial" w:eastAsia="Times New Roman" w:hAnsi="Arial" w:cs="Arial"/>
          <w:i/>
          <w:color w:val="000000" w:themeColor="text1"/>
          <w:lang w:eastAsia="en-GB"/>
        </w:rPr>
        <w:tab/>
      </w:r>
    </w:p>
    <w:p w:rsidR="00484385" w:rsidRDefault="00FB22BB" w:rsidP="005053C6">
      <w:pPr>
        <w:tabs>
          <w:tab w:val="left" w:pos="567"/>
          <w:tab w:val="left" w:pos="1980"/>
          <w:tab w:val="left" w:pos="2700"/>
          <w:tab w:val="left" w:pos="3420"/>
        </w:tabs>
        <w:spacing w:after="160" w:line="240" w:lineRule="auto"/>
        <w:ind w:left="567" w:hanging="567"/>
        <w:jc w:val="both"/>
        <w:rPr>
          <w:rFonts w:ascii="Arial" w:eastAsia="Times New Roman" w:hAnsi="Arial" w:cs="Arial"/>
          <w:i/>
          <w:color w:val="000000" w:themeColor="text1"/>
          <w:lang w:eastAsia="en-GB"/>
        </w:rPr>
      </w:pPr>
      <w:r w:rsidRPr="00F63C6B">
        <w:rPr>
          <w:rFonts w:ascii="Arial" w:eastAsia="Times New Roman" w:hAnsi="Arial" w:cs="Arial"/>
          <w:i/>
          <w:color w:val="000000" w:themeColor="text1"/>
          <w:lang w:eastAsia="en-GB"/>
        </w:rPr>
        <w:tab/>
      </w:r>
      <w:r w:rsidR="004D3539" w:rsidRPr="00F63C6B">
        <w:rPr>
          <w:rFonts w:ascii="Arial" w:eastAsia="Times New Roman" w:hAnsi="Arial" w:cs="Arial"/>
          <w:i/>
          <w:color w:val="000000" w:themeColor="text1"/>
          <w:lang w:eastAsia="en-GB"/>
        </w:rPr>
        <w:t xml:space="preserve">The surplus/deficit shown above is adjusted for the forecasted outturn.  </w:t>
      </w:r>
      <w:r w:rsidR="0033799B" w:rsidRPr="00F63C6B">
        <w:rPr>
          <w:rFonts w:ascii="Arial" w:eastAsia="Times New Roman" w:hAnsi="Arial" w:cs="Arial"/>
          <w:i/>
          <w:color w:val="000000" w:themeColor="text1"/>
          <w:lang w:eastAsia="en-GB"/>
        </w:rPr>
        <w:t>A prudent m</w:t>
      </w:r>
      <w:r w:rsidR="00643EC3" w:rsidRPr="00F63C6B">
        <w:rPr>
          <w:rFonts w:ascii="Arial" w:eastAsia="Times New Roman" w:hAnsi="Arial" w:cs="Arial"/>
          <w:i/>
          <w:color w:val="000000" w:themeColor="text1"/>
          <w:lang w:eastAsia="en-GB"/>
        </w:rPr>
        <w:t xml:space="preserve">inimum </w:t>
      </w:r>
      <w:r w:rsidR="003305FF" w:rsidRPr="00F63C6B">
        <w:rPr>
          <w:rFonts w:ascii="Arial" w:eastAsia="Times New Roman" w:hAnsi="Arial" w:cs="Arial"/>
          <w:i/>
          <w:color w:val="000000" w:themeColor="text1"/>
          <w:lang w:eastAsia="en-GB"/>
        </w:rPr>
        <w:t>general fund balance of not less than £2 million is considered appropriate.</w:t>
      </w:r>
    </w:p>
    <w:p w:rsidR="00FB22BB" w:rsidRDefault="00E36578" w:rsidP="00484385">
      <w:pPr>
        <w:tabs>
          <w:tab w:val="left" w:pos="709"/>
          <w:tab w:val="left" w:pos="1980"/>
          <w:tab w:val="left" w:pos="2700"/>
          <w:tab w:val="left" w:pos="3420"/>
        </w:tabs>
        <w:spacing w:after="160" w:line="240" w:lineRule="auto"/>
        <w:jc w:val="both"/>
        <w:rPr>
          <w:rFonts w:ascii="Arial" w:eastAsia="Times New Roman" w:hAnsi="Arial" w:cs="Arial"/>
          <w:b/>
          <w:lang w:eastAsia="en-GB"/>
        </w:rPr>
      </w:pPr>
      <w:r>
        <w:rPr>
          <w:rFonts w:ascii="Arial" w:eastAsia="Times New Roman" w:hAnsi="Arial" w:cs="Arial"/>
          <w:b/>
          <w:lang w:eastAsia="en-GB"/>
        </w:rPr>
        <w:t>2</w:t>
      </w:r>
      <w:r w:rsidR="0034135E" w:rsidRPr="00FB22BB">
        <w:rPr>
          <w:rFonts w:ascii="Arial" w:eastAsia="Times New Roman" w:hAnsi="Arial" w:cs="Arial"/>
          <w:b/>
          <w:lang w:eastAsia="en-GB"/>
        </w:rPr>
        <w:t>.0</w:t>
      </w:r>
      <w:r w:rsidR="0034135E" w:rsidRPr="009823D3">
        <w:rPr>
          <w:rFonts w:ascii="Arial" w:eastAsia="Times New Roman" w:hAnsi="Arial" w:cs="Arial"/>
          <w:b/>
          <w:lang w:eastAsia="en-GB"/>
        </w:rPr>
        <w:t xml:space="preserve"> </w:t>
      </w:r>
      <w:r w:rsidR="009823D3">
        <w:rPr>
          <w:rFonts w:ascii="Arial" w:eastAsia="Times New Roman" w:hAnsi="Arial" w:cs="Arial"/>
          <w:b/>
          <w:lang w:eastAsia="en-GB"/>
        </w:rPr>
        <w:tab/>
      </w:r>
      <w:r w:rsidR="0034135E" w:rsidRPr="009823D3">
        <w:rPr>
          <w:rFonts w:ascii="Arial" w:eastAsia="Times New Roman" w:hAnsi="Arial" w:cs="Arial"/>
          <w:b/>
          <w:lang w:eastAsia="en-GB"/>
        </w:rPr>
        <w:t>Capital</w:t>
      </w:r>
      <w:r w:rsidR="004705B7" w:rsidRPr="009823D3">
        <w:rPr>
          <w:rFonts w:ascii="Arial" w:eastAsia="Times New Roman" w:hAnsi="Arial" w:cs="Arial"/>
          <w:b/>
          <w:lang w:eastAsia="en-GB"/>
        </w:rPr>
        <w:t xml:space="preserve"> Programme</w:t>
      </w:r>
    </w:p>
    <w:p w:rsidR="00F5724A" w:rsidRPr="009A43AA" w:rsidRDefault="004377E3" w:rsidP="00484385">
      <w:pPr>
        <w:tabs>
          <w:tab w:val="left" w:pos="709"/>
          <w:tab w:val="left" w:pos="1980"/>
          <w:tab w:val="left" w:pos="2700"/>
          <w:tab w:val="left" w:pos="3420"/>
        </w:tabs>
        <w:spacing w:after="160" w:line="240" w:lineRule="auto"/>
        <w:ind w:left="709" w:hanging="709"/>
        <w:jc w:val="both"/>
        <w:rPr>
          <w:rFonts w:ascii="Arial" w:eastAsia="Times New Roman" w:hAnsi="Arial" w:cs="Arial"/>
          <w:szCs w:val="20"/>
          <w:lang w:eastAsia="en-GB"/>
        </w:rPr>
      </w:pPr>
      <w:r>
        <w:rPr>
          <w:rFonts w:ascii="Arial" w:hAnsi="Arial" w:cs="Arial"/>
        </w:rPr>
        <w:t>2</w:t>
      </w:r>
      <w:r w:rsidR="0034135E" w:rsidRPr="009823D3">
        <w:rPr>
          <w:rFonts w:ascii="Arial" w:hAnsi="Arial" w:cs="Arial"/>
        </w:rPr>
        <w:t>.1</w:t>
      </w:r>
      <w:r w:rsidR="009823D3">
        <w:rPr>
          <w:rFonts w:ascii="Arial" w:hAnsi="Arial" w:cs="Arial"/>
          <w:b/>
        </w:rPr>
        <w:tab/>
      </w:r>
      <w:r w:rsidR="00F5724A" w:rsidRPr="009A43AA">
        <w:rPr>
          <w:rFonts w:ascii="Arial" w:eastAsia="Times New Roman" w:hAnsi="Arial" w:cs="Arial"/>
          <w:szCs w:val="20"/>
          <w:lang w:eastAsia="en-GB"/>
        </w:rPr>
        <w:t xml:space="preserve">The Council’s </w:t>
      </w:r>
      <w:r w:rsidR="009A43AA" w:rsidRPr="009A43AA">
        <w:rPr>
          <w:rFonts w:ascii="Arial" w:eastAsia="Times New Roman" w:hAnsi="Arial" w:cs="Arial"/>
          <w:szCs w:val="20"/>
          <w:lang w:eastAsia="en-GB"/>
        </w:rPr>
        <w:t>c</w:t>
      </w:r>
      <w:r w:rsidR="00F5724A" w:rsidRPr="009A43AA">
        <w:rPr>
          <w:rFonts w:ascii="Arial" w:eastAsia="Times New Roman" w:hAnsi="Arial" w:cs="Arial"/>
          <w:szCs w:val="20"/>
          <w:lang w:eastAsia="en-GB"/>
        </w:rPr>
        <w:t xml:space="preserve">apital </w:t>
      </w:r>
      <w:r w:rsidR="009A43AA" w:rsidRPr="009A43AA">
        <w:rPr>
          <w:rFonts w:ascii="Arial" w:eastAsia="Times New Roman" w:hAnsi="Arial" w:cs="Arial"/>
          <w:szCs w:val="20"/>
          <w:lang w:eastAsia="en-GB"/>
        </w:rPr>
        <w:t>programme</w:t>
      </w:r>
      <w:r w:rsidR="00F5724A" w:rsidRPr="009A43AA">
        <w:rPr>
          <w:rFonts w:ascii="Arial" w:eastAsia="Times New Roman" w:hAnsi="Arial" w:cs="Arial"/>
          <w:szCs w:val="20"/>
          <w:lang w:eastAsia="en-GB"/>
        </w:rPr>
        <w:t xml:space="preserve"> ha</w:t>
      </w:r>
      <w:r w:rsidR="009A43AA" w:rsidRPr="009A43AA">
        <w:rPr>
          <w:rFonts w:ascii="Arial" w:eastAsia="Times New Roman" w:hAnsi="Arial" w:cs="Arial"/>
          <w:szCs w:val="20"/>
          <w:lang w:eastAsia="en-GB"/>
        </w:rPr>
        <w:t>s</w:t>
      </w:r>
      <w:r w:rsidR="00F5724A" w:rsidRPr="009A43AA">
        <w:rPr>
          <w:rFonts w:ascii="Arial" w:eastAsia="Times New Roman" w:hAnsi="Arial" w:cs="Arial"/>
          <w:szCs w:val="20"/>
          <w:lang w:eastAsia="en-GB"/>
        </w:rPr>
        <w:t xml:space="preserve"> been designed to support and enhance its core services</w:t>
      </w:r>
      <w:r w:rsidR="001630AE" w:rsidRPr="009A43AA">
        <w:rPr>
          <w:rFonts w:ascii="Arial" w:eastAsia="Times New Roman" w:hAnsi="Arial" w:cs="Arial"/>
          <w:szCs w:val="20"/>
          <w:lang w:eastAsia="en-GB"/>
        </w:rPr>
        <w:t>.</w:t>
      </w:r>
    </w:p>
    <w:p w:rsidR="009C6B44" w:rsidRPr="00627222" w:rsidRDefault="004377E3" w:rsidP="00484385">
      <w:pPr>
        <w:tabs>
          <w:tab w:val="left" w:pos="3765"/>
        </w:tabs>
        <w:spacing w:after="160" w:line="240" w:lineRule="auto"/>
        <w:ind w:left="709" w:hanging="709"/>
        <w:jc w:val="both"/>
        <w:rPr>
          <w:rFonts w:ascii="Arial" w:eastAsia="Times New Roman" w:hAnsi="Arial" w:cs="Arial"/>
          <w:b/>
          <w:szCs w:val="20"/>
          <w:lang w:eastAsia="en-GB"/>
        </w:rPr>
      </w:pPr>
      <w:r w:rsidRPr="001E2D2A">
        <w:rPr>
          <w:rFonts w:ascii="Arial" w:hAnsi="Arial" w:cs="Arial"/>
        </w:rPr>
        <w:lastRenderedPageBreak/>
        <w:t>2</w:t>
      </w:r>
      <w:r w:rsidR="009C6B44" w:rsidRPr="001E2D2A">
        <w:rPr>
          <w:rFonts w:ascii="Arial" w:hAnsi="Arial" w:cs="Arial"/>
        </w:rPr>
        <w:t>.</w:t>
      </w:r>
      <w:r w:rsidR="009C6B44" w:rsidRPr="00627222">
        <w:rPr>
          <w:rFonts w:ascii="Arial" w:hAnsi="Arial" w:cs="Arial"/>
        </w:rPr>
        <w:t xml:space="preserve">2     </w:t>
      </w:r>
      <w:r w:rsidRPr="00627222">
        <w:rPr>
          <w:rFonts w:ascii="Arial" w:eastAsia="Times New Roman" w:hAnsi="Arial" w:cs="Arial"/>
          <w:szCs w:val="20"/>
          <w:lang w:eastAsia="en-GB"/>
        </w:rPr>
        <w:t xml:space="preserve"> </w:t>
      </w:r>
      <w:r w:rsidR="009C35B4" w:rsidRPr="00627222">
        <w:rPr>
          <w:rFonts w:ascii="Arial" w:eastAsia="Times New Roman" w:hAnsi="Arial" w:cs="Arial"/>
          <w:szCs w:val="20"/>
          <w:lang w:eastAsia="en-GB"/>
        </w:rPr>
        <w:t xml:space="preserve">The </w:t>
      </w:r>
      <w:r w:rsidR="00B15F9D" w:rsidRPr="00627222">
        <w:rPr>
          <w:rFonts w:ascii="Arial" w:eastAsia="Times New Roman" w:hAnsi="Arial" w:cs="Arial"/>
          <w:szCs w:val="20"/>
          <w:lang w:eastAsia="en-GB"/>
        </w:rPr>
        <w:t xml:space="preserve">latest </w:t>
      </w:r>
      <w:r w:rsidR="009C35B4" w:rsidRPr="00627222">
        <w:rPr>
          <w:rFonts w:ascii="Arial" w:eastAsia="Times New Roman" w:hAnsi="Arial" w:cs="Arial"/>
          <w:szCs w:val="20"/>
          <w:lang w:eastAsia="en-GB"/>
        </w:rPr>
        <w:t>Capital budget is</w:t>
      </w:r>
      <w:r w:rsidR="00B15F9D" w:rsidRPr="00627222">
        <w:rPr>
          <w:rFonts w:ascii="Arial" w:eastAsia="Times New Roman" w:hAnsi="Arial" w:cs="Arial"/>
          <w:szCs w:val="20"/>
          <w:lang w:eastAsia="en-GB"/>
        </w:rPr>
        <w:t xml:space="preserve"> </w:t>
      </w:r>
      <w:r w:rsidR="00B52061" w:rsidRPr="00627222">
        <w:rPr>
          <w:rFonts w:ascii="Arial" w:eastAsia="Times New Roman" w:hAnsi="Arial" w:cs="Arial"/>
          <w:b/>
          <w:szCs w:val="20"/>
          <w:lang w:eastAsia="en-GB"/>
        </w:rPr>
        <w:t>£18</w:t>
      </w:r>
      <w:r w:rsidR="00311200">
        <w:rPr>
          <w:rFonts w:ascii="Arial" w:eastAsia="Times New Roman" w:hAnsi="Arial" w:cs="Arial"/>
          <w:b/>
          <w:szCs w:val="20"/>
          <w:lang w:eastAsia="en-GB"/>
        </w:rPr>
        <w:t>.</w:t>
      </w:r>
      <w:r w:rsidR="00B52061" w:rsidRPr="00627222">
        <w:rPr>
          <w:rFonts w:ascii="Arial" w:eastAsia="Times New Roman" w:hAnsi="Arial" w:cs="Arial"/>
          <w:b/>
          <w:szCs w:val="20"/>
          <w:lang w:eastAsia="en-GB"/>
        </w:rPr>
        <w:t>58</w:t>
      </w:r>
      <w:r w:rsidR="00311200">
        <w:rPr>
          <w:rFonts w:ascii="Arial" w:eastAsia="Times New Roman" w:hAnsi="Arial" w:cs="Arial"/>
          <w:b/>
          <w:szCs w:val="20"/>
          <w:lang w:eastAsia="en-GB"/>
        </w:rPr>
        <w:t>5</w:t>
      </w:r>
      <w:r w:rsidRPr="00627222">
        <w:rPr>
          <w:rFonts w:ascii="Arial" w:eastAsia="Times New Roman" w:hAnsi="Arial" w:cs="Arial"/>
          <w:b/>
          <w:szCs w:val="20"/>
          <w:lang w:eastAsia="en-GB"/>
        </w:rPr>
        <w:t xml:space="preserve"> </w:t>
      </w:r>
      <w:r w:rsidRPr="00627222">
        <w:rPr>
          <w:rFonts w:ascii="Arial" w:eastAsia="Times New Roman" w:hAnsi="Arial" w:cs="Arial"/>
          <w:szCs w:val="20"/>
          <w:lang w:eastAsia="en-GB"/>
        </w:rPr>
        <w:t>million</w:t>
      </w:r>
      <w:r w:rsidR="00B15F9D" w:rsidRPr="00627222">
        <w:rPr>
          <w:rFonts w:ascii="Arial" w:eastAsia="Times New Roman" w:hAnsi="Arial" w:cs="Arial"/>
          <w:szCs w:val="20"/>
          <w:lang w:eastAsia="en-GB"/>
        </w:rPr>
        <w:t xml:space="preserve">. </w:t>
      </w:r>
      <w:r w:rsidRPr="00627222">
        <w:rPr>
          <w:rFonts w:ascii="Arial" w:eastAsia="Times New Roman" w:hAnsi="Arial" w:cs="Arial"/>
          <w:szCs w:val="20"/>
          <w:lang w:eastAsia="en-GB"/>
        </w:rPr>
        <w:t xml:space="preserve"> </w:t>
      </w:r>
    </w:p>
    <w:p w:rsidR="004D403D" w:rsidRPr="00627222" w:rsidRDefault="009C6B44" w:rsidP="006F6C60">
      <w:pPr>
        <w:tabs>
          <w:tab w:val="left" w:pos="3765"/>
        </w:tabs>
        <w:spacing w:after="160" w:line="240" w:lineRule="auto"/>
        <w:ind w:left="709" w:hanging="709"/>
        <w:jc w:val="both"/>
        <w:rPr>
          <w:rFonts w:ascii="Arial" w:eastAsia="Times New Roman" w:hAnsi="Arial" w:cs="Arial"/>
          <w:b/>
          <w:szCs w:val="20"/>
          <w:lang w:eastAsia="en-GB"/>
        </w:rPr>
      </w:pPr>
      <w:r w:rsidRPr="00627222">
        <w:rPr>
          <w:rFonts w:ascii="Arial" w:eastAsia="Times New Roman" w:hAnsi="Arial" w:cs="Arial"/>
          <w:b/>
          <w:szCs w:val="20"/>
          <w:lang w:eastAsia="en-GB"/>
        </w:rPr>
        <w:tab/>
      </w:r>
      <w:r w:rsidRPr="00627222">
        <w:rPr>
          <w:rFonts w:ascii="Arial" w:eastAsia="Times New Roman" w:hAnsi="Arial" w:cs="Arial"/>
          <w:szCs w:val="20"/>
          <w:lang w:eastAsia="en-GB"/>
        </w:rPr>
        <w:t xml:space="preserve">The forecast </w:t>
      </w:r>
      <w:r w:rsidR="00950318" w:rsidRPr="00627222">
        <w:rPr>
          <w:rFonts w:ascii="Arial" w:eastAsia="Times New Roman" w:hAnsi="Arial" w:cs="Arial"/>
          <w:szCs w:val="20"/>
          <w:lang w:eastAsia="en-GB"/>
        </w:rPr>
        <w:t xml:space="preserve">outturn </w:t>
      </w:r>
      <w:r w:rsidR="00B84BC2" w:rsidRPr="00627222">
        <w:rPr>
          <w:rFonts w:ascii="Arial" w:eastAsia="Times New Roman" w:hAnsi="Arial" w:cs="Arial"/>
          <w:szCs w:val="20"/>
          <w:lang w:eastAsia="en-GB"/>
        </w:rPr>
        <w:t xml:space="preserve">for </w:t>
      </w:r>
      <w:r w:rsidR="00311200">
        <w:rPr>
          <w:rFonts w:ascii="Arial" w:eastAsia="Times New Roman" w:hAnsi="Arial" w:cs="Arial"/>
          <w:szCs w:val="20"/>
          <w:lang w:eastAsia="en-GB"/>
        </w:rPr>
        <w:t>c</w:t>
      </w:r>
      <w:r w:rsidR="00B84BC2" w:rsidRPr="00627222">
        <w:rPr>
          <w:rFonts w:ascii="Arial" w:eastAsia="Times New Roman" w:hAnsi="Arial" w:cs="Arial"/>
          <w:szCs w:val="20"/>
          <w:lang w:eastAsia="en-GB"/>
        </w:rPr>
        <w:t>apital</w:t>
      </w:r>
      <w:r w:rsidRPr="00627222">
        <w:rPr>
          <w:rFonts w:ascii="Arial" w:eastAsia="Times New Roman" w:hAnsi="Arial" w:cs="Arial"/>
          <w:szCs w:val="20"/>
          <w:lang w:eastAsia="en-GB"/>
        </w:rPr>
        <w:t xml:space="preserve"> expenditure</w:t>
      </w:r>
      <w:r w:rsidR="00B52061" w:rsidRPr="00627222">
        <w:rPr>
          <w:rFonts w:ascii="Arial" w:eastAsia="Times New Roman" w:hAnsi="Arial" w:cs="Arial"/>
          <w:szCs w:val="20"/>
          <w:lang w:eastAsia="en-GB"/>
        </w:rPr>
        <w:t xml:space="preserve"> by </w:t>
      </w:r>
      <w:r w:rsidR="00B84BC2" w:rsidRPr="00627222">
        <w:rPr>
          <w:rFonts w:ascii="Arial" w:eastAsia="Times New Roman" w:hAnsi="Arial" w:cs="Arial"/>
          <w:szCs w:val="20"/>
          <w:lang w:eastAsia="en-GB"/>
        </w:rPr>
        <w:t>Service</w:t>
      </w:r>
      <w:r w:rsidR="006F6C60" w:rsidRPr="00627222">
        <w:rPr>
          <w:rFonts w:ascii="Arial" w:eastAsia="Times New Roman" w:hAnsi="Arial" w:cs="Arial"/>
          <w:szCs w:val="20"/>
          <w:lang w:eastAsia="en-GB"/>
        </w:rPr>
        <w:t>s</w:t>
      </w:r>
      <w:r w:rsidR="00B84BC2" w:rsidRPr="00627222">
        <w:rPr>
          <w:rFonts w:ascii="Arial" w:eastAsia="Times New Roman" w:hAnsi="Arial" w:cs="Arial"/>
          <w:szCs w:val="20"/>
          <w:lang w:eastAsia="en-GB"/>
        </w:rPr>
        <w:t xml:space="preserve"> at</w:t>
      </w:r>
      <w:r w:rsidRPr="00627222">
        <w:rPr>
          <w:rFonts w:ascii="Arial" w:eastAsia="Times New Roman" w:hAnsi="Arial" w:cs="Arial"/>
          <w:szCs w:val="20"/>
          <w:lang w:eastAsia="en-GB"/>
        </w:rPr>
        <w:t xml:space="preserve"> Period </w:t>
      </w:r>
      <w:r w:rsidR="002F1FA8" w:rsidRPr="00627222">
        <w:rPr>
          <w:rFonts w:ascii="Arial" w:eastAsia="Times New Roman" w:hAnsi="Arial" w:cs="Arial"/>
          <w:szCs w:val="20"/>
          <w:lang w:eastAsia="en-GB"/>
        </w:rPr>
        <w:t>10 i</w:t>
      </w:r>
      <w:r w:rsidR="004D403D" w:rsidRPr="00627222">
        <w:rPr>
          <w:rFonts w:ascii="Arial" w:eastAsia="Times New Roman" w:hAnsi="Arial" w:cs="Arial"/>
          <w:szCs w:val="20"/>
          <w:lang w:eastAsia="en-GB"/>
        </w:rPr>
        <w:t>s</w:t>
      </w:r>
      <w:r w:rsidRPr="00627222">
        <w:rPr>
          <w:rFonts w:ascii="Arial" w:eastAsia="Times New Roman" w:hAnsi="Arial" w:cs="Arial"/>
          <w:szCs w:val="20"/>
          <w:lang w:eastAsia="en-GB"/>
        </w:rPr>
        <w:t xml:space="preserve"> </w:t>
      </w:r>
      <w:r w:rsidR="006F6C60" w:rsidRPr="00627222">
        <w:rPr>
          <w:rFonts w:ascii="Arial" w:eastAsia="Times New Roman" w:hAnsi="Arial" w:cs="Arial"/>
          <w:b/>
          <w:szCs w:val="20"/>
          <w:lang w:eastAsia="en-GB"/>
        </w:rPr>
        <w:t>£</w:t>
      </w:r>
      <w:r w:rsidR="00311200">
        <w:rPr>
          <w:rFonts w:ascii="Arial" w:eastAsia="Times New Roman" w:hAnsi="Arial" w:cs="Arial"/>
          <w:b/>
          <w:szCs w:val="20"/>
          <w:lang w:eastAsia="en-GB"/>
        </w:rPr>
        <w:t>17.835</w:t>
      </w:r>
      <w:r w:rsidRPr="00627222">
        <w:rPr>
          <w:rFonts w:ascii="Arial" w:eastAsia="Times New Roman" w:hAnsi="Arial" w:cs="Arial"/>
          <w:b/>
          <w:szCs w:val="20"/>
          <w:lang w:eastAsia="en-GB"/>
        </w:rPr>
        <w:t xml:space="preserve"> million</w:t>
      </w:r>
      <w:r w:rsidR="00960A2E" w:rsidRPr="00627222">
        <w:rPr>
          <w:rFonts w:ascii="Arial" w:eastAsia="Times New Roman" w:hAnsi="Arial" w:cs="Arial"/>
          <w:szCs w:val="20"/>
          <w:lang w:eastAsia="en-GB"/>
        </w:rPr>
        <w:t xml:space="preserve">. </w:t>
      </w:r>
      <w:r w:rsidR="002F1FA8" w:rsidRPr="00627222">
        <w:rPr>
          <w:rFonts w:ascii="Arial" w:eastAsia="Times New Roman" w:hAnsi="Arial" w:cs="Arial"/>
          <w:b/>
          <w:szCs w:val="20"/>
          <w:lang w:eastAsia="en-GB"/>
        </w:rPr>
        <w:t xml:space="preserve">   </w:t>
      </w:r>
    </w:p>
    <w:p w:rsidR="00AC2BB4" w:rsidRPr="006A2CE2" w:rsidRDefault="009C35B4" w:rsidP="00484385">
      <w:pPr>
        <w:pStyle w:val="ListParagraph"/>
        <w:numPr>
          <w:ilvl w:val="2"/>
          <w:numId w:val="25"/>
        </w:numPr>
        <w:tabs>
          <w:tab w:val="left" w:pos="3765"/>
        </w:tabs>
        <w:spacing w:after="160"/>
        <w:rPr>
          <w:rFonts w:cs="Arial"/>
        </w:rPr>
      </w:pPr>
      <w:r w:rsidRPr="006A2CE2">
        <w:rPr>
          <w:rFonts w:cs="Arial"/>
        </w:rPr>
        <w:t>The variance</w:t>
      </w:r>
      <w:r w:rsidR="005B2E75">
        <w:rPr>
          <w:rFonts w:cs="Arial"/>
        </w:rPr>
        <w:t xml:space="preserve"> of </w:t>
      </w:r>
      <w:r w:rsidR="00B641EB" w:rsidRPr="00311200">
        <w:rPr>
          <w:rFonts w:cs="Arial"/>
          <w:b/>
          <w:color w:val="0000FF"/>
        </w:rPr>
        <w:t>(</w:t>
      </w:r>
      <w:r w:rsidR="00B641EB" w:rsidRPr="00B641EB">
        <w:rPr>
          <w:rFonts w:cs="Arial"/>
          <w:b/>
          <w:color w:val="0000FF"/>
        </w:rPr>
        <w:t>£</w:t>
      </w:r>
      <w:r w:rsidR="00A50270">
        <w:rPr>
          <w:rFonts w:cs="Arial"/>
          <w:b/>
          <w:color w:val="0000FF"/>
        </w:rPr>
        <w:t>0.7</w:t>
      </w:r>
      <w:r w:rsidR="00981396">
        <w:rPr>
          <w:rFonts w:cs="Arial"/>
          <w:b/>
          <w:color w:val="0000FF"/>
        </w:rPr>
        <w:t>50</w:t>
      </w:r>
      <w:r w:rsidR="00B641EB" w:rsidRPr="00B641EB">
        <w:rPr>
          <w:rFonts w:cs="Arial"/>
          <w:b/>
          <w:color w:val="0000FF"/>
        </w:rPr>
        <w:t>)</w:t>
      </w:r>
      <w:r w:rsidR="005B2E75" w:rsidRPr="005B2E75">
        <w:rPr>
          <w:rFonts w:cs="Arial"/>
          <w:b/>
        </w:rPr>
        <w:t xml:space="preserve"> million</w:t>
      </w:r>
      <w:r w:rsidRPr="006A2CE2">
        <w:rPr>
          <w:rFonts w:cs="Arial"/>
        </w:rPr>
        <w:t xml:space="preserve"> is due to</w:t>
      </w:r>
      <w:r w:rsidR="00950318" w:rsidRPr="006A2CE2">
        <w:rPr>
          <w:rFonts w:cs="Arial"/>
        </w:rPr>
        <w:t xml:space="preserve"> re</w:t>
      </w:r>
      <w:r w:rsidR="00845A97">
        <w:rPr>
          <w:rFonts w:cs="Arial"/>
        </w:rPr>
        <w:t>-</w:t>
      </w:r>
      <w:r w:rsidR="002F1FA8" w:rsidRPr="006A2CE2">
        <w:rPr>
          <w:rFonts w:cs="Arial"/>
        </w:rPr>
        <w:t>phas</w:t>
      </w:r>
      <w:r w:rsidR="00B641EB">
        <w:rPr>
          <w:rFonts w:cs="Arial"/>
        </w:rPr>
        <w:t>ing of schemes.</w:t>
      </w:r>
    </w:p>
    <w:p w:rsidR="009C6B44" w:rsidRPr="003C3378" w:rsidRDefault="00DE5EC9" w:rsidP="00484385">
      <w:pPr>
        <w:tabs>
          <w:tab w:val="left" w:pos="3765"/>
        </w:tabs>
        <w:spacing w:after="160" w:line="240" w:lineRule="auto"/>
        <w:ind w:left="720" w:hanging="720"/>
        <w:jc w:val="both"/>
        <w:rPr>
          <w:rFonts w:ascii="Arial" w:eastAsia="Times New Roman" w:hAnsi="Arial" w:cs="Arial"/>
          <w:szCs w:val="20"/>
          <w:lang w:eastAsia="en-GB"/>
        </w:rPr>
      </w:pPr>
      <w:r w:rsidRPr="003C3378">
        <w:rPr>
          <w:rFonts w:ascii="Arial" w:eastAsia="Times New Roman" w:hAnsi="Arial" w:cs="Arial"/>
          <w:szCs w:val="20"/>
          <w:lang w:eastAsia="en-GB"/>
        </w:rPr>
        <w:tab/>
      </w:r>
      <w:r w:rsidR="000818DA">
        <w:rPr>
          <w:rFonts w:ascii="Arial" w:eastAsia="Times New Roman" w:hAnsi="Arial" w:cs="Arial"/>
          <w:szCs w:val="20"/>
          <w:lang w:eastAsia="en-GB"/>
        </w:rPr>
        <w:t xml:space="preserve">The </w:t>
      </w:r>
      <w:r w:rsidR="00967C6E" w:rsidRPr="003C3378">
        <w:rPr>
          <w:rFonts w:ascii="Arial" w:eastAsia="Times New Roman" w:hAnsi="Arial" w:cs="Arial"/>
          <w:szCs w:val="20"/>
          <w:lang w:eastAsia="en-GB"/>
        </w:rPr>
        <w:t xml:space="preserve">Schemes </w:t>
      </w:r>
      <w:r w:rsidR="00967C6E">
        <w:rPr>
          <w:rFonts w:ascii="Arial" w:eastAsia="Times New Roman" w:hAnsi="Arial" w:cs="Arial"/>
          <w:szCs w:val="20"/>
          <w:lang w:eastAsia="en-GB"/>
        </w:rPr>
        <w:t>that</w:t>
      </w:r>
      <w:r w:rsidR="000818DA">
        <w:rPr>
          <w:rFonts w:ascii="Arial" w:eastAsia="Times New Roman" w:hAnsi="Arial" w:cs="Arial"/>
          <w:szCs w:val="20"/>
          <w:lang w:eastAsia="en-GB"/>
        </w:rPr>
        <w:t xml:space="preserve"> contribute to the variance</w:t>
      </w:r>
      <w:r w:rsidR="002F1FA8" w:rsidRPr="003C3378">
        <w:rPr>
          <w:rFonts w:ascii="Arial" w:eastAsia="Times New Roman" w:hAnsi="Arial" w:cs="Arial"/>
          <w:szCs w:val="20"/>
          <w:lang w:eastAsia="en-GB"/>
        </w:rPr>
        <w:t xml:space="preserve"> include:</w:t>
      </w:r>
    </w:p>
    <w:p w:rsidR="00AF0A43" w:rsidRDefault="009C6B44" w:rsidP="00484385">
      <w:pPr>
        <w:pStyle w:val="ListParagraph"/>
        <w:numPr>
          <w:ilvl w:val="0"/>
          <w:numId w:val="11"/>
        </w:numPr>
        <w:ind w:left="1276" w:hanging="357"/>
        <w:rPr>
          <w:rFonts w:cs="Arial"/>
        </w:rPr>
      </w:pPr>
      <w:r w:rsidRPr="003C3378">
        <w:rPr>
          <w:rFonts w:cs="Arial"/>
        </w:rPr>
        <w:t>Temporary Accommodation</w:t>
      </w:r>
      <w:r w:rsidR="00950318" w:rsidRPr="003C3378">
        <w:rPr>
          <w:rFonts w:cs="Arial"/>
        </w:rPr>
        <w:t xml:space="preserve"> Other sites: </w:t>
      </w:r>
    </w:p>
    <w:p w:rsidR="00B84BC2" w:rsidRPr="009C35B4" w:rsidRDefault="006F6C60" w:rsidP="00484385">
      <w:pPr>
        <w:pStyle w:val="ListParagraph"/>
        <w:ind w:left="1276"/>
        <w:rPr>
          <w:rFonts w:cs="Arial"/>
        </w:rPr>
      </w:pPr>
      <w:r w:rsidRPr="006F6C60">
        <w:rPr>
          <w:rFonts w:cs="Arial"/>
          <w:color w:val="0000FF"/>
        </w:rPr>
        <w:t>(</w:t>
      </w:r>
      <w:r w:rsidR="00950318" w:rsidRPr="006F6C60">
        <w:rPr>
          <w:rFonts w:cs="Arial"/>
          <w:color w:val="0000FF"/>
        </w:rPr>
        <w:t>£</w:t>
      </w:r>
      <w:r w:rsidR="00AF0A43" w:rsidRPr="006F6C60">
        <w:rPr>
          <w:rFonts w:cs="Arial"/>
          <w:color w:val="0000FF"/>
        </w:rPr>
        <w:t>800,000</w:t>
      </w:r>
      <w:r w:rsidRPr="006F6C60">
        <w:rPr>
          <w:rFonts w:cs="Arial"/>
          <w:color w:val="0000FF"/>
        </w:rPr>
        <w:t>)</w:t>
      </w:r>
      <w:r w:rsidR="00AF0A43" w:rsidRPr="006F6C60">
        <w:rPr>
          <w:rFonts w:cs="Arial"/>
          <w:color w:val="0000FF"/>
        </w:rPr>
        <w:t xml:space="preserve"> </w:t>
      </w:r>
      <w:r w:rsidR="00AF0A43" w:rsidRPr="003C3378">
        <w:rPr>
          <w:rFonts w:cs="Arial"/>
        </w:rPr>
        <w:t>is</w:t>
      </w:r>
      <w:r w:rsidR="009C6B44" w:rsidRPr="003C3378">
        <w:rPr>
          <w:rFonts w:cs="Arial"/>
        </w:rPr>
        <w:t xml:space="preserve"> to be re</w:t>
      </w:r>
      <w:r w:rsidR="00845A97">
        <w:rPr>
          <w:rFonts w:cs="Arial"/>
        </w:rPr>
        <w:t>-</w:t>
      </w:r>
      <w:r w:rsidR="009C6B44" w:rsidRPr="003C3378">
        <w:rPr>
          <w:rFonts w:cs="Arial"/>
        </w:rPr>
        <w:t>phased into 2018/19 as construction of temporary accommodation is expected to commence in Quarter 2 of 2018/19.</w:t>
      </w:r>
    </w:p>
    <w:p w:rsidR="00AF0A43" w:rsidRPr="003C3378" w:rsidRDefault="00AF0A43" w:rsidP="00484385">
      <w:pPr>
        <w:pStyle w:val="ListParagraph"/>
        <w:ind w:left="1276"/>
        <w:rPr>
          <w:rFonts w:cs="Arial"/>
        </w:rPr>
      </w:pPr>
    </w:p>
    <w:p w:rsidR="00AF0A43" w:rsidRDefault="002F1FA8" w:rsidP="00484385">
      <w:pPr>
        <w:pStyle w:val="ListParagraph"/>
        <w:numPr>
          <w:ilvl w:val="0"/>
          <w:numId w:val="11"/>
        </w:numPr>
        <w:ind w:left="1276" w:hanging="283"/>
        <w:rPr>
          <w:rFonts w:cs="Arial"/>
        </w:rPr>
      </w:pPr>
      <w:r w:rsidRPr="003C3378">
        <w:rPr>
          <w:rFonts w:cs="Arial"/>
        </w:rPr>
        <w:t xml:space="preserve">Replacement of Grounds Maintenance Vehicles: </w:t>
      </w:r>
      <w:r w:rsidR="00726F90" w:rsidRPr="00726F90">
        <w:rPr>
          <w:rFonts w:cs="Arial"/>
          <w:color w:val="0000FF"/>
        </w:rPr>
        <w:t>(</w:t>
      </w:r>
      <w:r w:rsidRPr="00726F90">
        <w:rPr>
          <w:rFonts w:cs="Arial"/>
          <w:color w:val="0000FF"/>
        </w:rPr>
        <w:t>£163,860</w:t>
      </w:r>
      <w:r w:rsidR="00726F90" w:rsidRPr="00726F90">
        <w:rPr>
          <w:rFonts w:cs="Arial"/>
          <w:color w:val="0000FF"/>
        </w:rPr>
        <w:t>)</w:t>
      </w:r>
      <w:r w:rsidRPr="003C3378">
        <w:rPr>
          <w:rFonts w:cs="Arial"/>
        </w:rPr>
        <w:t xml:space="preserve">.  </w:t>
      </w:r>
    </w:p>
    <w:p w:rsidR="002F1FA8" w:rsidRDefault="002F1FA8" w:rsidP="00484385">
      <w:pPr>
        <w:pStyle w:val="ListParagraph"/>
        <w:ind w:left="1276"/>
        <w:rPr>
          <w:rFonts w:cs="Arial"/>
        </w:rPr>
      </w:pPr>
      <w:r w:rsidRPr="003C3378">
        <w:rPr>
          <w:rFonts w:cs="Arial"/>
        </w:rPr>
        <w:t xml:space="preserve">The procurement process is ongoing with orders to be placed in 2018/19. </w:t>
      </w:r>
    </w:p>
    <w:p w:rsidR="00AF0A43" w:rsidRPr="003C3378" w:rsidRDefault="00AF0A43" w:rsidP="00484385">
      <w:pPr>
        <w:pStyle w:val="ListParagraph"/>
        <w:ind w:left="1276"/>
        <w:rPr>
          <w:rFonts w:cs="Arial"/>
        </w:rPr>
      </w:pPr>
    </w:p>
    <w:p w:rsidR="002F1FA8" w:rsidRDefault="002F1FA8" w:rsidP="00484385">
      <w:pPr>
        <w:pStyle w:val="ListParagraph"/>
        <w:numPr>
          <w:ilvl w:val="0"/>
          <w:numId w:val="11"/>
        </w:numPr>
        <w:ind w:left="1276" w:hanging="283"/>
        <w:rPr>
          <w:rFonts w:cs="Arial"/>
        </w:rPr>
      </w:pPr>
      <w:r w:rsidRPr="003C3378">
        <w:rPr>
          <w:rFonts w:cs="Arial"/>
        </w:rPr>
        <w:t xml:space="preserve">Cemeteries Car </w:t>
      </w:r>
      <w:r w:rsidR="00726F90" w:rsidRPr="003C3378">
        <w:rPr>
          <w:rFonts w:cs="Arial"/>
        </w:rPr>
        <w:t>Park</w:t>
      </w:r>
      <w:r w:rsidR="00726F90" w:rsidRPr="00726F90">
        <w:rPr>
          <w:rFonts w:cs="Arial"/>
          <w:color w:val="0000FF"/>
        </w:rPr>
        <w:t xml:space="preserve"> :(</w:t>
      </w:r>
      <w:r w:rsidRPr="00726F90">
        <w:rPr>
          <w:rFonts w:cs="Arial"/>
          <w:color w:val="0000FF"/>
        </w:rPr>
        <w:t xml:space="preserve"> £74,730</w:t>
      </w:r>
      <w:r w:rsidR="00726F90" w:rsidRPr="00726F90">
        <w:rPr>
          <w:rFonts w:cs="Arial"/>
          <w:color w:val="0000FF"/>
        </w:rPr>
        <w:t>)</w:t>
      </w:r>
      <w:r w:rsidRPr="00726F90">
        <w:rPr>
          <w:rFonts w:cs="Arial"/>
          <w:color w:val="0000FF"/>
        </w:rPr>
        <w:t xml:space="preserve">. </w:t>
      </w:r>
      <w:r w:rsidR="000818DA" w:rsidRPr="000818DA">
        <w:rPr>
          <w:rFonts w:cs="Arial"/>
        </w:rPr>
        <w:t>P</w:t>
      </w:r>
      <w:r w:rsidRPr="003C3378">
        <w:rPr>
          <w:rFonts w:cs="Arial"/>
        </w:rPr>
        <w:t>lanning permission was recently granted</w:t>
      </w:r>
      <w:r w:rsidR="000818DA">
        <w:rPr>
          <w:rFonts w:cs="Arial"/>
        </w:rPr>
        <w:t xml:space="preserve"> and w</w:t>
      </w:r>
      <w:r w:rsidRPr="003C3378">
        <w:rPr>
          <w:rFonts w:cs="Arial"/>
        </w:rPr>
        <w:t xml:space="preserve">ork is </w:t>
      </w:r>
      <w:r w:rsidR="0085134A">
        <w:rPr>
          <w:rFonts w:cs="Arial"/>
        </w:rPr>
        <w:t>expected to commence in 2018/19.</w:t>
      </w:r>
    </w:p>
    <w:p w:rsidR="00AF0A43" w:rsidRPr="003C3378" w:rsidRDefault="00AF0A43" w:rsidP="00484385">
      <w:pPr>
        <w:pStyle w:val="ListParagraph"/>
        <w:ind w:left="1276"/>
        <w:rPr>
          <w:rFonts w:cs="Arial"/>
        </w:rPr>
      </w:pPr>
    </w:p>
    <w:p w:rsidR="002F1FA8" w:rsidRDefault="002F1FA8" w:rsidP="00484385">
      <w:pPr>
        <w:pStyle w:val="ListParagraph"/>
        <w:numPr>
          <w:ilvl w:val="0"/>
          <w:numId w:val="11"/>
        </w:numPr>
        <w:ind w:left="1276" w:hanging="283"/>
        <w:rPr>
          <w:rFonts w:cs="Arial"/>
        </w:rPr>
      </w:pPr>
      <w:r w:rsidRPr="003C3378">
        <w:rPr>
          <w:rFonts w:cs="Arial"/>
        </w:rPr>
        <w:t xml:space="preserve">Retail Parades: </w:t>
      </w:r>
      <w:r w:rsidR="00726F90" w:rsidRPr="00726F90">
        <w:rPr>
          <w:rFonts w:cs="Arial"/>
          <w:color w:val="0000FF"/>
        </w:rPr>
        <w:t>(</w:t>
      </w:r>
      <w:r w:rsidRPr="00726F90">
        <w:rPr>
          <w:rFonts w:cs="Arial"/>
          <w:color w:val="0000FF"/>
        </w:rPr>
        <w:t>£95,530</w:t>
      </w:r>
      <w:r w:rsidR="00726F90" w:rsidRPr="00726F90">
        <w:rPr>
          <w:rFonts w:cs="Arial"/>
          <w:color w:val="0000FF"/>
        </w:rPr>
        <w:t>)</w:t>
      </w:r>
      <w:r w:rsidRPr="00726F90">
        <w:rPr>
          <w:rFonts w:cs="Arial"/>
          <w:color w:val="0000FF"/>
        </w:rPr>
        <w:t xml:space="preserve">. </w:t>
      </w:r>
      <w:r w:rsidRPr="003C3378">
        <w:rPr>
          <w:rFonts w:cs="Arial"/>
        </w:rPr>
        <w:t xml:space="preserve">Work on the rapid electric charging points and Delta Gain Retail Parade refurbishment </w:t>
      </w:r>
      <w:r w:rsidR="000818DA">
        <w:rPr>
          <w:rFonts w:cs="Arial"/>
        </w:rPr>
        <w:t>are</w:t>
      </w:r>
      <w:r w:rsidRPr="003C3378">
        <w:rPr>
          <w:rFonts w:cs="Arial"/>
        </w:rPr>
        <w:t xml:space="preserve"> due to commence in late March 2018.</w:t>
      </w:r>
    </w:p>
    <w:p w:rsidR="00AF0A43" w:rsidRPr="003C3378" w:rsidRDefault="00AF0A43" w:rsidP="00484385">
      <w:pPr>
        <w:pStyle w:val="ListParagraph"/>
        <w:ind w:left="1276"/>
        <w:rPr>
          <w:rFonts w:cs="Arial"/>
        </w:rPr>
      </w:pPr>
    </w:p>
    <w:p w:rsidR="002F1FA8" w:rsidRDefault="002F1FA8" w:rsidP="00484385">
      <w:pPr>
        <w:pStyle w:val="ListParagraph"/>
        <w:numPr>
          <w:ilvl w:val="0"/>
          <w:numId w:val="11"/>
        </w:numPr>
        <w:ind w:left="1276" w:hanging="283"/>
        <w:rPr>
          <w:rFonts w:cs="Arial"/>
        </w:rPr>
      </w:pPr>
      <w:r w:rsidRPr="003C3378">
        <w:rPr>
          <w:rFonts w:cs="Arial"/>
        </w:rPr>
        <w:t xml:space="preserve">Waste and Recycling Vehicles: </w:t>
      </w:r>
      <w:r w:rsidR="00726F90" w:rsidRPr="00726F90">
        <w:rPr>
          <w:rFonts w:cs="Arial"/>
          <w:color w:val="0000FF"/>
        </w:rPr>
        <w:t>(</w:t>
      </w:r>
      <w:r w:rsidRPr="00726F90">
        <w:rPr>
          <w:rFonts w:cs="Arial"/>
          <w:color w:val="0000FF"/>
        </w:rPr>
        <w:t>£323,970</w:t>
      </w:r>
      <w:r w:rsidR="00726F90" w:rsidRPr="00726F90">
        <w:rPr>
          <w:rFonts w:cs="Arial"/>
          <w:color w:val="0000FF"/>
        </w:rPr>
        <w:t>)</w:t>
      </w:r>
      <w:r w:rsidRPr="00726F90">
        <w:rPr>
          <w:rFonts w:cs="Arial"/>
          <w:color w:val="0000FF"/>
        </w:rPr>
        <w:t xml:space="preserve">. </w:t>
      </w:r>
      <w:r w:rsidRPr="003C3378">
        <w:rPr>
          <w:rFonts w:cs="Arial"/>
        </w:rPr>
        <w:t xml:space="preserve">The procurement process is </w:t>
      </w:r>
      <w:r w:rsidR="003C3378" w:rsidRPr="003C3378">
        <w:rPr>
          <w:rFonts w:cs="Arial"/>
        </w:rPr>
        <w:t>ongoing</w:t>
      </w:r>
      <w:r w:rsidRPr="003C3378">
        <w:rPr>
          <w:rFonts w:cs="Arial"/>
        </w:rPr>
        <w:t xml:space="preserve"> with </w:t>
      </w:r>
      <w:r w:rsidR="003C3378" w:rsidRPr="003C3378">
        <w:rPr>
          <w:rFonts w:cs="Arial"/>
        </w:rPr>
        <w:t>acquisition</w:t>
      </w:r>
      <w:r w:rsidRPr="003C3378">
        <w:rPr>
          <w:rFonts w:cs="Arial"/>
        </w:rPr>
        <w:t xml:space="preserve"> expected in 2018/19. </w:t>
      </w:r>
    </w:p>
    <w:p w:rsidR="005D3B8A" w:rsidRPr="005D3B8A" w:rsidRDefault="005D3B8A" w:rsidP="005D3B8A">
      <w:pPr>
        <w:pStyle w:val="ListParagraph"/>
        <w:rPr>
          <w:rFonts w:cs="Arial"/>
        </w:rPr>
      </w:pPr>
    </w:p>
    <w:p w:rsidR="005D3B8A" w:rsidRPr="003C3378" w:rsidRDefault="005D3B8A" w:rsidP="00484385">
      <w:pPr>
        <w:pStyle w:val="ListParagraph"/>
        <w:numPr>
          <w:ilvl w:val="0"/>
          <w:numId w:val="11"/>
        </w:numPr>
        <w:ind w:left="1276" w:hanging="283"/>
        <w:rPr>
          <w:rFonts w:cs="Arial"/>
        </w:rPr>
      </w:pPr>
      <w:r>
        <w:rPr>
          <w:rFonts w:cs="Arial"/>
        </w:rPr>
        <w:t xml:space="preserve">Property Investment Board- </w:t>
      </w:r>
      <w:r w:rsidR="00845A97">
        <w:rPr>
          <w:rFonts w:cs="Arial"/>
        </w:rPr>
        <w:t xml:space="preserve">Drawdown from the investment fund </w:t>
      </w:r>
      <w:proofErr w:type="gramStart"/>
      <w:r w:rsidR="00845A97">
        <w:rPr>
          <w:rFonts w:cs="Arial"/>
        </w:rPr>
        <w:t>provide</w:t>
      </w:r>
      <w:proofErr w:type="gramEnd"/>
      <w:r w:rsidR="00845A97">
        <w:rPr>
          <w:rFonts w:cs="Arial"/>
        </w:rPr>
        <w:t xml:space="preserve"> </w:t>
      </w:r>
      <w:r>
        <w:rPr>
          <w:rFonts w:cs="Arial"/>
        </w:rPr>
        <w:t>a £1</w:t>
      </w:r>
      <w:r w:rsidR="00845A97">
        <w:rPr>
          <w:rFonts w:cs="Arial"/>
        </w:rPr>
        <w:t>.0</w:t>
      </w:r>
      <w:r>
        <w:rPr>
          <w:rFonts w:cs="Arial"/>
        </w:rPr>
        <w:t xml:space="preserve"> million loan </w:t>
      </w:r>
      <w:r w:rsidR="00845A97">
        <w:rPr>
          <w:rFonts w:cs="Arial"/>
        </w:rPr>
        <w:t xml:space="preserve">facility </w:t>
      </w:r>
      <w:r>
        <w:rPr>
          <w:rFonts w:cs="Arial"/>
        </w:rPr>
        <w:t>to Three Rivers Homes</w:t>
      </w:r>
      <w:r w:rsidR="000818DA">
        <w:rPr>
          <w:rFonts w:cs="Arial"/>
        </w:rPr>
        <w:t xml:space="preserve"> Limited for</w:t>
      </w:r>
      <w:r>
        <w:rPr>
          <w:rFonts w:cs="Arial"/>
        </w:rPr>
        <w:t xml:space="preserve"> work to the Grapevine site.</w:t>
      </w:r>
      <w:r w:rsidR="00845A97">
        <w:rPr>
          <w:rFonts w:cs="Arial"/>
        </w:rPr>
        <w:t xml:space="preserve">  This loan is interest bearing and provides a revenue return to the Council.</w:t>
      </w:r>
      <w:r>
        <w:rPr>
          <w:rFonts w:cs="Arial"/>
        </w:rPr>
        <w:t xml:space="preserve"> </w:t>
      </w:r>
    </w:p>
    <w:p w:rsidR="003D5FF5" w:rsidRPr="002F5052" w:rsidRDefault="003D5FF5" w:rsidP="00484385">
      <w:pPr>
        <w:pStyle w:val="ListParagraph"/>
        <w:ind w:left="1276"/>
        <w:rPr>
          <w:rFonts w:cs="Arial"/>
          <w:color w:val="FF0000"/>
        </w:rPr>
      </w:pPr>
    </w:p>
    <w:p w:rsidR="00B37A65" w:rsidRPr="00B37A65" w:rsidRDefault="00BC3034" w:rsidP="00484385">
      <w:pPr>
        <w:tabs>
          <w:tab w:val="left" w:pos="709"/>
          <w:tab w:val="left" w:pos="1980"/>
          <w:tab w:val="left" w:pos="2700"/>
          <w:tab w:val="left" w:pos="3420"/>
        </w:tabs>
        <w:spacing w:after="160" w:line="240" w:lineRule="auto"/>
        <w:ind w:left="705" w:hanging="705"/>
        <w:jc w:val="both"/>
        <w:rPr>
          <w:rFonts w:ascii="Arial" w:eastAsia="Times New Roman" w:hAnsi="Arial" w:cs="Times New Roman"/>
          <w:color w:val="365F91" w:themeColor="accent1" w:themeShade="BF"/>
          <w:szCs w:val="20"/>
          <w:lang w:eastAsia="en-GB"/>
        </w:rPr>
      </w:pPr>
      <w:r>
        <w:rPr>
          <w:rFonts w:ascii="Arial" w:eastAsia="Times New Roman" w:hAnsi="Arial" w:cs="Times New Roman"/>
          <w:szCs w:val="20"/>
          <w:lang w:eastAsia="en-GB"/>
        </w:rPr>
        <w:t>2.3</w:t>
      </w:r>
      <w:r>
        <w:rPr>
          <w:rFonts w:ascii="Arial" w:eastAsia="Times New Roman" w:hAnsi="Arial" w:cs="Times New Roman"/>
          <w:szCs w:val="20"/>
          <w:lang w:eastAsia="en-GB"/>
        </w:rPr>
        <w:tab/>
      </w:r>
      <w:r w:rsidR="00B37A65" w:rsidRPr="00B37A65">
        <w:rPr>
          <w:rFonts w:ascii="Arial" w:eastAsia="Times New Roman" w:hAnsi="Arial" w:cs="Times New Roman"/>
          <w:szCs w:val="20"/>
          <w:lang w:eastAsia="en-GB"/>
        </w:rPr>
        <w:t xml:space="preserve">The table below shows the </w:t>
      </w:r>
      <w:r w:rsidR="00AF7EA5">
        <w:rPr>
          <w:rFonts w:ascii="Arial" w:eastAsia="Times New Roman" w:hAnsi="Arial" w:cs="Times New Roman"/>
          <w:szCs w:val="20"/>
          <w:lang w:eastAsia="en-GB"/>
        </w:rPr>
        <w:t>2017/18 Capital P</w:t>
      </w:r>
      <w:r w:rsidR="00B37A65" w:rsidRPr="00B37A65">
        <w:rPr>
          <w:rFonts w:ascii="Arial" w:eastAsia="Times New Roman" w:hAnsi="Arial" w:cs="Times New Roman"/>
          <w:szCs w:val="20"/>
          <w:lang w:eastAsia="en-GB"/>
        </w:rPr>
        <w:t xml:space="preserve">rogramme budget, forecast outturn, </w:t>
      </w:r>
      <w:proofErr w:type="gramStart"/>
      <w:r w:rsidR="00B52061">
        <w:rPr>
          <w:rFonts w:ascii="Arial" w:eastAsia="Times New Roman" w:hAnsi="Arial" w:cs="Times New Roman"/>
          <w:szCs w:val="20"/>
          <w:lang w:eastAsia="en-GB"/>
        </w:rPr>
        <w:t>spend</w:t>
      </w:r>
      <w:proofErr w:type="gramEnd"/>
      <w:r w:rsidR="00B37A65" w:rsidRPr="00B37A65">
        <w:rPr>
          <w:rFonts w:ascii="Arial" w:eastAsia="Times New Roman" w:hAnsi="Arial" w:cs="Times New Roman"/>
          <w:szCs w:val="20"/>
          <w:lang w:eastAsia="en-GB"/>
        </w:rPr>
        <w:t xml:space="preserve"> to date and variance for eac</w:t>
      </w:r>
      <w:r w:rsidR="003C3378">
        <w:rPr>
          <w:rFonts w:ascii="Arial" w:eastAsia="Times New Roman" w:hAnsi="Arial" w:cs="Times New Roman"/>
          <w:szCs w:val="20"/>
          <w:lang w:eastAsia="en-GB"/>
        </w:rPr>
        <w:t>h service committee for period 10</w:t>
      </w:r>
      <w:r w:rsidR="00B37A65" w:rsidRPr="00B37A65">
        <w:rPr>
          <w:rFonts w:ascii="Arial" w:eastAsia="Times New Roman" w:hAnsi="Arial" w:cs="Times New Roman"/>
          <w:szCs w:val="20"/>
          <w:lang w:eastAsia="en-GB"/>
        </w:rPr>
        <w:t>.</w:t>
      </w:r>
    </w:p>
    <w:tbl>
      <w:tblPr>
        <w:tblStyle w:val="TableGrid1"/>
        <w:tblW w:w="9072" w:type="dxa"/>
        <w:tblInd w:w="817" w:type="dxa"/>
        <w:tblLayout w:type="fixed"/>
        <w:tblLook w:val="04A0" w:firstRow="1" w:lastRow="0" w:firstColumn="1" w:lastColumn="0" w:noHBand="0" w:noVBand="1"/>
      </w:tblPr>
      <w:tblGrid>
        <w:gridCol w:w="3686"/>
        <w:gridCol w:w="1134"/>
        <w:gridCol w:w="1134"/>
        <w:gridCol w:w="850"/>
        <w:gridCol w:w="1134"/>
        <w:gridCol w:w="1134"/>
      </w:tblGrid>
      <w:tr w:rsidR="00B37A65" w:rsidRPr="00B37A65" w:rsidTr="005D127A">
        <w:trPr>
          <w:trHeight w:val="479"/>
        </w:trPr>
        <w:tc>
          <w:tcPr>
            <w:tcW w:w="3686" w:type="dxa"/>
            <w:shd w:val="clear" w:color="auto" w:fill="DDD9C3" w:themeFill="background2" w:themeFillShade="E6"/>
            <w:vAlign w:val="center"/>
          </w:tcPr>
          <w:p w:rsidR="00B37A65" w:rsidRPr="00B37A65" w:rsidRDefault="00B37A65" w:rsidP="00484385">
            <w:pPr>
              <w:tabs>
                <w:tab w:val="left" w:pos="1260"/>
                <w:tab w:val="left" w:pos="1980"/>
                <w:tab w:val="left" w:pos="2700"/>
                <w:tab w:val="left" w:pos="3420"/>
              </w:tabs>
              <w:jc w:val="center"/>
              <w:rPr>
                <w:rFonts w:ascii="Arial" w:hAnsi="Arial"/>
                <w:b/>
              </w:rPr>
            </w:pPr>
            <w:r w:rsidRPr="00B37A65">
              <w:rPr>
                <w:rFonts w:ascii="Arial" w:hAnsi="Arial"/>
                <w:b/>
              </w:rPr>
              <w:t>Committee</w:t>
            </w:r>
          </w:p>
        </w:tc>
        <w:tc>
          <w:tcPr>
            <w:tcW w:w="1134" w:type="dxa"/>
            <w:shd w:val="clear" w:color="auto" w:fill="DDD9C3" w:themeFill="background2" w:themeFillShade="E6"/>
            <w:vAlign w:val="center"/>
          </w:tcPr>
          <w:p w:rsidR="00B37A65" w:rsidRPr="00B37A65" w:rsidRDefault="00B37A65" w:rsidP="00484385">
            <w:pPr>
              <w:tabs>
                <w:tab w:val="left" w:pos="1260"/>
                <w:tab w:val="left" w:pos="1980"/>
                <w:tab w:val="left" w:pos="2700"/>
                <w:tab w:val="left" w:pos="3420"/>
              </w:tabs>
              <w:jc w:val="center"/>
              <w:rPr>
                <w:rFonts w:ascii="Arial" w:hAnsi="Arial"/>
                <w:b/>
              </w:rPr>
            </w:pPr>
            <w:r w:rsidRPr="00B37A65">
              <w:rPr>
                <w:rFonts w:ascii="Arial" w:hAnsi="Arial"/>
                <w:b/>
              </w:rPr>
              <w:t>Original Budget</w:t>
            </w:r>
          </w:p>
          <w:p w:rsidR="00B37A65" w:rsidRPr="00B37A65" w:rsidRDefault="00B37A65" w:rsidP="00484385">
            <w:pPr>
              <w:tabs>
                <w:tab w:val="left" w:pos="1260"/>
                <w:tab w:val="left" w:pos="1980"/>
                <w:tab w:val="left" w:pos="2700"/>
                <w:tab w:val="left" w:pos="3420"/>
              </w:tabs>
              <w:jc w:val="center"/>
              <w:rPr>
                <w:rFonts w:ascii="Arial" w:hAnsi="Arial"/>
              </w:rPr>
            </w:pPr>
            <w:r w:rsidRPr="00B37A65">
              <w:rPr>
                <w:rFonts w:ascii="Arial" w:hAnsi="Arial"/>
                <w:b/>
              </w:rPr>
              <w:t>£000</w:t>
            </w:r>
          </w:p>
        </w:tc>
        <w:tc>
          <w:tcPr>
            <w:tcW w:w="1134" w:type="dxa"/>
            <w:shd w:val="clear" w:color="auto" w:fill="DDD9C3" w:themeFill="background2" w:themeFillShade="E6"/>
            <w:vAlign w:val="center"/>
          </w:tcPr>
          <w:p w:rsidR="00B37A65" w:rsidRPr="00B37A65" w:rsidRDefault="00B37A65" w:rsidP="00484385">
            <w:pPr>
              <w:tabs>
                <w:tab w:val="left" w:pos="1260"/>
                <w:tab w:val="left" w:pos="1980"/>
                <w:tab w:val="left" w:pos="2700"/>
                <w:tab w:val="left" w:pos="3420"/>
              </w:tabs>
              <w:jc w:val="center"/>
              <w:rPr>
                <w:rFonts w:ascii="Arial" w:hAnsi="Arial"/>
              </w:rPr>
            </w:pPr>
            <w:r w:rsidRPr="00B37A65">
              <w:rPr>
                <w:rFonts w:ascii="Arial" w:hAnsi="Arial"/>
                <w:b/>
              </w:rPr>
              <w:t>Latest                Budget                   £000</w:t>
            </w:r>
          </w:p>
        </w:tc>
        <w:tc>
          <w:tcPr>
            <w:tcW w:w="850" w:type="dxa"/>
            <w:shd w:val="clear" w:color="auto" w:fill="DDD9C3" w:themeFill="background2" w:themeFillShade="E6"/>
            <w:vAlign w:val="center"/>
          </w:tcPr>
          <w:p w:rsidR="00B37A65" w:rsidRPr="00B37A65" w:rsidRDefault="00A757EA" w:rsidP="00484385">
            <w:pPr>
              <w:tabs>
                <w:tab w:val="left" w:pos="1260"/>
                <w:tab w:val="left" w:pos="1980"/>
                <w:tab w:val="left" w:pos="2700"/>
                <w:tab w:val="left" w:pos="3420"/>
              </w:tabs>
              <w:jc w:val="center"/>
              <w:rPr>
                <w:rFonts w:ascii="Arial" w:hAnsi="Arial"/>
                <w:b/>
              </w:rPr>
            </w:pPr>
            <w:r>
              <w:rPr>
                <w:rFonts w:ascii="Arial" w:hAnsi="Arial"/>
                <w:b/>
              </w:rPr>
              <w:t>Spend to P</w:t>
            </w:r>
            <w:r w:rsidR="003C3378">
              <w:rPr>
                <w:rFonts w:ascii="Arial" w:hAnsi="Arial"/>
                <w:b/>
              </w:rPr>
              <w:t>10</w:t>
            </w:r>
            <w:r w:rsidR="00B37A65" w:rsidRPr="00B37A65">
              <w:rPr>
                <w:rFonts w:ascii="Arial" w:hAnsi="Arial"/>
                <w:b/>
              </w:rPr>
              <w:t xml:space="preserve"> £000</w:t>
            </w:r>
          </w:p>
        </w:tc>
        <w:tc>
          <w:tcPr>
            <w:tcW w:w="1134" w:type="dxa"/>
            <w:shd w:val="clear" w:color="auto" w:fill="DDD9C3" w:themeFill="background2" w:themeFillShade="E6"/>
            <w:vAlign w:val="center"/>
          </w:tcPr>
          <w:p w:rsidR="00B37A65" w:rsidRPr="00B37A65" w:rsidRDefault="00B37A65" w:rsidP="00484385">
            <w:pPr>
              <w:tabs>
                <w:tab w:val="left" w:pos="1260"/>
                <w:tab w:val="left" w:pos="1980"/>
                <w:tab w:val="left" w:pos="2700"/>
                <w:tab w:val="left" w:pos="3420"/>
              </w:tabs>
              <w:jc w:val="center"/>
              <w:rPr>
                <w:rFonts w:ascii="Arial" w:hAnsi="Arial"/>
                <w:b/>
              </w:rPr>
            </w:pPr>
            <w:r w:rsidRPr="00B37A65">
              <w:rPr>
                <w:rFonts w:ascii="Arial" w:hAnsi="Arial"/>
                <w:b/>
              </w:rPr>
              <w:t>Forecast</w:t>
            </w:r>
          </w:p>
          <w:p w:rsidR="00B37A65" w:rsidRPr="00B37A65" w:rsidRDefault="00B37A65" w:rsidP="00484385">
            <w:pPr>
              <w:tabs>
                <w:tab w:val="left" w:pos="1260"/>
                <w:tab w:val="left" w:pos="1980"/>
                <w:tab w:val="left" w:pos="2700"/>
                <w:tab w:val="left" w:pos="3420"/>
              </w:tabs>
              <w:jc w:val="center"/>
              <w:rPr>
                <w:rFonts w:ascii="Arial" w:hAnsi="Arial"/>
                <w:b/>
              </w:rPr>
            </w:pPr>
            <w:r w:rsidRPr="00B37A65">
              <w:rPr>
                <w:rFonts w:ascii="Arial" w:hAnsi="Arial"/>
                <w:b/>
              </w:rPr>
              <w:t>Outturn</w:t>
            </w:r>
          </w:p>
          <w:p w:rsidR="00B37A65" w:rsidRPr="00B37A65" w:rsidRDefault="00B37A65" w:rsidP="00484385">
            <w:pPr>
              <w:tabs>
                <w:tab w:val="left" w:pos="1260"/>
                <w:tab w:val="left" w:pos="1980"/>
                <w:tab w:val="left" w:pos="2700"/>
                <w:tab w:val="left" w:pos="3420"/>
              </w:tabs>
              <w:jc w:val="center"/>
              <w:rPr>
                <w:rFonts w:ascii="Arial" w:hAnsi="Arial"/>
              </w:rPr>
            </w:pPr>
            <w:r w:rsidRPr="00B37A65">
              <w:rPr>
                <w:rFonts w:ascii="Arial" w:hAnsi="Arial"/>
                <w:b/>
              </w:rPr>
              <w:t>£000</w:t>
            </w:r>
          </w:p>
        </w:tc>
        <w:tc>
          <w:tcPr>
            <w:tcW w:w="1134" w:type="dxa"/>
            <w:shd w:val="clear" w:color="auto" w:fill="DDD9C3" w:themeFill="background2" w:themeFillShade="E6"/>
            <w:vAlign w:val="center"/>
          </w:tcPr>
          <w:p w:rsidR="00B37A65" w:rsidRPr="00B37A65" w:rsidRDefault="00576AF0" w:rsidP="00484385">
            <w:pPr>
              <w:tabs>
                <w:tab w:val="left" w:pos="1260"/>
                <w:tab w:val="left" w:pos="1980"/>
                <w:tab w:val="left" w:pos="2700"/>
                <w:tab w:val="left" w:pos="3420"/>
              </w:tabs>
              <w:jc w:val="center"/>
              <w:rPr>
                <w:rFonts w:ascii="Arial" w:hAnsi="Arial"/>
                <w:b/>
              </w:rPr>
            </w:pPr>
            <w:r>
              <w:rPr>
                <w:rFonts w:ascii="Arial" w:hAnsi="Arial"/>
                <w:b/>
              </w:rPr>
              <w:t xml:space="preserve">Outturn </w:t>
            </w:r>
            <w:r w:rsidR="00B37A65" w:rsidRPr="00B37A65">
              <w:rPr>
                <w:rFonts w:ascii="Arial" w:hAnsi="Arial"/>
                <w:b/>
              </w:rPr>
              <w:t>Variance</w:t>
            </w:r>
          </w:p>
          <w:p w:rsidR="00B37A65" w:rsidRPr="00B37A65" w:rsidRDefault="00B37A65" w:rsidP="00484385">
            <w:pPr>
              <w:tabs>
                <w:tab w:val="left" w:pos="1260"/>
                <w:tab w:val="left" w:pos="1980"/>
                <w:tab w:val="left" w:pos="2700"/>
                <w:tab w:val="left" w:pos="3420"/>
              </w:tabs>
              <w:jc w:val="center"/>
              <w:rPr>
                <w:rFonts w:ascii="Arial" w:hAnsi="Arial"/>
                <w:b/>
              </w:rPr>
            </w:pPr>
            <w:r w:rsidRPr="00B37A65">
              <w:rPr>
                <w:rFonts w:ascii="Arial" w:hAnsi="Arial"/>
                <w:b/>
              </w:rPr>
              <w:t>£000</w:t>
            </w:r>
          </w:p>
        </w:tc>
      </w:tr>
      <w:tr w:rsidR="00B37A65" w:rsidRPr="00B37A65" w:rsidTr="00BC3034">
        <w:trPr>
          <w:trHeight w:val="354"/>
        </w:trPr>
        <w:tc>
          <w:tcPr>
            <w:tcW w:w="3686" w:type="dxa"/>
            <w:vAlign w:val="center"/>
          </w:tcPr>
          <w:p w:rsidR="00B37A65" w:rsidRPr="00B37A65" w:rsidRDefault="00B37A65" w:rsidP="00484385">
            <w:pPr>
              <w:tabs>
                <w:tab w:val="left" w:pos="1260"/>
                <w:tab w:val="left" w:pos="1980"/>
                <w:tab w:val="left" w:pos="2700"/>
                <w:tab w:val="left" w:pos="3420"/>
              </w:tabs>
              <w:rPr>
                <w:rFonts w:ascii="Arial" w:hAnsi="Arial"/>
              </w:rPr>
            </w:pPr>
            <w:r w:rsidRPr="00B37A65">
              <w:rPr>
                <w:rFonts w:ascii="Arial" w:hAnsi="Arial"/>
              </w:rPr>
              <w:t>Leisure, Wellbeing &amp; Health</w:t>
            </w:r>
          </w:p>
        </w:tc>
        <w:tc>
          <w:tcPr>
            <w:tcW w:w="1134" w:type="dxa"/>
            <w:vAlign w:val="center"/>
          </w:tcPr>
          <w:p w:rsidR="00B37A65" w:rsidRPr="00B37A65" w:rsidRDefault="00B92B7C" w:rsidP="00484385">
            <w:pPr>
              <w:tabs>
                <w:tab w:val="left" w:pos="1260"/>
                <w:tab w:val="left" w:pos="1980"/>
                <w:tab w:val="left" w:pos="2700"/>
                <w:tab w:val="left" w:pos="3420"/>
              </w:tabs>
              <w:jc w:val="center"/>
              <w:rPr>
                <w:rFonts w:ascii="Arial" w:hAnsi="Arial"/>
              </w:rPr>
            </w:pPr>
            <w:r>
              <w:rPr>
                <w:rFonts w:ascii="Arial" w:hAnsi="Arial"/>
              </w:rPr>
              <w:t>1,946</w:t>
            </w:r>
          </w:p>
        </w:tc>
        <w:tc>
          <w:tcPr>
            <w:tcW w:w="1134" w:type="dxa"/>
            <w:vAlign w:val="center"/>
          </w:tcPr>
          <w:p w:rsidR="00B37A65" w:rsidRPr="00B37A65" w:rsidRDefault="00960A2E" w:rsidP="00484385">
            <w:pPr>
              <w:tabs>
                <w:tab w:val="left" w:pos="1260"/>
                <w:tab w:val="left" w:pos="1980"/>
                <w:tab w:val="left" w:pos="2700"/>
                <w:tab w:val="left" w:pos="3420"/>
              </w:tabs>
              <w:jc w:val="center"/>
              <w:rPr>
                <w:rFonts w:ascii="Arial" w:hAnsi="Arial"/>
              </w:rPr>
            </w:pPr>
            <w:r>
              <w:rPr>
                <w:rFonts w:ascii="Arial" w:hAnsi="Arial"/>
              </w:rPr>
              <w:t>1,371</w:t>
            </w:r>
          </w:p>
        </w:tc>
        <w:tc>
          <w:tcPr>
            <w:tcW w:w="850" w:type="dxa"/>
            <w:vAlign w:val="center"/>
          </w:tcPr>
          <w:p w:rsidR="00B37A65" w:rsidRPr="00B37A65" w:rsidRDefault="00960A2E" w:rsidP="00484385">
            <w:pPr>
              <w:tabs>
                <w:tab w:val="left" w:pos="1260"/>
                <w:tab w:val="left" w:pos="1980"/>
                <w:tab w:val="left" w:pos="2700"/>
                <w:tab w:val="left" w:pos="3420"/>
              </w:tabs>
              <w:jc w:val="center"/>
              <w:rPr>
                <w:rFonts w:ascii="Arial" w:hAnsi="Arial"/>
              </w:rPr>
            </w:pPr>
            <w:r>
              <w:rPr>
                <w:rFonts w:ascii="Arial" w:hAnsi="Arial"/>
              </w:rPr>
              <w:t>704</w:t>
            </w:r>
          </w:p>
        </w:tc>
        <w:tc>
          <w:tcPr>
            <w:tcW w:w="1134" w:type="dxa"/>
            <w:vAlign w:val="center"/>
          </w:tcPr>
          <w:p w:rsidR="00B37A65" w:rsidRPr="00B37A65" w:rsidRDefault="00960A2E" w:rsidP="00484385">
            <w:pPr>
              <w:tabs>
                <w:tab w:val="left" w:pos="1260"/>
                <w:tab w:val="left" w:pos="1980"/>
                <w:tab w:val="left" w:pos="2700"/>
                <w:tab w:val="left" w:pos="3420"/>
              </w:tabs>
              <w:jc w:val="center"/>
              <w:rPr>
                <w:rFonts w:ascii="Arial" w:hAnsi="Arial"/>
              </w:rPr>
            </w:pPr>
            <w:r>
              <w:rPr>
                <w:rFonts w:ascii="Arial" w:hAnsi="Arial"/>
              </w:rPr>
              <w:t>1</w:t>
            </w:r>
            <w:r w:rsidR="00B52061">
              <w:rPr>
                <w:rFonts w:ascii="Arial" w:hAnsi="Arial"/>
              </w:rPr>
              <w:t>,</w:t>
            </w:r>
            <w:r w:rsidR="00B76E31">
              <w:rPr>
                <w:rFonts w:ascii="Arial" w:hAnsi="Arial"/>
              </w:rPr>
              <w:t>066</w:t>
            </w:r>
          </w:p>
        </w:tc>
        <w:tc>
          <w:tcPr>
            <w:tcW w:w="1134" w:type="dxa"/>
            <w:vAlign w:val="center"/>
          </w:tcPr>
          <w:p w:rsidR="00B37A65" w:rsidRPr="00B641EB" w:rsidRDefault="00B76E31" w:rsidP="00484385">
            <w:pPr>
              <w:tabs>
                <w:tab w:val="left" w:pos="1260"/>
                <w:tab w:val="left" w:pos="1980"/>
                <w:tab w:val="left" w:pos="2700"/>
                <w:tab w:val="left" w:pos="3420"/>
              </w:tabs>
              <w:jc w:val="center"/>
              <w:rPr>
                <w:rFonts w:ascii="Arial" w:hAnsi="Arial"/>
                <w:color w:val="0000FF"/>
              </w:rPr>
            </w:pPr>
            <w:r w:rsidRPr="00B641EB">
              <w:rPr>
                <w:rFonts w:ascii="Arial" w:hAnsi="Arial"/>
                <w:color w:val="0000FF"/>
              </w:rPr>
              <w:t>(305</w:t>
            </w:r>
            <w:r w:rsidR="00960A2E" w:rsidRPr="00B641EB">
              <w:rPr>
                <w:rFonts w:ascii="Arial" w:hAnsi="Arial"/>
                <w:color w:val="0000FF"/>
              </w:rPr>
              <w:t>)</w:t>
            </w:r>
          </w:p>
        </w:tc>
      </w:tr>
      <w:tr w:rsidR="00B37A65" w:rsidRPr="00B37A65" w:rsidTr="00BC3034">
        <w:trPr>
          <w:trHeight w:val="392"/>
        </w:trPr>
        <w:tc>
          <w:tcPr>
            <w:tcW w:w="3686" w:type="dxa"/>
            <w:vAlign w:val="center"/>
          </w:tcPr>
          <w:p w:rsidR="00B37A65" w:rsidRPr="00B37A65" w:rsidRDefault="00B37A65" w:rsidP="00484385">
            <w:pPr>
              <w:tabs>
                <w:tab w:val="left" w:pos="1260"/>
                <w:tab w:val="left" w:pos="1980"/>
                <w:tab w:val="left" w:pos="2700"/>
                <w:tab w:val="left" w:pos="3420"/>
              </w:tabs>
              <w:rPr>
                <w:rFonts w:ascii="Arial" w:hAnsi="Arial"/>
              </w:rPr>
            </w:pPr>
            <w:r w:rsidRPr="00B37A65">
              <w:rPr>
                <w:rFonts w:ascii="Arial" w:hAnsi="Arial"/>
              </w:rPr>
              <w:t>Sustainable Development, Planning &amp; Transport</w:t>
            </w:r>
          </w:p>
        </w:tc>
        <w:tc>
          <w:tcPr>
            <w:tcW w:w="1134" w:type="dxa"/>
            <w:vAlign w:val="center"/>
          </w:tcPr>
          <w:p w:rsidR="00B37A65" w:rsidRPr="00B37A65" w:rsidRDefault="00B92B7C" w:rsidP="00484385">
            <w:pPr>
              <w:tabs>
                <w:tab w:val="left" w:pos="1260"/>
                <w:tab w:val="left" w:pos="1980"/>
                <w:tab w:val="left" w:pos="2700"/>
                <w:tab w:val="left" w:pos="3420"/>
              </w:tabs>
              <w:jc w:val="center"/>
              <w:rPr>
                <w:rFonts w:ascii="Arial" w:hAnsi="Arial"/>
              </w:rPr>
            </w:pPr>
            <w:r>
              <w:rPr>
                <w:rFonts w:ascii="Arial" w:hAnsi="Arial"/>
              </w:rPr>
              <w:t>3,761</w:t>
            </w:r>
          </w:p>
        </w:tc>
        <w:tc>
          <w:tcPr>
            <w:tcW w:w="1134" w:type="dxa"/>
            <w:vAlign w:val="center"/>
          </w:tcPr>
          <w:p w:rsidR="00B37A65" w:rsidRPr="00B37A65" w:rsidRDefault="00960A2E" w:rsidP="00484385">
            <w:pPr>
              <w:tabs>
                <w:tab w:val="left" w:pos="1260"/>
                <w:tab w:val="left" w:pos="1980"/>
                <w:tab w:val="left" w:pos="2700"/>
                <w:tab w:val="left" w:pos="3420"/>
              </w:tabs>
              <w:jc w:val="center"/>
              <w:rPr>
                <w:rFonts w:ascii="Arial" w:hAnsi="Arial"/>
              </w:rPr>
            </w:pPr>
            <w:r>
              <w:rPr>
                <w:rFonts w:ascii="Arial" w:hAnsi="Arial"/>
              </w:rPr>
              <w:t>2,844</w:t>
            </w:r>
          </w:p>
        </w:tc>
        <w:tc>
          <w:tcPr>
            <w:tcW w:w="850" w:type="dxa"/>
            <w:vAlign w:val="center"/>
          </w:tcPr>
          <w:p w:rsidR="00B37A65" w:rsidRPr="00B37A65" w:rsidRDefault="00B76E31" w:rsidP="00484385">
            <w:pPr>
              <w:tabs>
                <w:tab w:val="left" w:pos="1260"/>
                <w:tab w:val="left" w:pos="1980"/>
                <w:tab w:val="left" w:pos="2700"/>
                <w:tab w:val="left" w:pos="3420"/>
              </w:tabs>
              <w:jc w:val="center"/>
              <w:rPr>
                <w:rFonts w:ascii="Arial" w:hAnsi="Arial"/>
              </w:rPr>
            </w:pPr>
            <w:r>
              <w:rPr>
                <w:rFonts w:ascii="Arial" w:hAnsi="Arial"/>
              </w:rPr>
              <w:t>601</w:t>
            </w:r>
          </w:p>
        </w:tc>
        <w:tc>
          <w:tcPr>
            <w:tcW w:w="1134" w:type="dxa"/>
            <w:vAlign w:val="center"/>
          </w:tcPr>
          <w:p w:rsidR="00B37A65" w:rsidRPr="00B37A65" w:rsidRDefault="00B76E31" w:rsidP="00484385">
            <w:pPr>
              <w:tabs>
                <w:tab w:val="left" w:pos="1260"/>
                <w:tab w:val="left" w:pos="1980"/>
                <w:tab w:val="left" w:pos="2700"/>
                <w:tab w:val="left" w:pos="3420"/>
              </w:tabs>
              <w:jc w:val="center"/>
              <w:rPr>
                <w:rFonts w:ascii="Arial" w:hAnsi="Arial"/>
              </w:rPr>
            </w:pPr>
            <w:r>
              <w:rPr>
                <w:rFonts w:ascii="Arial" w:hAnsi="Arial"/>
              </w:rPr>
              <w:t>1,</w:t>
            </w:r>
            <w:r w:rsidR="001E2D2A">
              <w:rPr>
                <w:rFonts w:ascii="Arial" w:hAnsi="Arial"/>
              </w:rPr>
              <w:t>887</w:t>
            </w:r>
          </w:p>
        </w:tc>
        <w:tc>
          <w:tcPr>
            <w:tcW w:w="1134" w:type="dxa"/>
            <w:vAlign w:val="center"/>
          </w:tcPr>
          <w:p w:rsidR="00B37A65" w:rsidRPr="00B641EB" w:rsidRDefault="00B52061" w:rsidP="00484385">
            <w:pPr>
              <w:tabs>
                <w:tab w:val="left" w:pos="1260"/>
                <w:tab w:val="left" w:pos="1980"/>
                <w:tab w:val="left" w:pos="2700"/>
                <w:tab w:val="left" w:pos="3420"/>
              </w:tabs>
              <w:jc w:val="center"/>
              <w:rPr>
                <w:rFonts w:ascii="Arial" w:hAnsi="Arial"/>
                <w:color w:val="0000FF"/>
              </w:rPr>
            </w:pPr>
            <w:r w:rsidRPr="00B641EB">
              <w:rPr>
                <w:rFonts w:ascii="Arial" w:hAnsi="Arial"/>
                <w:color w:val="0000FF"/>
              </w:rPr>
              <w:t>(9</w:t>
            </w:r>
            <w:r w:rsidR="001E2D2A" w:rsidRPr="00B641EB">
              <w:rPr>
                <w:rFonts w:ascii="Arial" w:hAnsi="Arial"/>
                <w:color w:val="0000FF"/>
              </w:rPr>
              <w:t>57</w:t>
            </w:r>
            <w:r w:rsidR="00960A2E" w:rsidRPr="00B641EB">
              <w:rPr>
                <w:rFonts w:ascii="Arial" w:hAnsi="Arial"/>
                <w:color w:val="0000FF"/>
              </w:rPr>
              <w:t>)</w:t>
            </w:r>
          </w:p>
        </w:tc>
      </w:tr>
      <w:tr w:rsidR="00B37A65" w:rsidRPr="00B37A65" w:rsidTr="00BC3034">
        <w:trPr>
          <w:trHeight w:val="435"/>
        </w:trPr>
        <w:tc>
          <w:tcPr>
            <w:tcW w:w="3686" w:type="dxa"/>
            <w:vAlign w:val="center"/>
          </w:tcPr>
          <w:p w:rsidR="00B37A65" w:rsidRPr="00B37A65" w:rsidRDefault="00B37A65" w:rsidP="00484385">
            <w:pPr>
              <w:tabs>
                <w:tab w:val="left" w:pos="1260"/>
                <w:tab w:val="left" w:pos="1980"/>
                <w:tab w:val="left" w:pos="2700"/>
                <w:tab w:val="left" w:pos="3420"/>
              </w:tabs>
              <w:rPr>
                <w:rFonts w:ascii="Arial" w:hAnsi="Arial"/>
              </w:rPr>
            </w:pPr>
            <w:r w:rsidRPr="00B37A65">
              <w:rPr>
                <w:rFonts w:ascii="Arial" w:hAnsi="Arial"/>
              </w:rPr>
              <w:t>General Public Services &amp; Community Safety</w:t>
            </w:r>
          </w:p>
        </w:tc>
        <w:tc>
          <w:tcPr>
            <w:tcW w:w="1134" w:type="dxa"/>
            <w:vAlign w:val="center"/>
          </w:tcPr>
          <w:p w:rsidR="00B37A65" w:rsidRPr="00B37A65" w:rsidRDefault="00B92B7C" w:rsidP="00484385">
            <w:pPr>
              <w:tabs>
                <w:tab w:val="left" w:pos="1260"/>
                <w:tab w:val="left" w:pos="1980"/>
                <w:tab w:val="left" w:pos="2700"/>
                <w:tab w:val="left" w:pos="3420"/>
              </w:tabs>
              <w:jc w:val="center"/>
              <w:rPr>
                <w:rFonts w:ascii="Arial" w:hAnsi="Arial"/>
              </w:rPr>
            </w:pPr>
            <w:r>
              <w:rPr>
                <w:rFonts w:ascii="Arial" w:hAnsi="Arial"/>
              </w:rPr>
              <w:t>395</w:t>
            </w:r>
          </w:p>
        </w:tc>
        <w:tc>
          <w:tcPr>
            <w:tcW w:w="1134" w:type="dxa"/>
            <w:vAlign w:val="center"/>
          </w:tcPr>
          <w:p w:rsidR="00B37A65" w:rsidRPr="00B37A65" w:rsidRDefault="00FC0FA0" w:rsidP="00484385">
            <w:pPr>
              <w:tabs>
                <w:tab w:val="left" w:pos="1260"/>
                <w:tab w:val="left" w:pos="1980"/>
                <w:tab w:val="left" w:pos="2700"/>
                <w:tab w:val="left" w:pos="3420"/>
              </w:tabs>
              <w:jc w:val="center"/>
              <w:rPr>
                <w:rFonts w:ascii="Arial" w:hAnsi="Arial"/>
              </w:rPr>
            </w:pPr>
            <w:r>
              <w:rPr>
                <w:rFonts w:ascii="Arial" w:hAnsi="Arial"/>
              </w:rPr>
              <w:t>946</w:t>
            </w:r>
          </w:p>
        </w:tc>
        <w:tc>
          <w:tcPr>
            <w:tcW w:w="850" w:type="dxa"/>
            <w:vAlign w:val="center"/>
          </w:tcPr>
          <w:p w:rsidR="00B37A65" w:rsidRPr="00B37A65" w:rsidRDefault="00960A2E" w:rsidP="00484385">
            <w:pPr>
              <w:tabs>
                <w:tab w:val="left" w:pos="1260"/>
                <w:tab w:val="left" w:pos="1980"/>
                <w:tab w:val="left" w:pos="2700"/>
                <w:tab w:val="left" w:pos="3420"/>
              </w:tabs>
              <w:jc w:val="center"/>
              <w:rPr>
                <w:rFonts w:ascii="Arial" w:hAnsi="Arial"/>
              </w:rPr>
            </w:pPr>
            <w:r>
              <w:rPr>
                <w:rFonts w:ascii="Arial" w:hAnsi="Arial"/>
              </w:rPr>
              <w:t>553</w:t>
            </w:r>
          </w:p>
        </w:tc>
        <w:tc>
          <w:tcPr>
            <w:tcW w:w="1134" w:type="dxa"/>
            <w:vAlign w:val="center"/>
          </w:tcPr>
          <w:p w:rsidR="00B37A65" w:rsidRPr="00B37A65" w:rsidRDefault="00960A2E" w:rsidP="00484385">
            <w:pPr>
              <w:tabs>
                <w:tab w:val="left" w:pos="1260"/>
                <w:tab w:val="left" w:pos="1980"/>
                <w:tab w:val="left" w:pos="2700"/>
                <w:tab w:val="left" w:pos="3420"/>
              </w:tabs>
              <w:jc w:val="center"/>
              <w:rPr>
                <w:rFonts w:ascii="Arial" w:hAnsi="Arial"/>
              </w:rPr>
            </w:pPr>
            <w:r>
              <w:rPr>
                <w:rFonts w:ascii="Arial" w:hAnsi="Arial"/>
              </w:rPr>
              <w:t>618</w:t>
            </w:r>
          </w:p>
        </w:tc>
        <w:tc>
          <w:tcPr>
            <w:tcW w:w="1134" w:type="dxa"/>
            <w:vAlign w:val="center"/>
          </w:tcPr>
          <w:p w:rsidR="00B37A65" w:rsidRPr="00B641EB" w:rsidRDefault="00960A2E" w:rsidP="00484385">
            <w:pPr>
              <w:tabs>
                <w:tab w:val="left" w:pos="1260"/>
                <w:tab w:val="left" w:pos="1980"/>
                <w:tab w:val="left" w:pos="2700"/>
                <w:tab w:val="left" w:pos="3420"/>
              </w:tabs>
              <w:jc w:val="center"/>
              <w:rPr>
                <w:rFonts w:ascii="Arial" w:hAnsi="Arial"/>
                <w:color w:val="0000FF"/>
              </w:rPr>
            </w:pPr>
            <w:r w:rsidRPr="00B641EB">
              <w:rPr>
                <w:rFonts w:ascii="Arial" w:hAnsi="Arial"/>
                <w:color w:val="0000FF"/>
              </w:rPr>
              <w:t>(32</w:t>
            </w:r>
            <w:r w:rsidR="00FC0FA0">
              <w:rPr>
                <w:rFonts w:ascii="Arial" w:hAnsi="Arial"/>
                <w:color w:val="0000FF"/>
              </w:rPr>
              <w:t>8</w:t>
            </w:r>
            <w:r w:rsidRPr="00B641EB">
              <w:rPr>
                <w:rFonts w:ascii="Arial" w:hAnsi="Arial"/>
                <w:color w:val="0000FF"/>
              </w:rPr>
              <w:t>)</w:t>
            </w:r>
          </w:p>
        </w:tc>
      </w:tr>
      <w:tr w:rsidR="00B37A65" w:rsidRPr="00B37A65" w:rsidTr="00BC3034">
        <w:trPr>
          <w:trHeight w:val="373"/>
        </w:trPr>
        <w:tc>
          <w:tcPr>
            <w:tcW w:w="3686" w:type="dxa"/>
            <w:vAlign w:val="center"/>
          </w:tcPr>
          <w:p w:rsidR="00B37A65" w:rsidRPr="00B37A65" w:rsidRDefault="00B37A65" w:rsidP="00484385">
            <w:pPr>
              <w:tabs>
                <w:tab w:val="left" w:pos="1260"/>
                <w:tab w:val="left" w:pos="1980"/>
                <w:tab w:val="left" w:pos="2700"/>
                <w:tab w:val="left" w:pos="3420"/>
              </w:tabs>
              <w:rPr>
                <w:rFonts w:ascii="Arial" w:hAnsi="Arial"/>
              </w:rPr>
            </w:pPr>
            <w:r w:rsidRPr="00B37A65">
              <w:rPr>
                <w:rFonts w:ascii="Arial" w:hAnsi="Arial"/>
              </w:rPr>
              <w:t>Policy &amp; Resources</w:t>
            </w:r>
          </w:p>
        </w:tc>
        <w:tc>
          <w:tcPr>
            <w:tcW w:w="1134" w:type="dxa"/>
            <w:vAlign w:val="center"/>
          </w:tcPr>
          <w:p w:rsidR="00B37A65" w:rsidRPr="00B37A65" w:rsidRDefault="00B92B7C" w:rsidP="00484385">
            <w:pPr>
              <w:tabs>
                <w:tab w:val="left" w:pos="1260"/>
                <w:tab w:val="left" w:pos="1980"/>
                <w:tab w:val="left" w:pos="2700"/>
                <w:tab w:val="left" w:pos="3420"/>
              </w:tabs>
              <w:jc w:val="center"/>
              <w:rPr>
                <w:rFonts w:ascii="Arial" w:hAnsi="Arial"/>
              </w:rPr>
            </w:pPr>
            <w:r>
              <w:rPr>
                <w:rFonts w:ascii="Arial" w:hAnsi="Arial"/>
              </w:rPr>
              <w:t>736</w:t>
            </w:r>
          </w:p>
        </w:tc>
        <w:tc>
          <w:tcPr>
            <w:tcW w:w="1134" w:type="dxa"/>
            <w:vAlign w:val="center"/>
          </w:tcPr>
          <w:p w:rsidR="00B37A65" w:rsidRPr="00B37A65" w:rsidRDefault="00960A2E" w:rsidP="00484385">
            <w:pPr>
              <w:tabs>
                <w:tab w:val="left" w:pos="1260"/>
                <w:tab w:val="left" w:pos="1980"/>
                <w:tab w:val="left" w:pos="2700"/>
                <w:tab w:val="left" w:pos="3420"/>
              </w:tabs>
              <w:jc w:val="center"/>
              <w:rPr>
                <w:rFonts w:ascii="Arial" w:hAnsi="Arial"/>
              </w:rPr>
            </w:pPr>
            <w:r>
              <w:rPr>
                <w:rFonts w:ascii="Arial" w:hAnsi="Arial"/>
              </w:rPr>
              <w:t>2,147</w:t>
            </w:r>
          </w:p>
        </w:tc>
        <w:tc>
          <w:tcPr>
            <w:tcW w:w="850" w:type="dxa"/>
            <w:vAlign w:val="center"/>
          </w:tcPr>
          <w:p w:rsidR="00B37A65" w:rsidRPr="00B37A65" w:rsidRDefault="00F13EC6" w:rsidP="00484385">
            <w:pPr>
              <w:tabs>
                <w:tab w:val="left" w:pos="1260"/>
                <w:tab w:val="left" w:pos="1980"/>
                <w:tab w:val="left" w:pos="2700"/>
                <w:tab w:val="left" w:pos="3420"/>
              </w:tabs>
              <w:jc w:val="center"/>
              <w:rPr>
                <w:rFonts w:ascii="Arial" w:hAnsi="Arial"/>
              </w:rPr>
            </w:pPr>
            <w:r>
              <w:rPr>
                <w:rFonts w:ascii="Arial" w:hAnsi="Arial"/>
              </w:rPr>
              <w:t>2,375</w:t>
            </w:r>
          </w:p>
        </w:tc>
        <w:tc>
          <w:tcPr>
            <w:tcW w:w="1134" w:type="dxa"/>
            <w:vAlign w:val="center"/>
          </w:tcPr>
          <w:p w:rsidR="00B37A65" w:rsidRPr="00B37A65" w:rsidRDefault="00B76E31" w:rsidP="00484385">
            <w:pPr>
              <w:tabs>
                <w:tab w:val="left" w:pos="1260"/>
                <w:tab w:val="left" w:pos="1980"/>
                <w:tab w:val="left" w:pos="2700"/>
                <w:tab w:val="left" w:pos="3420"/>
              </w:tabs>
              <w:jc w:val="center"/>
              <w:rPr>
                <w:rFonts w:ascii="Arial" w:hAnsi="Arial"/>
              </w:rPr>
            </w:pPr>
            <w:r>
              <w:rPr>
                <w:rFonts w:ascii="Arial" w:hAnsi="Arial"/>
              </w:rPr>
              <w:t>2,987</w:t>
            </w:r>
          </w:p>
        </w:tc>
        <w:tc>
          <w:tcPr>
            <w:tcW w:w="1134" w:type="dxa"/>
            <w:vAlign w:val="center"/>
          </w:tcPr>
          <w:p w:rsidR="00B37A65" w:rsidRPr="00B37A65" w:rsidRDefault="00B76E31" w:rsidP="00484385">
            <w:pPr>
              <w:tabs>
                <w:tab w:val="left" w:pos="1260"/>
                <w:tab w:val="left" w:pos="1980"/>
                <w:tab w:val="left" w:pos="2700"/>
                <w:tab w:val="left" w:pos="3420"/>
              </w:tabs>
              <w:jc w:val="center"/>
              <w:rPr>
                <w:rFonts w:ascii="Arial" w:hAnsi="Arial"/>
              </w:rPr>
            </w:pPr>
            <w:r>
              <w:rPr>
                <w:rFonts w:ascii="Arial" w:hAnsi="Arial"/>
              </w:rPr>
              <w:t>840</w:t>
            </w:r>
          </w:p>
        </w:tc>
      </w:tr>
      <w:tr w:rsidR="00B37A65" w:rsidRPr="00B37A65" w:rsidTr="003D5FF5">
        <w:trPr>
          <w:trHeight w:val="353"/>
        </w:trPr>
        <w:tc>
          <w:tcPr>
            <w:tcW w:w="3686" w:type="dxa"/>
            <w:vAlign w:val="center"/>
          </w:tcPr>
          <w:p w:rsidR="00B37A65" w:rsidRPr="00B37A65" w:rsidRDefault="00B37A65" w:rsidP="00484385">
            <w:pPr>
              <w:tabs>
                <w:tab w:val="left" w:pos="1260"/>
                <w:tab w:val="left" w:pos="1980"/>
                <w:tab w:val="left" w:pos="2700"/>
                <w:tab w:val="left" w:pos="3420"/>
              </w:tabs>
              <w:rPr>
                <w:rFonts w:ascii="Arial" w:hAnsi="Arial"/>
                <w:b/>
              </w:rPr>
            </w:pPr>
            <w:r w:rsidRPr="00B37A65">
              <w:rPr>
                <w:rFonts w:ascii="Arial" w:hAnsi="Arial"/>
                <w:b/>
              </w:rPr>
              <w:t>Total Service</w:t>
            </w:r>
          </w:p>
        </w:tc>
        <w:tc>
          <w:tcPr>
            <w:tcW w:w="1134" w:type="dxa"/>
            <w:vAlign w:val="center"/>
          </w:tcPr>
          <w:p w:rsidR="00B37A65" w:rsidRPr="00B37A65" w:rsidRDefault="00B37A65" w:rsidP="00484385">
            <w:pPr>
              <w:keepNext/>
              <w:tabs>
                <w:tab w:val="left" w:pos="1260"/>
                <w:tab w:val="left" w:pos="1980"/>
                <w:tab w:val="left" w:pos="2700"/>
                <w:tab w:val="left" w:pos="3420"/>
              </w:tabs>
              <w:jc w:val="center"/>
              <w:rPr>
                <w:rFonts w:ascii="Arial" w:hAnsi="Arial"/>
                <w:b/>
              </w:rPr>
            </w:pPr>
            <w:r w:rsidRPr="00B37A65">
              <w:rPr>
                <w:rFonts w:ascii="Arial" w:hAnsi="Arial"/>
                <w:b/>
              </w:rPr>
              <w:t>6,839</w:t>
            </w:r>
          </w:p>
        </w:tc>
        <w:tc>
          <w:tcPr>
            <w:tcW w:w="1134" w:type="dxa"/>
            <w:vAlign w:val="center"/>
          </w:tcPr>
          <w:p w:rsidR="00B37A65" w:rsidRPr="00B37A65" w:rsidRDefault="00960A2E" w:rsidP="00311200">
            <w:pPr>
              <w:tabs>
                <w:tab w:val="left" w:pos="1260"/>
                <w:tab w:val="left" w:pos="1980"/>
                <w:tab w:val="left" w:pos="2700"/>
                <w:tab w:val="left" w:pos="3420"/>
              </w:tabs>
              <w:jc w:val="center"/>
              <w:rPr>
                <w:rFonts w:ascii="Arial" w:hAnsi="Arial"/>
                <w:b/>
              </w:rPr>
            </w:pPr>
            <w:r>
              <w:rPr>
                <w:rFonts w:ascii="Arial" w:hAnsi="Arial"/>
                <w:b/>
              </w:rPr>
              <w:t>7,30</w:t>
            </w:r>
            <w:r w:rsidR="00311200">
              <w:rPr>
                <w:rFonts w:ascii="Arial" w:hAnsi="Arial"/>
                <w:b/>
              </w:rPr>
              <w:t>8</w:t>
            </w:r>
          </w:p>
        </w:tc>
        <w:tc>
          <w:tcPr>
            <w:tcW w:w="850" w:type="dxa"/>
            <w:vAlign w:val="center"/>
          </w:tcPr>
          <w:p w:rsidR="00B37A65" w:rsidRPr="00AE0EF0" w:rsidRDefault="00F264C0" w:rsidP="00484385">
            <w:pPr>
              <w:tabs>
                <w:tab w:val="left" w:pos="1260"/>
                <w:tab w:val="left" w:pos="1980"/>
                <w:tab w:val="left" w:pos="2700"/>
                <w:tab w:val="left" w:pos="3420"/>
              </w:tabs>
              <w:jc w:val="center"/>
              <w:rPr>
                <w:rFonts w:ascii="Arial" w:hAnsi="Arial"/>
                <w:b/>
              </w:rPr>
            </w:pPr>
            <w:r w:rsidRPr="00AE0EF0">
              <w:rPr>
                <w:rFonts w:ascii="Arial" w:hAnsi="Arial"/>
                <w:b/>
              </w:rPr>
              <w:t>4</w:t>
            </w:r>
            <w:r w:rsidR="00311200">
              <w:rPr>
                <w:rFonts w:ascii="Arial" w:hAnsi="Arial"/>
                <w:b/>
              </w:rPr>
              <w:t>,</w:t>
            </w:r>
            <w:r w:rsidRPr="00AE0EF0">
              <w:rPr>
                <w:rFonts w:ascii="Arial" w:hAnsi="Arial"/>
                <w:b/>
              </w:rPr>
              <w:t>23</w:t>
            </w:r>
            <w:r w:rsidR="00AE0EF0" w:rsidRPr="00AE0EF0">
              <w:rPr>
                <w:rFonts w:ascii="Arial" w:hAnsi="Arial"/>
                <w:b/>
              </w:rPr>
              <w:t>3</w:t>
            </w:r>
          </w:p>
        </w:tc>
        <w:tc>
          <w:tcPr>
            <w:tcW w:w="1134" w:type="dxa"/>
            <w:vAlign w:val="center"/>
          </w:tcPr>
          <w:p w:rsidR="00B37A65" w:rsidRPr="00AE0EF0" w:rsidRDefault="00311200" w:rsidP="00484385">
            <w:pPr>
              <w:tabs>
                <w:tab w:val="left" w:pos="1260"/>
                <w:tab w:val="left" w:pos="1980"/>
                <w:tab w:val="left" w:pos="2700"/>
                <w:tab w:val="left" w:pos="3420"/>
              </w:tabs>
              <w:jc w:val="center"/>
              <w:rPr>
                <w:rFonts w:ascii="Arial" w:hAnsi="Arial"/>
                <w:b/>
              </w:rPr>
            </w:pPr>
            <w:r>
              <w:rPr>
                <w:rFonts w:ascii="Arial" w:hAnsi="Arial"/>
                <w:b/>
              </w:rPr>
              <w:t>6,55</w:t>
            </w:r>
            <w:r w:rsidR="00F264C0" w:rsidRPr="00AE0EF0">
              <w:rPr>
                <w:rFonts w:ascii="Arial" w:hAnsi="Arial"/>
                <w:b/>
              </w:rPr>
              <w:t>8</w:t>
            </w:r>
          </w:p>
        </w:tc>
        <w:tc>
          <w:tcPr>
            <w:tcW w:w="1134" w:type="dxa"/>
            <w:vAlign w:val="center"/>
          </w:tcPr>
          <w:p w:rsidR="00B37A65" w:rsidRPr="00B37A65" w:rsidRDefault="00B641EB" w:rsidP="00F264C0">
            <w:pPr>
              <w:tabs>
                <w:tab w:val="left" w:pos="1260"/>
                <w:tab w:val="left" w:pos="1980"/>
                <w:tab w:val="left" w:pos="2700"/>
                <w:tab w:val="left" w:pos="3420"/>
              </w:tabs>
              <w:jc w:val="center"/>
              <w:rPr>
                <w:rFonts w:ascii="Arial" w:hAnsi="Arial"/>
                <w:b/>
              </w:rPr>
            </w:pPr>
            <w:r w:rsidRPr="00B641EB">
              <w:rPr>
                <w:rFonts w:ascii="Arial" w:hAnsi="Arial"/>
                <w:b/>
                <w:color w:val="0000FF"/>
              </w:rPr>
              <w:t>(</w:t>
            </w:r>
            <w:r w:rsidR="00F264C0" w:rsidRPr="00B641EB">
              <w:rPr>
                <w:rFonts w:ascii="Arial" w:hAnsi="Arial"/>
                <w:b/>
                <w:color w:val="0000FF"/>
              </w:rPr>
              <w:t>7</w:t>
            </w:r>
            <w:r w:rsidR="00FC0FA0">
              <w:rPr>
                <w:rFonts w:ascii="Arial" w:hAnsi="Arial"/>
                <w:b/>
                <w:color w:val="0000FF"/>
              </w:rPr>
              <w:t>50</w:t>
            </w:r>
            <w:r w:rsidRPr="00B641EB">
              <w:rPr>
                <w:rFonts w:ascii="Arial" w:hAnsi="Arial"/>
                <w:b/>
                <w:color w:val="0000FF"/>
              </w:rPr>
              <w:t>)</w:t>
            </w:r>
          </w:p>
        </w:tc>
      </w:tr>
      <w:tr w:rsidR="00B37A65" w:rsidRPr="00B37A65" w:rsidTr="00BC3034">
        <w:trPr>
          <w:trHeight w:val="374"/>
        </w:trPr>
        <w:tc>
          <w:tcPr>
            <w:tcW w:w="3686" w:type="dxa"/>
            <w:vAlign w:val="center"/>
          </w:tcPr>
          <w:p w:rsidR="00B37A65" w:rsidRPr="00B37A65" w:rsidRDefault="00B37A65" w:rsidP="00484385">
            <w:pPr>
              <w:tabs>
                <w:tab w:val="left" w:pos="1260"/>
                <w:tab w:val="left" w:pos="1980"/>
                <w:tab w:val="left" w:pos="2700"/>
                <w:tab w:val="left" w:pos="3420"/>
              </w:tabs>
              <w:rPr>
                <w:rFonts w:ascii="Arial" w:hAnsi="Arial"/>
                <w:i/>
              </w:rPr>
            </w:pPr>
            <w:r w:rsidRPr="00B37A65">
              <w:rPr>
                <w:rFonts w:ascii="Arial" w:hAnsi="Arial"/>
                <w:i/>
              </w:rPr>
              <w:t xml:space="preserve">South </w:t>
            </w:r>
            <w:proofErr w:type="spellStart"/>
            <w:r w:rsidRPr="00B37A65">
              <w:rPr>
                <w:rFonts w:ascii="Arial" w:hAnsi="Arial"/>
                <w:i/>
              </w:rPr>
              <w:t>Oxhey</w:t>
            </w:r>
            <w:proofErr w:type="spellEnd"/>
            <w:r w:rsidRPr="00B37A65">
              <w:rPr>
                <w:rFonts w:ascii="Arial" w:hAnsi="Arial"/>
                <w:i/>
              </w:rPr>
              <w:t xml:space="preserve"> Initiative </w:t>
            </w:r>
          </w:p>
        </w:tc>
        <w:tc>
          <w:tcPr>
            <w:tcW w:w="1134" w:type="dxa"/>
            <w:vAlign w:val="center"/>
          </w:tcPr>
          <w:p w:rsidR="00B37A65" w:rsidRPr="00B37A65" w:rsidRDefault="00B37A65" w:rsidP="00484385">
            <w:pPr>
              <w:keepNext/>
              <w:tabs>
                <w:tab w:val="left" w:pos="1260"/>
                <w:tab w:val="left" w:pos="1980"/>
                <w:tab w:val="left" w:pos="2700"/>
                <w:tab w:val="left" w:pos="3420"/>
              </w:tabs>
              <w:jc w:val="center"/>
              <w:rPr>
                <w:rFonts w:ascii="Arial" w:hAnsi="Arial"/>
                <w:i/>
              </w:rPr>
            </w:pPr>
            <w:r w:rsidRPr="00B37A65">
              <w:rPr>
                <w:rFonts w:ascii="Arial" w:hAnsi="Arial"/>
                <w:i/>
              </w:rPr>
              <w:t>10,766</w:t>
            </w:r>
          </w:p>
        </w:tc>
        <w:tc>
          <w:tcPr>
            <w:tcW w:w="1134" w:type="dxa"/>
            <w:vAlign w:val="center"/>
          </w:tcPr>
          <w:p w:rsidR="00B37A65" w:rsidRPr="00B37A65" w:rsidRDefault="00960A2E" w:rsidP="00484385">
            <w:pPr>
              <w:tabs>
                <w:tab w:val="left" w:pos="1260"/>
                <w:tab w:val="left" w:pos="1980"/>
                <w:tab w:val="left" w:pos="2700"/>
                <w:tab w:val="left" w:pos="3420"/>
              </w:tabs>
              <w:jc w:val="center"/>
              <w:rPr>
                <w:rFonts w:ascii="Arial" w:hAnsi="Arial"/>
                <w:i/>
              </w:rPr>
            </w:pPr>
            <w:r>
              <w:rPr>
                <w:rFonts w:ascii="Arial" w:hAnsi="Arial"/>
                <w:i/>
              </w:rPr>
              <w:t>11,277</w:t>
            </w:r>
          </w:p>
        </w:tc>
        <w:tc>
          <w:tcPr>
            <w:tcW w:w="850" w:type="dxa"/>
            <w:vAlign w:val="center"/>
          </w:tcPr>
          <w:p w:rsidR="00B37A65" w:rsidRPr="00B37A65" w:rsidRDefault="00960A2E" w:rsidP="00484385">
            <w:pPr>
              <w:tabs>
                <w:tab w:val="left" w:pos="1260"/>
                <w:tab w:val="left" w:pos="1980"/>
                <w:tab w:val="left" w:pos="2700"/>
                <w:tab w:val="left" w:pos="3420"/>
              </w:tabs>
              <w:jc w:val="center"/>
              <w:rPr>
                <w:rFonts w:ascii="Arial" w:hAnsi="Arial"/>
                <w:i/>
              </w:rPr>
            </w:pPr>
            <w:r>
              <w:rPr>
                <w:rFonts w:ascii="Arial" w:hAnsi="Arial"/>
                <w:i/>
              </w:rPr>
              <w:t>8,796</w:t>
            </w:r>
          </w:p>
        </w:tc>
        <w:tc>
          <w:tcPr>
            <w:tcW w:w="1134" w:type="dxa"/>
            <w:vAlign w:val="center"/>
          </w:tcPr>
          <w:p w:rsidR="00B37A65" w:rsidRPr="00B37A65" w:rsidRDefault="00960A2E" w:rsidP="00484385">
            <w:pPr>
              <w:tabs>
                <w:tab w:val="left" w:pos="1260"/>
                <w:tab w:val="left" w:pos="1980"/>
                <w:tab w:val="left" w:pos="2700"/>
                <w:tab w:val="left" w:pos="3420"/>
              </w:tabs>
              <w:jc w:val="center"/>
              <w:rPr>
                <w:rFonts w:ascii="Arial" w:hAnsi="Arial"/>
                <w:i/>
              </w:rPr>
            </w:pPr>
            <w:r>
              <w:rPr>
                <w:rFonts w:ascii="Arial" w:hAnsi="Arial"/>
                <w:i/>
              </w:rPr>
              <w:t>11,277</w:t>
            </w:r>
          </w:p>
        </w:tc>
        <w:tc>
          <w:tcPr>
            <w:tcW w:w="1134" w:type="dxa"/>
            <w:vAlign w:val="center"/>
          </w:tcPr>
          <w:p w:rsidR="00960A2E" w:rsidRPr="00B37A65" w:rsidRDefault="00960A2E" w:rsidP="00484385">
            <w:pPr>
              <w:tabs>
                <w:tab w:val="left" w:pos="1260"/>
                <w:tab w:val="left" w:pos="1980"/>
                <w:tab w:val="left" w:pos="2700"/>
                <w:tab w:val="left" w:pos="3420"/>
              </w:tabs>
              <w:jc w:val="center"/>
              <w:rPr>
                <w:rFonts w:ascii="Arial" w:hAnsi="Arial"/>
                <w:i/>
              </w:rPr>
            </w:pPr>
            <w:r>
              <w:rPr>
                <w:rFonts w:ascii="Arial" w:hAnsi="Arial"/>
                <w:i/>
              </w:rPr>
              <w:t>0</w:t>
            </w:r>
          </w:p>
        </w:tc>
      </w:tr>
      <w:tr w:rsidR="00B37A65" w:rsidRPr="00B37A65" w:rsidTr="003D5FF5">
        <w:trPr>
          <w:trHeight w:val="379"/>
        </w:trPr>
        <w:tc>
          <w:tcPr>
            <w:tcW w:w="3686" w:type="dxa"/>
            <w:vAlign w:val="center"/>
          </w:tcPr>
          <w:p w:rsidR="00B37A65" w:rsidRPr="00B37A65" w:rsidRDefault="00B37A65" w:rsidP="00484385">
            <w:pPr>
              <w:tabs>
                <w:tab w:val="left" w:pos="1260"/>
                <w:tab w:val="left" w:pos="1980"/>
                <w:tab w:val="left" w:pos="2700"/>
                <w:tab w:val="left" w:pos="3420"/>
              </w:tabs>
              <w:rPr>
                <w:rFonts w:ascii="Arial" w:hAnsi="Arial"/>
                <w:b/>
              </w:rPr>
            </w:pPr>
            <w:r w:rsidRPr="00B37A65">
              <w:rPr>
                <w:rFonts w:ascii="Arial" w:hAnsi="Arial"/>
                <w:b/>
              </w:rPr>
              <w:t>Total Capital</w:t>
            </w:r>
          </w:p>
        </w:tc>
        <w:tc>
          <w:tcPr>
            <w:tcW w:w="1134" w:type="dxa"/>
            <w:vAlign w:val="center"/>
          </w:tcPr>
          <w:p w:rsidR="00B37A65" w:rsidRPr="00B37A65" w:rsidRDefault="00B37A65" w:rsidP="00484385">
            <w:pPr>
              <w:keepNext/>
              <w:tabs>
                <w:tab w:val="left" w:pos="1260"/>
                <w:tab w:val="left" w:pos="1980"/>
                <w:tab w:val="left" w:pos="2700"/>
                <w:tab w:val="left" w:pos="3420"/>
              </w:tabs>
              <w:jc w:val="center"/>
              <w:rPr>
                <w:rFonts w:ascii="Arial" w:hAnsi="Arial"/>
                <w:b/>
              </w:rPr>
            </w:pPr>
            <w:r w:rsidRPr="00B37A65">
              <w:rPr>
                <w:rFonts w:ascii="Arial" w:hAnsi="Arial"/>
                <w:b/>
              </w:rPr>
              <w:t>17,605</w:t>
            </w:r>
          </w:p>
        </w:tc>
        <w:tc>
          <w:tcPr>
            <w:tcW w:w="1134" w:type="dxa"/>
            <w:vAlign w:val="center"/>
          </w:tcPr>
          <w:p w:rsidR="00B37A65" w:rsidRPr="00B37A65" w:rsidRDefault="00960A2E" w:rsidP="00311200">
            <w:pPr>
              <w:tabs>
                <w:tab w:val="left" w:pos="1260"/>
                <w:tab w:val="left" w:pos="1980"/>
                <w:tab w:val="left" w:pos="2700"/>
                <w:tab w:val="left" w:pos="3420"/>
              </w:tabs>
              <w:jc w:val="center"/>
              <w:rPr>
                <w:rFonts w:ascii="Arial" w:hAnsi="Arial"/>
                <w:b/>
              </w:rPr>
            </w:pPr>
            <w:r>
              <w:rPr>
                <w:rFonts w:ascii="Arial" w:hAnsi="Arial"/>
                <w:b/>
              </w:rPr>
              <w:t>18,58</w:t>
            </w:r>
            <w:r w:rsidR="00311200">
              <w:rPr>
                <w:rFonts w:ascii="Arial" w:hAnsi="Arial"/>
                <w:b/>
              </w:rPr>
              <w:t>5</w:t>
            </w:r>
          </w:p>
        </w:tc>
        <w:tc>
          <w:tcPr>
            <w:tcW w:w="850" w:type="dxa"/>
            <w:vAlign w:val="center"/>
          </w:tcPr>
          <w:p w:rsidR="00B37A65" w:rsidRPr="00B37A65" w:rsidRDefault="00F13EC6" w:rsidP="00484385">
            <w:pPr>
              <w:tabs>
                <w:tab w:val="left" w:pos="1260"/>
                <w:tab w:val="left" w:pos="1980"/>
                <w:tab w:val="left" w:pos="2700"/>
                <w:tab w:val="left" w:pos="3420"/>
              </w:tabs>
              <w:jc w:val="center"/>
              <w:rPr>
                <w:rFonts w:ascii="Arial" w:hAnsi="Arial"/>
                <w:b/>
              </w:rPr>
            </w:pPr>
            <w:r>
              <w:rPr>
                <w:rFonts w:ascii="Arial" w:hAnsi="Arial"/>
                <w:b/>
              </w:rPr>
              <w:t>13,0</w:t>
            </w:r>
            <w:r w:rsidR="00AE0EF0">
              <w:rPr>
                <w:rFonts w:ascii="Arial" w:hAnsi="Arial"/>
                <w:b/>
              </w:rPr>
              <w:t>29</w:t>
            </w:r>
          </w:p>
        </w:tc>
        <w:tc>
          <w:tcPr>
            <w:tcW w:w="1134" w:type="dxa"/>
            <w:vAlign w:val="center"/>
          </w:tcPr>
          <w:p w:rsidR="00B37A65" w:rsidRPr="00B37A65" w:rsidRDefault="00AE0EF0" w:rsidP="00311200">
            <w:pPr>
              <w:tabs>
                <w:tab w:val="left" w:pos="1260"/>
                <w:tab w:val="left" w:pos="1980"/>
                <w:tab w:val="left" w:pos="2700"/>
                <w:tab w:val="left" w:pos="3420"/>
              </w:tabs>
              <w:jc w:val="center"/>
              <w:rPr>
                <w:rFonts w:ascii="Arial" w:hAnsi="Arial"/>
                <w:b/>
              </w:rPr>
            </w:pPr>
            <w:r>
              <w:rPr>
                <w:rFonts w:ascii="Arial" w:hAnsi="Arial"/>
                <w:b/>
              </w:rPr>
              <w:t>17,8</w:t>
            </w:r>
            <w:r w:rsidR="00311200">
              <w:rPr>
                <w:rFonts w:ascii="Arial" w:hAnsi="Arial"/>
                <w:b/>
              </w:rPr>
              <w:t>3</w:t>
            </w:r>
            <w:r>
              <w:rPr>
                <w:rFonts w:ascii="Arial" w:hAnsi="Arial"/>
                <w:b/>
              </w:rPr>
              <w:t>5</w:t>
            </w:r>
          </w:p>
        </w:tc>
        <w:tc>
          <w:tcPr>
            <w:tcW w:w="1134" w:type="dxa"/>
            <w:vAlign w:val="center"/>
          </w:tcPr>
          <w:p w:rsidR="00B37A65" w:rsidRPr="00B37A65" w:rsidRDefault="00953D38" w:rsidP="00484385">
            <w:pPr>
              <w:tabs>
                <w:tab w:val="left" w:pos="1260"/>
                <w:tab w:val="left" w:pos="1980"/>
                <w:tab w:val="left" w:pos="2700"/>
                <w:tab w:val="left" w:pos="3420"/>
              </w:tabs>
              <w:jc w:val="center"/>
              <w:rPr>
                <w:rFonts w:ascii="Arial" w:hAnsi="Arial"/>
                <w:b/>
              </w:rPr>
            </w:pPr>
            <w:r w:rsidRPr="00953D38">
              <w:rPr>
                <w:rFonts w:ascii="Arial" w:hAnsi="Arial"/>
                <w:b/>
                <w:color w:val="0000FF"/>
              </w:rPr>
              <w:t>(</w:t>
            </w:r>
            <w:r w:rsidR="00FC0FA0">
              <w:rPr>
                <w:rFonts w:ascii="Arial" w:hAnsi="Arial"/>
                <w:b/>
                <w:color w:val="0000FF"/>
              </w:rPr>
              <w:t>750</w:t>
            </w:r>
            <w:r w:rsidRPr="00953D38">
              <w:rPr>
                <w:rFonts w:ascii="Arial" w:hAnsi="Arial"/>
                <w:b/>
                <w:color w:val="0000FF"/>
              </w:rPr>
              <w:t>)</w:t>
            </w:r>
          </w:p>
        </w:tc>
      </w:tr>
    </w:tbl>
    <w:p w:rsidR="003D5FF5" w:rsidRPr="00E40A65" w:rsidRDefault="003D5FF5" w:rsidP="00484385">
      <w:pPr>
        <w:tabs>
          <w:tab w:val="left" w:pos="3765"/>
        </w:tabs>
        <w:spacing w:after="0" w:line="240" w:lineRule="auto"/>
        <w:ind w:left="720" w:hanging="720"/>
        <w:jc w:val="both"/>
        <w:rPr>
          <w:rFonts w:ascii="Arial" w:hAnsi="Arial" w:cs="Arial"/>
        </w:rPr>
      </w:pPr>
    </w:p>
    <w:p w:rsidR="00394782" w:rsidRPr="00E40A65" w:rsidRDefault="004377E3" w:rsidP="00484385">
      <w:pPr>
        <w:tabs>
          <w:tab w:val="left" w:pos="3765"/>
        </w:tabs>
        <w:spacing w:after="160" w:line="240" w:lineRule="auto"/>
        <w:ind w:left="720" w:hanging="720"/>
        <w:jc w:val="both"/>
        <w:rPr>
          <w:rFonts w:ascii="Arial" w:hAnsi="Arial" w:cs="Arial"/>
        </w:rPr>
      </w:pPr>
      <w:r w:rsidRPr="00E40A65">
        <w:rPr>
          <w:rFonts w:ascii="Arial" w:hAnsi="Arial" w:cs="Arial"/>
        </w:rPr>
        <w:t>2</w:t>
      </w:r>
      <w:r w:rsidR="009823D3" w:rsidRPr="00E40A65">
        <w:rPr>
          <w:rFonts w:ascii="Arial" w:hAnsi="Arial" w:cs="Arial"/>
        </w:rPr>
        <w:t>.</w:t>
      </w:r>
      <w:r w:rsidRPr="00E40A65">
        <w:rPr>
          <w:rFonts w:ascii="Arial" w:hAnsi="Arial" w:cs="Arial"/>
        </w:rPr>
        <w:t>4</w:t>
      </w:r>
      <w:r w:rsidR="009823D3" w:rsidRPr="00E40A65">
        <w:rPr>
          <w:rFonts w:ascii="Arial" w:hAnsi="Arial" w:cs="Arial"/>
        </w:rPr>
        <w:tab/>
      </w:r>
      <w:r w:rsidR="000C547C" w:rsidRPr="00E40A65">
        <w:rPr>
          <w:rFonts w:ascii="Arial" w:hAnsi="Arial" w:cs="Arial"/>
        </w:rPr>
        <w:t>As at the end of period 10</w:t>
      </w:r>
      <w:r w:rsidR="00B30F48" w:rsidRPr="00E40A65">
        <w:rPr>
          <w:rFonts w:ascii="Arial" w:hAnsi="Arial" w:cs="Arial"/>
        </w:rPr>
        <w:t>, servi</w:t>
      </w:r>
      <w:r w:rsidR="000C547C" w:rsidRPr="00E40A65">
        <w:rPr>
          <w:rFonts w:ascii="Arial" w:hAnsi="Arial" w:cs="Arial"/>
        </w:rPr>
        <w:t>c</w:t>
      </w:r>
      <w:r w:rsidR="0079750F">
        <w:rPr>
          <w:rFonts w:ascii="Arial" w:hAnsi="Arial" w:cs="Arial"/>
        </w:rPr>
        <w:t>es have spent a total of £13,029</w:t>
      </w:r>
      <w:r w:rsidR="00B30F48" w:rsidRPr="00E40A65">
        <w:rPr>
          <w:rFonts w:ascii="Arial" w:hAnsi="Arial" w:cs="Arial"/>
        </w:rPr>
        <w:t xml:space="preserve"> million ag</w:t>
      </w:r>
      <w:r w:rsidR="00B641EB">
        <w:rPr>
          <w:rFonts w:ascii="Arial" w:hAnsi="Arial" w:cs="Arial"/>
        </w:rPr>
        <w:t>ainst a latest budget of £18,58</w:t>
      </w:r>
      <w:r w:rsidR="00311200">
        <w:rPr>
          <w:rFonts w:ascii="Arial" w:hAnsi="Arial" w:cs="Arial"/>
        </w:rPr>
        <w:t>5</w:t>
      </w:r>
      <w:r w:rsidR="00576AF0" w:rsidRPr="00E40A65">
        <w:rPr>
          <w:rFonts w:ascii="Arial" w:hAnsi="Arial" w:cs="Arial"/>
        </w:rPr>
        <w:t xml:space="preserve"> million</w:t>
      </w:r>
      <w:r w:rsidR="00B30F48" w:rsidRPr="00E40A65">
        <w:rPr>
          <w:rFonts w:ascii="Arial" w:hAnsi="Arial" w:cs="Arial"/>
        </w:rPr>
        <w:t xml:space="preserve">. </w:t>
      </w:r>
      <w:r w:rsidR="00C157C4" w:rsidRPr="00E40A65">
        <w:rPr>
          <w:rFonts w:ascii="Arial" w:hAnsi="Arial" w:cs="Arial"/>
        </w:rPr>
        <w:t xml:space="preserve">This represents </w:t>
      </w:r>
      <w:r w:rsidR="00E40A65" w:rsidRPr="00E40A65">
        <w:rPr>
          <w:rFonts w:ascii="Arial" w:hAnsi="Arial" w:cs="Arial"/>
          <w:b/>
        </w:rPr>
        <w:t>7</w:t>
      </w:r>
      <w:r w:rsidR="00593A8B" w:rsidRPr="00E40A65">
        <w:rPr>
          <w:rFonts w:ascii="Arial" w:hAnsi="Arial" w:cs="Arial"/>
          <w:b/>
        </w:rPr>
        <w:t>0</w:t>
      </w:r>
      <w:r w:rsidR="00C157C4" w:rsidRPr="00E40A65">
        <w:rPr>
          <w:rFonts w:ascii="Arial" w:hAnsi="Arial" w:cs="Arial"/>
          <w:b/>
        </w:rPr>
        <w:t>% of the budg</w:t>
      </w:r>
      <w:r w:rsidR="00FB22BB" w:rsidRPr="00E40A65">
        <w:rPr>
          <w:rFonts w:ascii="Arial" w:hAnsi="Arial" w:cs="Arial"/>
          <w:b/>
        </w:rPr>
        <w:t>et</w:t>
      </w:r>
      <w:r w:rsidR="00DA40E1" w:rsidRPr="00E40A65">
        <w:rPr>
          <w:rFonts w:ascii="Arial" w:hAnsi="Arial" w:cs="Arial"/>
        </w:rPr>
        <w:t>. T</w:t>
      </w:r>
      <w:r w:rsidR="00FB22BB" w:rsidRPr="00E40A65">
        <w:rPr>
          <w:rFonts w:ascii="Arial" w:hAnsi="Arial" w:cs="Arial"/>
        </w:rPr>
        <w:t>he total spend to date</w:t>
      </w:r>
      <w:r w:rsidR="00DA40E1" w:rsidRPr="00E40A65">
        <w:rPr>
          <w:rFonts w:ascii="Arial" w:hAnsi="Arial" w:cs="Arial"/>
        </w:rPr>
        <w:t xml:space="preserve"> includes the sum of</w:t>
      </w:r>
      <w:r w:rsidR="00E40A65" w:rsidRPr="00E40A65">
        <w:rPr>
          <w:rFonts w:ascii="Arial" w:hAnsi="Arial" w:cs="Arial"/>
        </w:rPr>
        <w:t xml:space="preserve"> £8.796</w:t>
      </w:r>
      <w:r w:rsidR="00C157C4" w:rsidRPr="00E40A65">
        <w:rPr>
          <w:rFonts w:ascii="Arial" w:hAnsi="Arial" w:cs="Arial"/>
        </w:rPr>
        <w:t xml:space="preserve"> million </w:t>
      </w:r>
      <w:r w:rsidR="00DA40E1" w:rsidRPr="00E40A65">
        <w:rPr>
          <w:rFonts w:ascii="Arial" w:hAnsi="Arial" w:cs="Arial"/>
        </w:rPr>
        <w:t xml:space="preserve">which </w:t>
      </w:r>
      <w:r w:rsidR="00C157C4" w:rsidRPr="00E40A65">
        <w:rPr>
          <w:rFonts w:ascii="Arial" w:hAnsi="Arial" w:cs="Arial"/>
        </w:rPr>
        <w:t xml:space="preserve">relates to the </w:t>
      </w:r>
      <w:r w:rsidRPr="00E40A65">
        <w:rPr>
          <w:rFonts w:ascii="Arial" w:hAnsi="Arial" w:cs="Arial"/>
        </w:rPr>
        <w:t>S</w:t>
      </w:r>
      <w:r w:rsidR="00C157C4" w:rsidRPr="00E40A65">
        <w:rPr>
          <w:rFonts w:ascii="Arial" w:hAnsi="Arial" w:cs="Arial"/>
        </w:rPr>
        <w:t xml:space="preserve">outh </w:t>
      </w:r>
      <w:proofErr w:type="spellStart"/>
      <w:r w:rsidR="00C157C4" w:rsidRPr="00E40A65">
        <w:rPr>
          <w:rFonts w:ascii="Arial" w:hAnsi="Arial" w:cs="Arial"/>
        </w:rPr>
        <w:t>Oxhey</w:t>
      </w:r>
      <w:proofErr w:type="spellEnd"/>
      <w:r w:rsidR="00C157C4" w:rsidRPr="00E40A65">
        <w:rPr>
          <w:rFonts w:ascii="Arial" w:hAnsi="Arial" w:cs="Arial"/>
        </w:rPr>
        <w:t xml:space="preserve"> </w:t>
      </w:r>
      <w:r w:rsidR="00DA40E1" w:rsidRPr="00E40A65">
        <w:rPr>
          <w:rFonts w:ascii="Arial" w:hAnsi="Arial" w:cs="Arial"/>
        </w:rPr>
        <w:t>I</w:t>
      </w:r>
      <w:r w:rsidR="00C157C4" w:rsidRPr="00E40A65">
        <w:rPr>
          <w:rFonts w:ascii="Arial" w:hAnsi="Arial" w:cs="Arial"/>
        </w:rPr>
        <w:t>nitiative</w:t>
      </w:r>
      <w:r w:rsidR="00E40A65" w:rsidRPr="00E40A65">
        <w:rPr>
          <w:rFonts w:ascii="Arial" w:hAnsi="Arial" w:cs="Arial"/>
        </w:rPr>
        <w:t>.</w:t>
      </w:r>
    </w:p>
    <w:p w:rsidR="00FB22BB" w:rsidRPr="00E40A65" w:rsidRDefault="00394782" w:rsidP="00484385">
      <w:pPr>
        <w:tabs>
          <w:tab w:val="left" w:pos="709"/>
          <w:tab w:val="left" w:pos="1980"/>
          <w:tab w:val="left" w:pos="2700"/>
          <w:tab w:val="left" w:pos="3420"/>
        </w:tabs>
        <w:spacing w:after="160" w:line="240" w:lineRule="auto"/>
        <w:ind w:left="709" w:hanging="709"/>
        <w:jc w:val="both"/>
        <w:rPr>
          <w:rFonts w:ascii="Arial" w:hAnsi="Arial" w:cs="Arial"/>
        </w:rPr>
      </w:pPr>
      <w:r w:rsidRPr="00E40A65">
        <w:rPr>
          <w:rFonts w:ascii="Arial" w:eastAsia="Times New Roman" w:hAnsi="Arial" w:cs="Times New Roman"/>
          <w:szCs w:val="20"/>
          <w:lang w:eastAsia="en-GB"/>
        </w:rPr>
        <w:t>2.</w:t>
      </w:r>
      <w:r w:rsidR="00EB4238" w:rsidRPr="00E40A65">
        <w:rPr>
          <w:rFonts w:ascii="Arial" w:eastAsia="Times New Roman" w:hAnsi="Arial" w:cs="Times New Roman"/>
          <w:szCs w:val="20"/>
          <w:lang w:eastAsia="en-GB"/>
        </w:rPr>
        <w:t>5</w:t>
      </w:r>
      <w:r w:rsidR="00EB4238" w:rsidRPr="00E40A65">
        <w:rPr>
          <w:rFonts w:ascii="Arial" w:eastAsia="Times New Roman" w:hAnsi="Arial" w:cs="Times New Roman"/>
          <w:szCs w:val="20"/>
          <w:lang w:eastAsia="en-GB"/>
        </w:rPr>
        <w:tab/>
      </w:r>
      <w:r w:rsidRPr="00E40A65">
        <w:rPr>
          <w:rFonts w:ascii="Arial" w:eastAsia="Times New Roman" w:hAnsi="Arial" w:cs="Times New Roman"/>
          <w:szCs w:val="20"/>
          <w:lang w:eastAsia="en-GB"/>
        </w:rPr>
        <w:t>Service accountants have met with budget holders who have confirmed that budgets will be spent by the end of the financial year; this will be monitored at future budget reports and any additional re</w:t>
      </w:r>
      <w:r w:rsidR="00401B13" w:rsidRPr="00E40A65">
        <w:rPr>
          <w:rFonts w:ascii="Arial" w:eastAsia="Times New Roman" w:hAnsi="Arial" w:cs="Times New Roman"/>
          <w:szCs w:val="20"/>
          <w:lang w:eastAsia="en-GB"/>
        </w:rPr>
        <w:t>-</w:t>
      </w:r>
      <w:r w:rsidRPr="00E40A65">
        <w:rPr>
          <w:rFonts w:ascii="Arial" w:eastAsia="Times New Roman" w:hAnsi="Arial" w:cs="Times New Roman"/>
          <w:szCs w:val="20"/>
          <w:lang w:eastAsia="en-GB"/>
        </w:rPr>
        <w:t xml:space="preserve">phasing will be identified as they </w:t>
      </w:r>
      <w:r w:rsidR="00401B13" w:rsidRPr="00E40A65">
        <w:rPr>
          <w:rFonts w:ascii="Arial" w:eastAsia="Times New Roman" w:hAnsi="Arial" w:cs="Times New Roman"/>
          <w:szCs w:val="20"/>
          <w:lang w:eastAsia="en-GB"/>
        </w:rPr>
        <w:t>become</w:t>
      </w:r>
      <w:r w:rsidRPr="00E40A65">
        <w:rPr>
          <w:rFonts w:ascii="Arial" w:eastAsia="Times New Roman" w:hAnsi="Arial" w:cs="Times New Roman"/>
          <w:szCs w:val="20"/>
          <w:lang w:eastAsia="en-GB"/>
        </w:rPr>
        <w:t xml:space="preserve"> known. </w:t>
      </w:r>
    </w:p>
    <w:p w:rsidR="00BB3415" w:rsidRPr="00E40A65" w:rsidRDefault="001630AE" w:rsidP="00484385">
      <w:pPr>
        <w:tabs>
          <w:tab w:val="left" w:pos="3765"/>
        </w:tabs>
        <w:spacing w:after="160" w:line="240" w:lineRule="auto"/>
        <w:ind w:left="720" w:hanging="720"/>
        <w:rPr>
          <w:rFonts w:ascii="Arial" w:hAnsi="Arial" w:cs="Arial"/>
          <w:b/>
        </w:rPr>
      </w:pPr>
      <w:r w:rsidRPr="00E40A65">
        <w:rPr>
          <w:rFonts w:ascii="Arial" w:hAnsi="Arial" w:cs="Arial"/>
        </w:rPr>
        <w:t>2</w:t>
      </w:r>
      <w:r w:rsidR="009823D3" w:rsidRPr="00E40A65">
        <w:rPr>
          <w:rFonts w:ascii="Arial" w:hAnsi="Arial" w:cs="Arial"/>
        </w:rPr>
        <w:t>.</w:t>
      </w:r>
      <w:r w:rsidRPr="00E40A65">
        <w:rPr>
          <w:rFonts w:ascii="Arial" w:hAnsi="Arial" w:cs="Arial"/>
        </w:rPr>
        <w:t>6</w:t>
      </w:r>
      <w:r w:rsidR="009823D3" w:rsidRPr="00E40A65">
        <w:rPr>
          <w:rFonts w:ascii="Arial" w:hAnsi="Arial" w:cs="Arial"/>
        </w:rPr>
        <w:tab/>
      </w:r>
      <w:r w:rsidR="00F5724A" w:rsidRPr="00E40A65">
        <w:rPr>
          <w:rFonts w:ascii="Arial" w:hAnsi="Arial" w:cs="Arial"/>
        </w:rPr>
        <w:t>The Council</w:t>
      </w:r>
      <w:r w:rsidRPr="00E40A65">
        <w:rPr>
          <w:rFonts w:ascii="Arial" w:hAnsi="Arial" w:cs="Arial"/>
        </w:rPr>
        <w:t>’</w:t>
      </w:r>
      <w:r w:rsidR="00F5724A" w:rsidRPr="00E40A65">
        <w:rPr>
          <w:rFonts w:ascii="Arial" w:hAnsi="Arial" w:cs="Arial"/>
        </w:rPr>
        <w:t>s Medium Ter</w:t>
      </w:r>
      <w:r w:rsidRPr="00E40A65">
        <w:rPr>
          <w:rFonts w:ascii="Arial" w:hAnsi="Arial" w:cs="Arial"/>
        </w:rPr>
        <w:t>m Capital Investment Programme is shown by scheme by each Committee at</w:t>
      </w:r>
      <w:r w:rsidR="00F5724A" w:rsidRPr="00E40A65">
        <w:rPr>
          <w:rFonts w:ascii="Arial" w:hAnsi="Arial" w:cs="Arial"/>
        </w:rPr>
        <w:t xml:space="preserve"> </w:t>
      </w:r>
      <w:r w:rsidR="00F5724A" w:rsidRPr="00E40A65">
        <w:rPr>
          <w:rFonts w:ascii="Arial" w:hAnsi="Arial" w:cs="Arial"/>
          <w:b/>
        </w:rPr>
        <w:t xml:space="preserve">Appendix </w:t>
      </w:r>
      <w:r w:rsidRPr="00E40A65">
        <w:rPr>
          <w:rFonts w:ascii="Arial" w:hAnsi="Arial" w:cs="Arial"/>
          <w:b/>
        </w:rPr>
        <w:t>3</w:t>
      </w:r>
      <w:r w:rsidR="00F5724A" w:rsidRPr="00E40A65">
        <w:rPr>
          <w:rFonts w:ascii="Arial" w:hAnsi="Arial" w:cs="Arial"/>
        </w:rPr>
        <w:t xml:space="preserve"> this includes </w:t>
      </w:r>
      <w:r w:rsidRPr="00E40A65">
        <w:rPr>
          <w:rFonts w:ascii="Arial" w:hAnsi="Arial" w:cs="Arial"/>
        </w:rPr>
        <w:t>commentary from officers.</w:t>
      </w:r>
      <w:r w:rsidR="00F5724A" w:rsidRPr="00E40A65">
        <w:rPr>
          <w:rFonts w:ascii="Arial" w:hAnsi="Arial" w:cs="Arial"/>
        </w:rPr>
        <w:t xml:space="preserve"> </w:t>
      </w:r>
      <w:r w:rsidRPr="00E40A65">
        <w:rPr>
          <w:rFonts w:ascii="Arial" w:hAnsi="Arial" w:cs="Arial"/>
        </w:rPr>
        <w:t xml:space="preserve">The reasons for the variance on each scheme reported </w:t>
      </w:r>
      <w:r w:rsidR="00BB3415" w:rsidRPr="00E40A65">
        <w:rPr>
          <w:rFonts w:ascii="Arial" w:hAnsi="Arial" w:cs="Arial"/>
        </w:rPr>
        <w:t>for</w:t>
      </w:r>
      <w:r w:rsidRPr="00E40A65">
        <w:rPr>
          <w:rFonts w:ascii="Arial" w:hAnsi="Arial" w:cs="Arial"/>
        </w:rPr>
        <w:t xml:space="preserve"> this period </w:t>
      </w:r>
      <w:r w:rsidR="003F3624" w:rsidRPr="00E40A65">
        <w:rPr>
          <w:rFonts w:ascii="Arial" w:hAnsi="Arial" w:cs="Arial"/>
        </w:rPr>
        <w:t>are</w:t>
      </w:r>
      <w:r w:rsidRPr="00E40A65">
        <w:rPr>
          <w:rFonts w:ascii="Arial" w:hAnsi="Arial" w:cs="Arial"/>
        </w:rPr>
        <w:t xml:space="preserve"> shown at</w:t>
      </w:r>
      <w:r w:rsidR="00642A42" w:rsidRPr="00E40A65">
        <w:rPr>
          <w:rFonts w:ascii="Arial" w:hAnsi="Arial" w:cs="Arial"/>
          <w:b/>
        </w:rPr>
        <w:t xml:space="preserve"> Appendix </w:t>
      </w:r>
      <w:r w:rsidRPr="00E40A65">
        <w:rPr>
          <w:rFonts w:ascii="Arial" w:hAnsi="Arial" w:cs="Arial"/>
          <w:b/>
        </w:rPr>
        <w:t>4</w:t>
      </w:r>
      <w:r w:rsidR="00BB3415" w:rsidRPr="00E40A65">
        <w:rPr>
          <w:rFonts w:ascii="Arial" w:hAnsi="Arial" w:cs="Arial"/>
          <w:b/>
        </w:rPr>
        <w:t>.</w:t>
      </w:r>
      <w:r w:rsidR="00C157C4" w:rsidRPr="00E40A65">
        <w:rPr>
          <w:rFonts w:ascii="Arial" w:hAnsi="Arial" w:cs="Arial"/>
          <w:b/>
        </w:rPr>
        <w:t xml:space="preserve">    </w:t>
      </w:r>
    </w:p>
    <w:p w:rsidR="00E36578" w:rsidRDefault="00BB3415" w:rsidP="00484385">
      <w:pPr>
        <w:keepNext/>
        <w:tabs>
          <w:tab w:val="left" w:pos="709"/>
          <w:tab w:val="left" w:pos="1980"/>
          <w:tab w:val="left" w:pos="2700"/>
          <w:tab w:val="left" w:pos="3420"/>
        </w:tabs>
        <w:spacing w:after="160" w:line="240" w:lineRule="auto"/>
        <w:ind w:left="709" w:hanging="709"/>
        <w:jc w:val="both"/>
        <w:rPr>
          <w:rFonts w:ascii="Arial" w:hAnsi="Arial" w:cs="Arial"/>
          <w:b/>
        </w:rPr>
      </w:pPr>
      <w:r w:rsidRPr="00BB3415">
        <w:rPr>
          <w:rFonts w:ascii="Arial" w:hAnsi="Arial" w:cs="Arial"/>
        </w:rPr>
        <w:t>2.7</w:t>
      </w:r>
      <w:r w:rsidR="00F312B1">
        <w:rPr>
          <w:rFonts w:ascii="Arial" w:hAnsi="Arial" w:cs="Arial"/>
        </w:rPr>
        <w:tab/>
      </w:r>
      <w:r w:rsidR="004B7970" w:rsidRPr="00FB22BB">
        <w:rPr>
          <w:rFonts w:ascii="Arial" w:hAnsi="Arial" w:cs="Arial"/>
          <w:lang w:eastAsia="en-GB"/>
        </w:rPr>
        <w:t xml:space="preserve">The capital programme is mainly supported by three income streams; capital receipts (derived from the sales of assets), grants and contributions, and the use of reserves.  Services can also make a contribution to capital from surplus revenue funds if needed.  In addition the Council may </w:t>
      </w:r>
      <w:r w:rsidR="00845A97">
        <w:rPr>
          <w:rFonts w:ascii="Arial" w:hAnsi="Arial" w:cs="Arial"/>
          <w:lang w:eastAsia="en-GB"/>
        </w:rPr>
        <w:t xml:space="preserve">prudentially </w:t>
      </w:r>
      <w:r w:rsidR="004B7970" w:rsidRPr="00FB22BB">
        <w:rPr>
          <w:rFonts w:ascii="Arial" w:hAnsi="Arial" w:cs="Arial"/>
          <w:lang w:eastAsia="en-GB"/>
        </w:rPr>
        <w:t xml:space="preserve">borrow to fund its capital programme. </w:t>
      </w:r>
      <w:r w:rsidR="00401B13">
        <w:rPr>
          <w:rFonts w:ascii="Arial" w:hAnsi="Arial" w:cs="Arial"/>
          <w:lang w:eastAsia="en-GB"/>
        </w:rPr>
        <w:t xml:space="preserve"> </w:t>
      </w:r>
      <w:r w:rsidR="004B7970" w:rsidRPr="00FB22BB">
        <w:rPr>
          <w:rFonts w:ascii="Arial" w:hAnsi="Arial" w:cs="Arial"/>
          <w:lang w:eastAsia="en-GB"/>
        </w:rPr>
        <w:t xml:space="preserve">Borrowing maybe required for 2018/19, although it is anticipated that this will be funded from internal cash resources.  Any decision on borrowing </w:t>
      </w:r>
      <w:r w:rsidR="00845A97">
        <w:rPr>
          <w:rFonts w:ascii="Arial" w:hAnsi="Arial" w:cs="Arial"/>
          <w:lang w:eastAsia="en-GB"/>
        </w:rPr>
        <w:t xml:space="preserve">(amount and duration) </w:t>
      </w:r>
      <w:r w:rsidR="004B7970" w:rsidRPr="00FB22BB">
        <w:rPr>
          <w:rFonts w:ascii="Arial" w:hAnsi="Arial" w:cs="Arial"/>
          <w:lang w:eastAsia="en-GB"/>
        </w:rPr>
        <w:t xml:space="preserve">will be taken if and when </w:t>
      </w:r>
      <w:r w:rsidR="004B7970" w:rsidRPr="00FB22BB">
        <w:rPr>
          <w:rFonts w:ascii="Arial" w:hAnsi="Arial" w:cs="Arial"/>
          <w:lang w:eastAsia="en-GB"/>
        </w:rPr>
        <w:lastRenderedPageBreak/>
        <w:t>the need arises.</w:t>
      </w:r>
      <w:r w:rsidR="00FB22BB">
        <w:rPr>
          <w:rFonts w:ascii="Arial" w:hAnsi="Arial" w:cs="Arial"/>
          <w:lang w:eastAsia="en-GB"/>
        </w:rPr>
        <w:t xml:space="preserve"> </w:t>
      </w:r>
      <w:r w:rsidR="00401B13">
        <w:rPr>
          <w:rFonts w:ascii="Arial" w:hAnsi="Arial" w:cs="Arial"/>
          <w:lang w:eastAsia="en-GB"/>
        </w:rPr>
        <w:t xml:space="preserve"> </w:t>
      </w:r>
      <w:r w:rsidRPr="00BB3415">
        <w:rPr>
          <w:rFonts w:ascii="Arial" w:hAnsi="Arial" w:cs="Arial"/>
        </w:rPr>
        <w:t xml:space="preserve">Funding of the </w:t>
      </w:r>
      <w:r>
        <w:rPr>
          <w:rFonts w:ascii="Arial" w:hAnsi="Arial" w:cs="Arial"/>
        </w:rPr>
        <w:t>ca</w:t>
      </w:r>
      <w:r w:rsidRPr="00BB3415">
        <w:rPr>
          <w:rFonts w:ascii="Arial" w:hAnsi="Arial" w:cs="Arial"/>
        </w:rPr>
        <w:t>pital investment programme over the medium term is shown at</w:t>
      </w:r>
      <w:r>
        <w:rPr>
          <w:rFonts w:ascii="Arial" w:hAnsi="Arial" w:cs="Arial"/>
          <w:b/>
        </w:rPr>
        <w:t xml:space="preserve"> Appendix 5.</w:t>
      </w:r>
      <w:r w:rsidR="00C157C4" w:rsidRPr="00616004">
        <w:rPr>
          <w:rFonts w:ascii="Arial" w:hAnsi="Arial" w:cs="Arial"/>
          <w:b/>
        </w:rPr>
        <w:t xml:space="preserve">                                                                      </w:t>
      </w:r>
      <w:r w:rsidR="002F5052">
        <w:rPr>
          <w:rFonts w:ascii="Arial" w:hAnsi="Arial" w:cs="Arial"/>
          <w:b/>
        </w:rPr>
        <w:t xml:space="preserve">                              </w:t>
      </w:r>
    </w:p>
    <w:p w:rsidR="00311200" w:rsidRDefault="00311200" w:rsidP="00484385">
      <w:pPr>
        <w:tabs>
          <w:tab w:val="left" w:pos="709"/>
        </w:tabs>
        <w:spacing w:line="240" w:lineRule="auto"/>
        <w:rPr>
          <w:rFonts w:ascii="Arial" w:hAnsi="Arial" w:cs="Arial"/>
          <w:b/>
        </w:rPr>
      </w:pPr>
    </w:p>
    <w:p w:rsidR="00823985" w:rsidRPr="00616004" w:rsidRDefault="00BB3415" w:rsidP="00484385">
      <w:pPr>
        <w:tabs>
          <w:tab w:val="left" w:pos="709"/>
        </w:tabs>
        <w:spacing w:line="240" w:lineRule="auto"/>
        <w:rPr>
          <w:rFonts w:ascii="Arial" w:hAnsi="Arial" w:cs="Arial"/>
          <w:b/>
        </w:rPr>
      </w:pPr>
      <w:r w:rsidRPr="00FB22BB">
        <w:rPr>
          <w:rFonts w:ascii="Arial" w:hAnsi="Arial" w:cs="Arial"/>
          <w:b/>
        </w:rPr>
        <w:t>3</w:t>
      </w:r>
      <w:r w:rsidR="00616004" w:rsidRPr="00FB22BB">
        <w:rPr>
          <w:rFonts w:ascii="Arial" w:hAnsi="Arial" w:cs="Arial"/>
          <w:b/>
        </w:rPr>
        <w:t>.0</w:t>
      </w:r>
      <w:r w:rsidR="00616004" w:rsidRPr="00616004">
        <w:rPr>
          <w:rFonts w:ascii="Arial" w:hAnsi="Arial" w:cs="Arial"/>
          <w:b/>
        </w:rPr>
        <w:t xml:space="preserve"> </w:t>
      </w:r>
      <w:r w:rsidR="00F5724A">
        <w:rPr>
          <w:rFonts w:ascii="Arial" w:hAnsi="Arial" w:cs="Arial"/>
          <w:b/>
        </w:rPr>
        <w:tab/>
      </w:r>
      <w:r w:rsidR="00616004" w:rsidRPr="00616004">
        <w:rPr>
          <w:rFonts w:ascii="Arial" w:hAnsi="Arial" w:cs="Arial"/>
          <w:b/>
        </w:rPr>
        <w:t>Council</w:t>
      </w:r>
      <w:r w:rsidR="00521973" w:rsidRPr="00616004">
        <w:rPr>
          <w:rFonts w:ascii="Arial" w:hAnsi="Arial" w:cs="Arial"/>
          <w:b/>
        </w:rPr>
        <w:t xml:space="preserve"> </w:t>
      </w:r>
      <w:r w:rsidR="00086746" w:rsidRPr="00616004">
        <w:rPr>
          <w:rFonts w:ascii="Arial" w:hAnsi="Arial" w:cs="Arial"/>
          <w:b/>
        </w:rPr>
        <w:t>Income</w:t>
      </w:r>
    </w:p>
    <w:p w:rsidR="00086746" w:rsidRDefault="00C32642" w:rsidP="00484385">
      <w:pPr>
        <w:tabs>
          <w:tab w:val="left" w:pos="3765"/>
        </w:tabs>
        <w:spacing w:after="160" w:line="240" w:lineRule="auto"/>
        <w:ind w:left="720" w:hanging="720"/>
        <w:jc w:val="both"/>
        <w:rPr>
          <w:rFonts w:ascii="Arial" w:hAnsi="Arial" w:cs="Arial"/>
        </w:rPr>
      </w:pPr>
      <w:r>
        <w:rPr>
          <w:rFonts w:ascii="Arial" w:hAnsi="Arial" w:cs="Arial"/>
        </w:rPr>
        <w:t>3.1</w:t>
      </w:r>
      <w:r>
        <w:rPr>
          <w:rFonts w:ascii="Arial" w:hAnsi="Arial" w:cs="Arial"/>
        </w:rPr>
        <w:tab/>
      </w:r>
      <w:r w:rsidR="00086746" w:rsidRPr="00616004">
        <w:rPr>
          <w:rFonts w:ascii="Arial" w:hAnsi="Arial" w:cs="Arial"/>
        </w:rPr>
        <w:t xml:space="preserve">The Council is able to fund the provision of services from an array of income sources. </w:t>
      </w:r>
      <w:r w:rsidR="00401B13">
        <w:rPr>
          <w:rFonts w:ascii="Arial" w:hAnsi="Arial" w:cs="Arial"/>
        </w:rPr>
        <w:t xml:space="preserve"> </w:t>
      </w:r>
      <w:r w:rsidR="00086746" w:rsidRPr="00616004">
        <w:rPr>
          <w:rFonts w:ascii="Arial" w:hAnsi="Arial" w:cs="Arial"/>
        </w:rPr>
        <w:t>The Council receives income from the Government in the form of grants, Council tax payments from residents and from customer</w:t>
      </w:r>
      <w:r w:rsidR="00401B13">
        <w:rPr>
          <w:rFonts w:ascii="Arial" w:hAnsi="Arial" w:cs="Arial"/>
        </w:rPr>
        <w:t>s</w:t>
      </w:r>
      <w:r w:rsidR="00086746" w:rsidRPr="00616004">
        <w:rPr>
          <w:rFonts w:ascii="Arial" w:hAnsi="Arial" w:cs="Arial"/>
        </w:rPr>
        <w:t xml:space="preserve"> who pay a fee or charge for using some specific council services. </w:t>
      </w:r>
      <w:r w:rsidR="00401B13">
        <w:rPr>
          <w:rFonts w:ascii="Arial" w:hAnsi="Arial" w:cs="Arial"/>
        </w:rPr>
        <w:t xml:space="preserve"> </w:t>
      </w:r>
      <w:r w:rsidR="00086746" w:rsidRPr="00616004">
        <w:rPr>
          <w:rFonts w:ascii="Arial" w:hAnsi="Arial" w:cs="Arial"/>
        </w:rPr>
        <w:t xml:space="preserve">The </w:t>
      </w:r>
      <w:r w:rsidR="00BC3034">
        <w:rPr>
          <w:rFonts w:ascii="Arial" w:hAnsi="Arial" w:cs="Arial"/>
        </w:rPr>
        <w:t>budgeted</w:t>
      </w:r>
      <w:r w:rsidR="00086746" w:rsidRPr="00616004">
        <w:rPr>
          <w:rFonts w:ascii="Arial" w:hAnsi="Arial" w:cs="Arial"/>
        </w:rPr>
        <w:t xml:space="preserve"> income</w:t>
      </w:r>
      <w:r w:rsidR="00845A97">
        <w:rPr>
          <w:rFonts w:ascii="Arial" w:hAnsi="Arial" w:cs="Arial"/>
        </w:rPr>
        <w:t xml:space="preserve"> (excluding housing benefits grant from central government)</w:t>
      </w:r>
      <w:r w:rsidR="00086746" w:rsidRPr="00616004">
        <w:rPr>
          <w:rFonts w:ascii="Arial" w:hAnsi="Arial" w:cs="Arial"/>
        </w:rPr>
        <w:t xml:space="preserve"> </w:t>
      </w:r>
      <w:r w:rsidR="00BC3034">
        <w:rPr>
          <w:rFonts w:ascii="Arial" w:hAnsi="Arial" w:cs="Arial"/>
        </w:rPr>
        <w:t xml:space="preserve">total </w:t>
      </w:r>
      <w:r w:rsidR="00086746" w:rsidRPr="00616004">
        <w:rPr>
          <w:rFonts w:ascii="Arial" w:hAnsi="Arial" w:cs="Arial"/>
        </w:rPr>
        <w:t xml:space="preserve">for 2017/18 is </w:t>
      </w:r>
      <w:r w:rsidR="00086746" w:rsidRPr="00B52C22">
        <w:rPr>
          <w:rFonts w:ascii="Arial" w:hAnsi="Arial" w:cs="Arial"/>
        </w:rPr>
        <w:t>£</w:t>
      </w:r>
      <w:r w:rsidR="00B52C22" w:rsidRPr="00B52C22">
        <w:rPr>
          <w:rFonts w:ascii="Arial" w:hAnsi="Arial" w:cs="Arial"/>
        </w:rPr>
        <w:t>21.880</w:t>
      </w:r>
      <w:r w:rsidR="00086746" w:rsidRPr="00B52C22">
        <w:rPr>
          <w:rFonts w:ascii="Arial" w:hAnsi="Arial" w:cs="Arial"/>
        </w:rPr>
        <w:t xml:space="preserve"> million</w:t>
      </w:r>
      <w:r w:rsidR="00086746" w:rsidRPr="00616004">
        <w:rPr>
          <w:rFonts w:ascii="Arial" w:hAnsi="Arial" w:cs="Arial"/>
        </w:rPr>
        <w:t xml:space="preserve">. The </w:t>
      </w:r>
      <w:r w:rsidR="00CA7E47">
        <w:rPr>
          <w:rFonts w:ascii="Arial" w:hAnsi="Arial" w:cs="Arial"/>
        </w:rPr>
        <w:t>two</w:t>
      </w:r>
      <w:r w:rsidR="00086746" w:rsidRPr="00616004">
        <w:rPr>
          <w:rFonts w:ascii="Arial" w:hAnsi="Arial" w:cs="Arial"/>
        </w:rPr>
        <w:t xml:space="preserve"> biggest sources of income are council tax</w:t>
      </w:r>
      <w:r w:rsidR="00616FF0" w:rsidRPr="00616004">
        <w:rPr>
          <w:rFonts w:ascii="Arial" w:hAnsi="Arial" w:cs="Arial"/>
        </w:rPr>
        <w:t xml:space="preserve"> and fees &amp; charges. </w:t>
      </w:r>
      <w:r w:rsidR="00401B13">
        <w:rPr>
          <w:rFonts w:ascii="Arial" w:hAnsi="Arial" w:cs="Arial"/>
        </w:rPr>
        <w:t xml:space="preserve"> </w:t>
      </w:r>
      <w:r w:rsidR="00CA7E47">
        <w:rPr>
          <w:rFonts w:ascii="Arial" w:hAnsi="Arial" w:cs="Arial"/>
        </w:rPr>
        <w:t>From</w:t>
      </w:r>
      <w:r w:rsidR="00616FF0" w:rsidRPr="00616004">
        <w:rPr>
          <w:rFonts w:ascii="Arial" w:hAnsi="Arial" w:cs="Arial"/>
        </w:rPr>
        <w:t xml:space="preserve"> 2019/20, </w:t>
      </w:r>
      <w:r w:rsidR="00BC3034">
        <w:rPr>
          <w:rFonts w:ascii="Arial" w:hAnsi="Arial" w:cs="Arial"/>
        </w:rPr>
        <w:t>t</w:t>
      </w:r>
      <w:r w:rsidR="00616FF0" w:rsidRPr="00616004">
        <w:rPr>
          <w:rFonts w:ascii="Arial" w:hAnsi="Arial" w:cs="Arial"/>
        </w:rPr>
        <w:t xml:space="preserve">he Council </w:t>
      </w:r>
      <w:r w:rsidR="00753F30">
        <w:rPr>
          <w:rFonts w:ascii="Arial" w:hAnsi="Arial" w:cs="Arial"/>
        </w:rPr>
        <w:t xml:space="preserve">does not expect to </w:t>
      </w:r>
      <w:r w:rsidR="00616FF0" w:rsidRPr="00616004">
        <w:rPr>
          <w:rFonts w:ascii="Arial" w:hAnsi="Arial" w:cs="Arial"/>
        </w:rPr>
        <w:t xml:space="preserve">receive </w:t>
      </w:r>
      <w:r w:rsidR="00122FF2">
        <w:rPr>
          <w:rFonts w:ascii="Arial" w:hAnsi="Arial" w:cs="Arial"/>
        </w:rPr>
        <w:t>any Revenue Support Grant from central g</w:t>
      </w:r>
      <w:r w:rsidR="00616FF0" w:rsidRPr="00616004">
        <w:rPr>
          <w:rFonts w:ascii="Arial" w:hAnsi="Arial" w:cs="Arial"/>
        </w:rPr>
        <w:t>overnment.</w:t>
      </w:r>
    </w:p>
    <w:p w:rsidR="002F38ED" w:rsidRDefault="00C32642" w:rsidP="00484385">
      <w:pPr>
        <w:tabs>
          <w:tab w:val="left" w:pos="3765"/>
        </w:tabs>
        <w:spacing w:after="160" w:line="240" w:lineRule="auto"/>
        <w:ind w:left="709" w:hanging="709"/>
        <w:jc w:val="both"/>
        <w:rPr>
          <w:rFonts w:ascii="Arial" w:hAnsi="Arial" w:cs="Arial"/>
        </w:rPr>
      </w:pPr>
      <w:r>
        <w:rPr>
          <w:rFonts w:ascii="Arial" w:hAnsi="Arial" w:cs="Arial"/>
        </w:rPr>
        <w:t>3.2</w:t>
      </w:r>
      <w:r w:rsidR="003E1B97">
        <w:rPr>
          <w:rFonts w:ascii="Arial" w:hAnsi="Arial" w:cs="Arial"/>
        </w:rPr>
        <w:tab/>
      </w:r>
      <w:r w:rsidR="00616FF0" w:rsidRPr="00616004">
        <w:rPr>
          <w:rFonts w:ascii="Arial" w:hAnsi="Arial" w:cs="Arial"/>
        </w:rPr>
        <w:t xml:space="preserve">The </w:t>
      </w:r>
      <w:r w:rsidR="003E1B97">
        <w:rPr>
          <w:rFonts w:ascii="Arial" w:hAnsi="Arial" w:cs="Arial"/>
        </w:rPr>
        <w:t>chart</w:t>
      </w:r>
      <w:r w:rsidR="00616FF0" w:rsidRPr="00616004">
        <w:rPr>
          <w:rFonts w:ascii="Arial" w:hAnsi="Arial" w:cs="Arial"/>
        </w:rPr>
        <w:t xml:space="preserve"> below shows the amount of income for each source </w:t>
      </w:r>
      <w:r w:rsidR="00CA7E47">
        <w:rPr>
          <w:rFonts w:ascii="Arial" w:hAnsi="Arial" w:cs="Arial"/>
        </w:rPr>
        <w:t>as a percentage of total income.</w:t>
      </w:r>
      <w:r w:rsidR="00616FF0" w:rsidRPr="00616004">
        <w:rPr>
          <w:rFonts w:ascii="Arial" w:hAnsi="Arial" w:cs="Arial"/>
        </w:rPr>
        <w:t xml:space="preserve"> </w:t>
      </w:r>
    </w:p>
    <w:p w:rsidR="00122FF2" w:rsidRDefault="00122FF2" w:rsidP="00122FF2">
      <w:pPr>
        <w:tabs>
          <w:tab w:val="left" w:pos="3765"/>
        </w:tabs>
        <w:spacing w:after="160" w:line="240" w:lineRule="auto"/>
        <w:ind w:left="709"/>
        <w:jc w:val="both"/>
        <w:rPr>
          <w:rFonts w:ascii="Arial" w:hAnsi="Arial" w:cs="Arial"/>
        </w:rPr>
      </w:pPr>
      <w:r>
        <w:rPr>
          <w:noProof/>
          <w:lang w:eastAsia="en-GB"/>
        </w:rPr>
        <w:drawing>
          <wp:inline distT="0" distB="0" distL="0" distR="0" wp14:anchorId="0ADCF28F" wp14:editId="1ADF0EB0">
            <wp:extent cx="5943600" cy="37719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2FF2" w:rsidRDefault="00122FF2" w:rsidP="00484385">
      <w:pPr>
        <w:tabs>
          <w:tab w:val="left" w:pos="3765"/>
        </w:tabs>
        <w:spacing w:after="160" w:line="240" w:lineRule="auto"/>
        <w:ind w:left="709" w:hanging="709"/>
        <w:rPr>
          <w:rFonts w:ascii="Arial" w:hAnsi="Arial" w:cs="Arial"/>
        </w:rPr>
      </w:pPr>
    </w:p>
    <w:p w:rsidR="00122FF2" w:rsidRDefault="00122FF2" w:rsidP="00484385">
      <w:pPr>
        <w:tabs>
          <w:tab w:val="left" w:pos="3765"/>
        </w:tabs>
        <w:spacing w:after="160" w:line="240" w:lineRule="auto"/>
        <w:ind w:left="709" w:hanging="709"/>
        <w:rPr>
          <w:rFonts w:ascii="Arial" w:hAnsi="Arial" w:cs="Arial"/>
        </w:rPr>
      </w:pPr>
    </w:p>
    <w:p w:rsidR="009C35B4" w:rsidRDefault="00CA7E47" w:rsidP="00484385">
      <w:pPr>
        <w:tabs>
          <w:tab w:val="left" w:pos="3765"/>
        </w:tabs>
        <w:spacing w:after="160" w:line="240" w:lineRule="auto"/>
        <w:ind w:left="709" w:hanging="709"/>
        <w:rPr>
          <w:rFonts w:ascii="Arial" w:hAnsi="Arial" w:cs="Arial"/>
        </w:rPr>
      </w:pPr>
      <w:r>
        <w:rPr>
          <w:rFonts w:ascii="Arial" w:hAnsi="Arial" w:cs="Arial"/>
        </w:rPr>
        <w:t>3</w:t>
      </w:r>
      <w:r w:rsidR="0034135E" w:rsidRPr="00616004">
        <w:rPr>
          <w:rFonts w:ascii="Arial" w:hAnsi="Arial" w:cs="Arial"/>
        </w:rPr>
        <w:t>.</w:t>
      </w:r>
      <w:r w:rsidR="0000040F">
        <w:rPr>
          <w:rFonts w:ascii="Arial" w:hAnsi="Arial" w:cs="Arial"/>
        </w:rPr>
        <w:t>3</w:t>
      </w:r>
      <w:r w:rsidR="003E1B97">
        <w:rPr>
          <w:rFonts w:ascii="Arial" w:hAnsi="Arial" w:cs="Arial"/>
        </w:rPr>
        <w:tab/>
      </w:r>
      <w:r w:rsidR="0034135E" w:rsidRPr="00616004">
        <w:rPr>
          <w:rFonts w:ascii="Arial" w:hAnsi="Arial" w:cs="Arial"/>
        </w:rPr>
        <w:t>The</w:t>
      </w:r>
      <w:r w:rsidR="00BD55B0" w:rsidRPr="00616004">
        <w:rPr>
          <w:rFonts w:ascii="Arial" w:hAnsi="Arial" w:cs="Arial"/>
        </w:rPr>
        <w:t xml:space="preserve"> table below shows the </w:t>
      </w:r>
      <w:r w:rsidR="00DE1E04" w:rsidRPr="00616004">
        <w:rPr>
          <w:rFonts w:ascii="Arial" w:hAnsi="Arial" w:cs="Arial"/>
        </w:rPr>
        <w:t xml:space="preserve">significant sources of income </w:t>
      </w:r>
      <w:r w:rsidR="00BC1C2E">
        <w:rPr>
          <w:rFonts w:ascii="Arial" w:hAnsi="Arial" w:cs="Arial"/>
        </w:rPr>
        <w:t xml:space="preserve">for chargeable services. It should be noted that the income receivable from the Regulatory Services and Parking Enforcement are not linear and are subject to peaks and troughs throughout the financial year. </w:t>
      </w:r>
      <w:r w:rsidR="00E36578">
        <w:rPr>
          <w:rFonts w:ascii="Arial" w:hAnsi="Arial" w:cs="Arial"/>
        </w:rPr>
        <w:tab/>
      </w:r>
      <w:r w:rsidR="00BC1C2E">
        <w:rPr>
          <w:rFonts w:ascii="Arial" w:hAnsi="Arial" w:cs="Arial"/>
        </w:rPr>
        <w:t>Under Environmental Protection services, trade waste is invoiced to customers half yearly in April and October and garden waste is charged for in one instalment at the beginning of the financial year.</w:t>
      </w:r>
    </w:p>
    <w:p w:rsidR="00122FF2" w:rsidRDefault="00122FF2" w:rsidP="00484385">
      <w:pPr>
        <w:tabs>
          <w:tab w:val="left" w:pos="3765"/>
        </w:tabs>
        <w:spacing w:after="160" w:line="240" w:lineRule="auto"/>
        <w:ind w:left="709" w:hanging="709"/>
        <w:rPr>
          <w:rFonts w:ascii="Arial" w:hAnsi="Arial" w:cs="Arial"/>
        </w:rPr>
      </w:pPr>
    </w:p>
    <w:p w:rsidR="00122FF2" w:rsidRDefault="00122FF2" w:rsidP="00484385">
      <w:pPr>
        <w:tabs>
          <w:tab w:val="left" w:pos="3765"/>
        </w:tabs>
        <w:spacing w:after="160" w:line="240" w:lineRule="auto"/>
        <w:ind w:left="709" w:hanging="709"/>
        <w:rPr>
          <w:rFonts w:ascii="Arial" w:hAnsi="Arial" w:cs="Arial"/>
        </w:rPr>
      </w:pPr>
    </w:p>
    <w:p w:rsidR="00122FF2" w:rsidRDefault="00122FF2" w:rsidP="00484385">
      <w:pPr>
        <w:tabs>
          <w:tab w:val="left" w:pos="3765"/>
        </w:tabs>
        <w:spacing w:after="160" w:line="240" w:lineRule="auto"/>
        <w:ind w:left="709" w:hanging="709"/>
        <w:rPr>
          <w:rFonts w:ascii="Arial" w:hAnsi="Arial" w:cs="Arial"/>
        </w:rPr>
      </w:pPr>
    </w:p>
    <w:p w:rsidR="00122FF2" w:rsidRDefault="00122FF2" w:rsidP="00484385">
      <w:pPr>
        <w:tabs>
          <w:tab w:val="left" w:pos="3765"/>
        </w:tabs>
        <w:spacing w:after="160" w:line="240" w:lineRule="auto"/>
        <w:ind w:left="709" w:hanging="709"/>
        <w:rPr>
          <w:rFonts w:ascii="Arial" w:hAnsi="Arial" w:cs="Arial"/>
        </w:rPr>
      </w:pPr>
    </w:p>
    <w:p w:rsidR="00122FF2" w:rsidRDefault="00122FF2" w:rsidP="00484385">
      <w:pPr>
        <w:tabs>
          <w:tab w:val="left" w:pos="3765"/>
        </w:tabs>
        <w:spacing w:after="160" w:line="240" w:lineRule="auto"/>
        <w:ind w:left="709" w:hanging="709"/>
        <w:rPr>
          <w:rFonts w:ascii="Arial" w:hAnsi="Arial" w:cs="Arial"/>
        </w:rPr>
      </w:pPr>
    </w:p>
    <w:p w:rsidR="00122FF2" w:rsidRDefault="00122FF2" w:rsidP="00484385">
      <w:pPr>
        <w:tabs>
          <w:tab w:val="left" w:pos="3765"/>
        </w:tabs>
        <w:spacing w:after="160" w:line="240" w:lineRule="auto"/>
        <w:ind w:left="709" w:hanging="709"/>
        <w:rPr>
          <w:rFonts w:ascii="Arial" w:hAnsi="Arial" w:cs="Arial"/>
        </w:rPr>
      </w:pPr>
    </w:p>
    <w:tbl>
      <w:tblPr>
        <w:tblStyle w:val="TableGrid"/>
        <w:tblW w:w="8945" w:type="dxa"/>
        <w:tblInd w:w="817" w:type="dxa"/>
        <w:tblLook w:val="04A0" w:firstRow="1" w:lastRow="0" w:firstColumn="1" w:lastColumn="0" w:noHBand="0" w:noVBand="1"/>
      </w:tblPr>
      <w:tblGrid>
        <w:gridCol w:w="1623"/>
        <w:gridCol w:w="1925"/>
        <w:gridCol w:w="1372"/>
        <w:gridCol w:w="1617"/>
        <w:gridCol w:w="1250"/>
        <w:gridCol w:w="1158"/>
      </w:tblGrid>
      <w:tr w:rsidR="00042933" w:rsidRPr="00465F6D" w:rsidTr="00F7282B">
        <w:trPr>
          <w:trHeight w:val="516"/>
        </w:trPr>
        <w:tc>
          <w:tcPr>
            <w:tcW w:w="1623" w:type="dxa"/>
            <w:shd w:val="clear" w:color="auto" w:fill="DDD9C3" w:themeFill="background2" w:themeFillShade="E6"/>
          </w:tcPr>
          <w:p w:rsidR="00BC1C2E" w:rsidRPr="002F5052" w:rsidRDefault="00BC1C2E" w:rsidP="00484385">
            <w:pPr>
              <w:tabs>
                <w:tab w:val="left" w:pos="3765"/>
              </w:tabs>
              <w:rPr>
                <w:rFonts w:ascii="Arial" w:hAnsi="Arial" w:cs="Arial"/>
                <w:b/>
                <w:sz w:val="22"/>
                <w:szCs w:val="22"/>
              </w:rPr>
            </w:pPr>
          </w:p>
          <w:p w:rsidR="00042933" w:rsidRPr="002F5052" w:rsidRDefault="00042933" w:rsidP="00484385">
            <w:pPr>
              <w:tabs>
                <w:tab w:val="left" w:pos="3765"/>
              </w:tabs>
              <w:rPr>
                <w:rFonts w:ascii="Arial" w:hAnsi="Arial" w:cs="Arial"/>
                <w:b/>
                <w:sz w:val="22"/>
                <w:szCs w:val="22"/>
              </w:rPr>
            </w:pPr>
            <w:r w:rsidRPr="002F5052">
              <w:rPr>
                <w:rFonts w:ascii="Arial" w:hAnsi="Arial" w:cs="Arial"/>
                <w:b/>
                <w:sz w:val="22"/>
                <w:szCs w:val="22"/>
              </w:rPr>
              <w:t>Service</w:t>
            </w:r>
          </w:p>
        </w:tc>
        <w:tc>
          <w:tcPr>
            <w:tcW w:w="1925" w:type="dxa"/>
            <w:shd w:val="clear" w:color="auto" w:fill="DDD9C3" w:themeFill="background2" w:themeFillShade="E6"/>
          </w:tcPr>
          <w:p w:rsidR="00BC1C2E" w:rsidRPr="002F5052" w:rsidRDefault="00BC1C2E" w:rsidP="00484385">
            <w:pPr>
              <w:tabs>
                <w:tab w:val="left" w:pos="3765"/>
              </w:tabs>
              <w:rPr>
                <w:rFonts w:ascii="Arial" w:hAnsi="Arial" w:cs="Arial"/>
                <w:b/>
                <w:sz w:val="22"/>
                <w:szCs w:val="22"/>
              </w:rPr>
            </w:pPr>
          </w:p>
          <w:p w:rsidR="00042933" w:rsidRPr="002F5052" w:rsidRDefault="00042933" w:rsidP="00484385">
            <w:pPr>
              <w:tabs>
                <w:tab w:val="left" w:pos="3765"/>
              </w:tabs>
              <w:rPr>
                <w:rFonts w:ascii="Arial" w:hAnsi="Arial" w:cs="Arial"/>
                <w:b/>
                <w:sz w:val="22"/>
                <w:szCs w:val="22"/>
              </w:rPr>
            </w:pPr>
            <w:r w:rsidRPr="002F5052">
              <w:rPr>
                <w:rFonts w:ascii="Arial" w:hAnsi="Arial" w:cs="Arial"/>
                <w:b/>
                <w:sz w:val="22"/>
                <w:szCs w:val="22"/>
              </w:rPr>
              <w:t>Income Stream</w:t>
            </w:r>
          </w:p>
        </w:tc>
        <w:tc>
          <w:tcPr>
            <w:tcW w:w="1372" w:type="dxa"/>
            <w:shd w:val="clear" w:color="auto" w:fill="DDD9C3" w:themeFill="background2" w:themeFillShade="E6"/>
            <w:vAlign w:val="center"/>
          </w:tcPr>
          <w:p w:rsidR="00BC1C2E" w:rsidRPr="002F5052" w:rsidRDefault="00042933" w:rsidP="00484385">
            <w:pPr>
              <w:tabs>
                <w:tab w:val="left" w:pos="3765"/>
              </w:tabs>
              <w:jc w:val="center"/>
              <w:rPr>
                <w:rFonts w:ascii="Arial" w:hAnsi="Arial" w:cs="Arial"/>
                <w:b/>
                <w:sz w:val="22"/>
                <w:szCs w:val="22"/>
              </w:rPr>
            </w:pPr>
            <w:r w:rsidRPr="002F5052">
              <w:rPr>
                <w:rFonts w:ascii="Arial" w:hAnsi="Arial" w:cs="Arial"/>
                <w:b/>
                <w:sz w:val="22"/>
                <w:szCs w:val="22"/>
              </w:rPr>
              <w:t>2017/18 Latest Budget</w:t>
            </w:r>
          </w:p>
          <w:p w:rsidR="00042933" w:rsidRPr="002F5052" w:rsidRDefault="00BC1C2E" w:rsidP="00484385">
            <w:pPr>
              <w:tabs>
                <w:tab w:val="left" w:pos="3765"/>
              </w:tabs>
              <w:jc w:val="center"/>
              <w:rPr>
                <w:rFonts w:ascii="Arial" w:hAnsi="Arial" w:cs="Arial"/>
                <w:b/>
                <w:sz w:val="22"/>
                <w:szCs w:val="22"/>
              </w:rPr>
            </w:pPr>
            <w:r w:rsidRPr="002F5052">
              <w:rPr>
                <w:rFonts w:ascii="Arial" w:hAnsi="Arial" w:cs="Arial"/>
                <w:b/>
                <w:sz w:val="22"/>
                <w:szCs w:val="22"/>
              </w:rPr>
              <w:t>£</w:t>
            </w:r>
          </w:p>
        </w:tc>
        <w:tc>
          <w:tcPr>
            <w:tcW w:w="1617" w:type="dxa"/>
            <w:shd w:val="clear" w:color="auto" w:fill="DDD9C3" w:themeFill="background2" w:themeFillShade="E6"/>
            <w:vAlign w:val="center"/>
          </w:tcPr>
          <w:p w:rsidR="00BC1C2E" w:rsidRPr="002F5052" w:rsidRDefault="00BC1C2E" w:rsidP="00484385">
            <w:pPr>
              <w:tabs>
                <w:tab w:val="left" w:pos="3765"/>
              </w:tabs>
              <w:jc w:val="center"/>
              <w:rPr>
                <w:rFonts w:ascii="Arial" w:hAnsi="Arial" w:cs="Arial"/>
                <w:b/>
                <w:sz w:val="22"/>
                <w:szCs w:val="22"/>
              </w:rPr>
            </w:pPr>
            <w:r w:rsidRPr="002F5052">
              <w:rPr>
                <w:rFonts w:ascii="Arial" w:hAnsi="Arial" w:cs="Arial"/>
                <w:b/>
                <w:sz w:val="22"/>
                <w:szCs w:val="22"/>
              </w:rPr>
              <w:t>2017/18</w:t>
            </w:r>
          </w:p>
          <w:p w:rsidR="00042933" w:rsidRPr="002F5052" w:rsidRDefault="00042933" w:rsidP="00484385">
            <w:pPr>
              <w:tabs>
                <w:tab w:val="left" w:pos="3765"/>
              </w:tabs>
              <w:jc w:val="center"/>
              <w:rPr>
                <w:rFonts w:ascii="Arial" w:hAnsi="Arial" w:cs="Arial"/>
                <w:b/>
                <w:sz w:val="22"/>
                <w:szCs w:val="22"/>
              </w:rPr>
            </w:pPr>
            <w:r w:rsidRPr="002F5052">
              <w:rPr>
                <w:rFonts w:ascii="Arial" w:hAnsi="Arial" w:cs="Arial"/>
                <w:b/>
                <w:sz w:val="22"/>
                <w:szCs w:val="22"/>
              </w:rPr>
              <w:t>Actual to</w:t>
            </w:r>
            <w:r w:rsidR="00195D5D" w:rsidRPr="002F5052">
              <w:rPr>
                <w:rFonts w:ascii="Arial" w:hAnsi="Arial" w:cs="Arial"/>
                <w:b/>
                <w:sz w:val="22"/>
                <w:szCs w:val="22"/>
              </w:rPr>
              <w:t xml:space="preserve"> end of </w:t>
            </w:r>
            <w:r w:rsidR="002F5052">
              <w:rPr>
                <w:rFonts w:ascii="Arial" w:hAnsi="Arial" w:cs="Arial"/>
                <w:b/>
                <w:sz w:val="22"/>
                <w:szCs w:val="22"/>
              </w:rPr>
              <w:t>January</w:t>
            </w:r>
          </w:p>
          <w:p w:rsidR="00BC1C2E" w:rsidRPr="002F5052" w:rsidRDefault="00BC1C2E" w:rsidP="00484385">
            <w:pPr>
              <w:tabs>
                <w:tab w:val="left" w:pos="3765"/>
              </w:tabs>
              <w:jc w:val="center"/>
              <w:rPr>
                <w:rFonts w:ascii="Arial" w:hAnsi="Arial" w:cs="Arial"/>
                <w:b/>
                <w:sz w:val="22"/>
                <w:szCs w:val="22"/>
              </w:rPr>
            </w:pPr>
            <w:r w:rsidRPr="002F5052">
              <w:rPr>
                <w:rFonts w:ascii="Arial" w:hAnsi="Arial" w:cs="Arial"/>
                <w:b/>
                <w:sz w:val="22"/>
                <w:szCs w:val="22"/>
              </w:rPr>
              <w:t>£</w:t>
            </w:r>
          </w:p>
        </w:tc>
        <w:tc>
          <w:tcPr>
            <w:tcW w:w="1250" w:type="dxa"/>
            <w:shd w:val="clear" w:color="auto" w:fill="DDD9C3" w:themeFill="background2" w:themeFillShade="E6"/>
            <w:vAlign w:val="center"/>
          </w:tcPr>
          <w:p w:rsidR="00BC1C2E" w:rsidRPr="002F5052" w:rsidRDefault="00042933" w:rsidP="00484385">
            <w:pPr>
              <w:tabs>
                <w:tab w:val="left" w:pos="3765"/>
              </w:tabs>
              <w:jc w:val="center"/>
              <w:rPr>
                <w:rFonts w:ascii="Arial" w:hAnsi="Arial" w:cs="Arial"/>
                <w:b/>
                <w:sz w:val="24"/>
                <w:szCs w:val="24"/>
              </w:rPr>
            </w:pPr>
            <w:r w:rsidRPr="002F5052">
              <w:rPr>
                <w:rFonts w:ascii="Arial" w:hAnsi="Arial" w:cs="Arial"/>
                <w:b/>
                <w:sz w:val="24"/>
                <w:szCs w:val="24"/>
              </w:rPr>
              <w:t>%</w:t>
            </w:r>
          </w:p>
          <w:p w:rsidR="00042933" w:rsidRPr="002F5052" w:rsidRDefault="00042933" w:rsidP="00484385">
            <w:pPr>
              <w:tabs>
                <w:tab w:val="left" w:pos="3765"/>
              </w:tabs>
              <w:jc w:val="center"/>
              <w:rPr>
                <w:rFonts w:ascii="Arial" w:hAnsi="Arial" w:cs="Arial"/>
                <w:b/>
                <w:sz w:val="22"/>
                <w:szCs w:val="22"/>
              </w:rPr>
            </w:pPr>
            <w:r w:rsidRPr="002F5052">
              <w:rPr>
                <w:rFonts w:ascii="Arial" w:hAnsi="Arial" w:cs="Arial"/>
                <w:b/>
                <w:sz w:val="22"/>
                <w:szCs w:val="22"/>
              </w:rPr>
              <w:t>of</w:t>
            </w:r>
          </w:p>
          <w:p w:rsidR="00042933" w:rsidRPr="002F5052" w:rsidRDefault="00042933" w:rsidP="00484385">
            <w:pPr>
              <w:tabs>
                <w:tab w:val="left" w:pos="3765"/>
              </w:tabs>
              <w:jc w:val="center"/>
              <w:rPr>
                <w:rFonts w:ascii="Arial" w:hAnsi="Arial" w:cs="Arial"/>
                <w:b/>
                <w:sz w:val="22"/>
                <w:szCs w:val="22"/>
              </w:rPr>
            </w:pPr>
            <w:r w:rsidRPr="002F5052">
              <w:rPr>
                <w:rFonts w:ascii="Arial" w:hAnsi="Arial" w:cs="Arial"/>
                <w:b/>
                <w:sz w:val="22"/>
                <w:szCs w:val="22"/>
              </w:rPr>
              <w:t>Income received</w:t>
            </w:r>
          </w:p>
        </w:tc>
        <w:tc>
          <w:tcPr>
            <w:tcW w:w="1158" w:type="dxa"/>
            <w:tcBorders>
              <w:bottom w:val="single" w:sz="4" w:space="0" w:color="auto"/>
            </w:tcBorders>
            <w:shd w:val="clear" w:color="auto" w:fill="DDD9C3" w:themeFill="background2" w:themeFillShade="E6"/>
            <w:vAlign w:val="center"/>
          </w:tcPr>
          <w:p w:rsidR="00BC1C2E" w:rsidRPr="002F5052" w:rsidRDefault="00BC1C2E" w:rsidP="00484385">
            <w:pPr>
              <w:tabs>
                <w:tab w:val="left" w:pos="3765"/>
              </w:tabs>
              <w:ind w:left="-240" w:firstLine="240"/>
              <w:jc w:val="center"/>
              <w:rPr>
                <w:rFonts w:ascii="Arial" w:hAnsi="Arial" w:cs="Arial"/>
                <w:b/>
                <w:sz w:val="22"/>
                <w:szCs w:val="22"/>
              </w:rPr>
            </w:pPr>
            <w:r w:rsidRPr="002F5052">
              <w:rPr>
                <w:rFonts w:ascii="Arial" w:hAnsi="Arial" w:cs="Arial"/>
                <w:b/>
                <w:sz w:val="22"/>
                <w:szCs w:val="22"/>
              </w:rPr>
              <w:t>2017/18</w:t>
            </w:r>
          </w:p>
          <w:p w:rsidR="00042933" w:rsidRPr="002F5052" w:rsidRDefault="00042933" w:rsidP="00484385">
            <w:pPr>
              <w:tabs>
                <w:tab w:val="left" w:pos="3765"/>
              </w:tabs>
              <w:jc w:val="center"/>
              <w:rPr>
                <w:rFonts w:ascii="Arial" w:hAnsi="Arial" w:cs="Arial"/>
                <w:b/>
                <w:sz w:val="22"/>
                <w:szCs w:val="22"/>
              </w:rPr>
            </w:pPr>
            <w:r w:rsidRPr="002F5052">
              <w:rPr>
                <w:rFonts w:ascii="Arial" w:hAnsi="Arial" w:cs="Arial"/>
                <w:b/>
                <w:sz w:val="22"/>
                <w:szCs w:val="22"/>
              </w:rPr>
              <w:t>Forecast Outturn</w:t>
            </w:r>
          </w:p>
          <w:p w:rsidR="00BC1C2E" w:rsidRPr="002F5052" w:rsidRDefault="00BC1C2E" w:rsidP="00484385">
            <w:pPr>
              <w:tabs>
                <w:tab w:val="left" w:pos="3765"/>
              </w:tabs>
              <w:jc w:val="center"/>
              <w:rPr>
                <w:rFonts w:ascii="Arial" w:hAnsi="Arial" w:cs="Arial"/>
                <w:b/>
                <w:sz w:val="22"/>
                <w:szCs w:val="22"/>
              </w:rPr>
            </w:pPr>
            <w:r w:rsidRPr="002F5052">
              <w:rPr>
                <w:rFonts w:ascii="Arial" w:hAnsi="Arial" w:cs="Arial"/>
                <w:b/>
                <w:sz w:val="22"/>
                <w:szCs w:val="22"/>
              </w:rPr>
              <w:t>£</w:t>
            </w:r>
          </w:p>
        </w:tc>
      </w:tr>
      <w:tr w:rsidR="00042933" w:rsidRPr="00465F6D" w:rsidTr="00F7282B">
        <w:trPr>
          <w:trHeight w:val="389"/>
        </w:trPr>
        <w:tc>
          <w:tcPr>
            <w:tcW w:w="1623" w:type="dxa"/>
            <w:vMerge w:val="restart"/>
            <w:vAlign w:val="center"/>
          </w:tcPr>
          <w:p w:rsidR="00042933" w:rsidRPr="0085134A" w:rsidRDefault="00042933"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Regulatory Services</w:t>
            </w:r>
          </w:p>
          <w:p w:rsidR="00042933" w:rsidRPr="0085134A" w:rsidRDefault="00042933" w:rsidP="00484385">
            <w:pPr>
              <w:tabs>
                <w:tab w:val="left" w:pos="3765"/>
              </w:tabs>
              <w:rPr>
                <w:rFonts w:ascii="Arial" w:hAnsi="Arial" w:cs="Arial"/>
                <w:color w:val="000000" w:themeColor="text1"/>
                <w:sz w:val="22"/>
                <w:szCs w:val="22"/>
              </w:rPr>
            </w:pPr>
          </w:p>
        </w:tc>
        <w:tc>
          <w:tcPr>
            <w:tcW w:w="1925" w:type="dxa"/>
            <w:vAlign w:val="center"/>
          </w:tcPr>
          <w:p w:rsidR="00042933" w:rsidRPr="0085134A" w:rsidRDefault="00042933"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Land &amp; Property Charges</w:t>
            </w:r>
          </w:p>
        </w:tc>
        <w:tc>
          <w:tcPr>
            <w:tcW w:w="1372" w:type="dxa"/>
            <w:vAlign w:val="center"/>
          </w:tcPr>
          <w:p w:rsidR="00042933" w:rsidRPr="0085134A" w:rsidRDefault="002F505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(10</w:t>
            </w:r>
            <w:r w:rsidR="00042933" w:rsidRPr="0085134A">
              <w:rPr>
                <w:rFonts w:ascii="Arial" w:hAnsi="Arial" w:cs="Arial"/>
                <w:color w:val="000000" w:themeColor="text1"/>
                <w:sz w:val="22"/>
                <w:szCs w:val="22"/>
              </w:rPr>
              <w:t>0,010)</w:t>
            </w:r>
          </w:p>
        </w:tc>
        <w:tc>
          <w:tcPr>
            <w:tcW w:w="1617" w:type="dxa"/>
            <w:vAlign w:val="center"/>
          </w:tcPr>
          <w:p w:rsidR="00042933" w:rsidRPr="0085134A" w:rsidRDefault="002F505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(85,982</w:t>
            </w:r>
            <w:r w:rsidR="00195D5D" w:rsidRPr="0085134A">
              <w:rPr>
                <w:rFonts w:ascii="Arial" w:hAnsi="Arial" w:cs="Arial"/>
                <w:color w:val="000000" w:themeColor="text1"/>
                <w:sz w:val="22"/>
                <w:szCs w:val="22"/>
              </w:rPr>
              <w:t>)</w:t>
            </w:r>
          </w:p>
        </w:tc>
        <w:tc>
          <w:tcPr>
            <w:tcW w:w="1250" w:type="dxa"/>
            <w:vAlign w:val="center"/>
          </w:tcPr>
          <w:p w:rsidR="00042933" w:rsidRPr="0085134A" w:rsidRDefault="00964B17"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86</w:t>
            </w:r>
            <w:r w:rsidR="00195D5D" w:rsidRPr="0085134A">
              <w:rPr>
                <w:rFonts w:ascii="Arial" w:hAnsi="Arial" w:cs="Arial"/>
                <w:color w:val="000000" w:themeColor="text1"/>
                <w:sz w:val="22"/>
                <w:szCs w:val="22"/>
              </w:rPr>
              <w:t>%</w:t>
            </w:r>
          </w:p>
        </w:tc>
        <w:tc>
          <w:tcPr>
            <w:tcW w:w="1158" w:type="dxa"/>
            <w:shd w:val="clear" w:color="auto" w:fill="auto"/>
            <w:vAlign w:val="center"/>
          </w:tcPr>
          <w:p w:rsidR="00042933" w:rsidRPr="0085134A" w:rsidRDefault="002F505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(10</w:t>
            </w:r>
            <w:r w:rsidR="00042933" w:rsidRPr="0085134A">
              <w:rPr>
                <w:rFonts w:ascii="Arial" w:hAnsi="Arial" w:cs="Arial"/>
                <w:color w:val="000000" w:themeColor="text1"/>
                <w:sz w:val="22"/>
                <w:szCs w:val="22"/>
              </w:rPr>
              <w:t>0,010)</w:t>
            </w:r>
          </w:p>
        </w:tc>
      </w:tr>
      <w:tr w:rsidR="00042933" w:rsidRPr="00465F6D" w:rsidTr="00F7282B">
        <w:trPr>
          <w:trHeight w:val="329"/>
        </w:trPr>
        <w:tc>
          <w:tcPr>
            <w:tcW w:w="1623" w:type="dxa"/>
            <w:vMerge/>
            <w:vAlign w:val="center"/>
          </w:tcPr>
          <w:p w:rsidR="00042933" w:rsidRPr="0085134A" w:rsidRDefault="00042933" w:rsidP="00484385">
            <w:pPr>
              <w:tabs>
                <w:tab w:val="left" w:pos="3765"/>
              </w:tabs>
              <w:rPr>
                <w:rFonts w:ascii="Arial" w:hAnsi="Arial" w:cs="Arial"/>
                <w:color w:val="000000" w:themeColor="text1"/>
                <w:sz w:val="22"/>
                <w:szCs w:val="22"/>
              </w:rPr>
            </w:pPr>
          </w:p>
        </w:tc>
        <w:tc>
          <w:tcPr>
            <w:tcW w:w="1925" w:type="dxa"/>
            <w:vAlign w:val="center"/>
          </w:tcPr>
          <w:p w:rsidR="00042933" w:rsidRPr="0085134A" w:rsidRDefault="00042933"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Application Fees</w:t>
            </w:r>
          </w:p>
          <w:p w:rsidR="00042933" w:rsidRPr="0085134A" w:rsidRDefault="00042933" w:rsidP="00484385">
            <w:pPr>
              <w:tabs>
                <w:tab w:val="left" w:pos="3765"/>
              </w:tabs>
              <w:rPr>
                <w:rFonts w:ascii="Arial" w:hAnsi="Arial" w:cs="Arial"/>
                <w:color w:val="000000" w:themeColor="text1"/>
                <w:sz w:val="22"/>
                <w:szCs w:val="22"/>
              </w:rPr>
            </w:pPr>
          </w:p>
        </w:tc>
        <w:tc>
          <w:tcPr>
            <w:tcW w:w="1372" w:type="dxa"/>
            <w:vAlign w:val="center"/>
          </w:tcPr>
          <w:p w:rsidR="00042933" w:rsidRPr="0085134A" w:rsidRDefault="002F505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(580,210</w:t>
            </w:r>
            <w:r w:rsidR="00042933" w:rsidRPr="0085134A">
              <w:rPr>
                <w:rFonts w:ascii="Arial" w:hAnsi="Arial" w:cs="Arial"/>
                <w:color w:val="000000" w:themeColor="text1"/>
                <w:sz w:val="22"/>
                <w:szCs w:val="22"/>
              </w:rPr>
              <w:t>)</w:t>
            </w:r>
          </w:p>
        </w:tc>
        <w:tc>
          <w:tcPr>
            <w:tcW w:w="1617" w:type="dxa"/>
            <w:vAlign w:val="center"/>
          </w:tcPr>
          <w:p w:rsidR="00042933" w:rsidRPr="0085134A" w:rsidRDefault="002F505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(469,945</w:t>
            </w:r>
            <w:r w:rsidR="00195D5D" w:rsidRPr="0085134A">
              <w:rPr>
                <w:rFonts w:ascii="Arial" w:hAnsi="Arial" w:cs="Arial"/>
                <w:color w:val="000000" w:themeColor="text1"/>
                <w:sz w:val="22"/>
                <w:szCs w:val="22"/>
              </w:rPr>
              <w:t>)</w:t>
            </w:r>
          </w:p>
        </w:tc>
        <w:tc>
          <w:tcPr>
            <w:tcW w:w="1250" w:type="dxa"/>
            <w:vAlign w:val="center"/>
          </w:tcPr>
          <w:p w:rsidR="00042933" w:rsidRPr="0085134A" w:rsidRDefault="00964B17"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81</w:t>
            </w:r>
            <w:r w:rsidR="00195D5D" w:rsidRPr="0085134A">
              <w:rPr>
                <w:rFonts w:ascii="Arial" w:hAnsi="Arial" w:cs="Arial"/>
                <w:color w:val="000000" w:themeColor="text1"/>
                <w:sz w:val="22"/>
                <w:szCs w:val="22"/>
              </w:rPr>
              <w:t>%</w:t>
            </w:r>
          </w:p>
        </w:tc>
        <w:tc>
          <w:tcPr>
            <w:tcW w:w="1158" w:type="dxa"/>
            <w:shd w:val="clear" w:color="auto" w:fill="auto"/>
            <w:vAlign w:val="center"/>
          </w:tcPr>
          <w:p w:rsidR="00042933" w:rsidRPr="0085134A" w:rsidRDefault="002F505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(580,210</w:t>
            </w:r>
            <w:r w:rsidR="00042933" w:rsidRPr="0085134A">
              <w:rPr>
                <w:rFonts w:ascii="Arial" w:hAnsi="Arial" w:cs="Arial"/>
                <w:color w:val="000000" w:themeColor="text1"/>
                <w:sz w:val="22"/>
                <w:szCs w:val="22"/>
              </w:rPr>
              <w:t>)</w:t>
            </w:r>
          </w:p>
        </w:tc>
      </w:tr>
      <w:tr w:rsidR="00AF7EA5" w:rsidRPr="00465F6D" w:rsidTr="00F7282B">
        <w:trPr>
          <w:trHeight w:val="521"/>
        </w:trPr>
        <w:tc>
          <w:tcPr>
            <w:tcW w:w="1623" w:type="dxa"/>
            <w:vMerge w:val="restart"/>
            <w:vAlign w:val="center"/>
          </w:tcPr>
          <w:p w:rsidR="00AF7EA5" w:rsidRPr="0085134A" w:rsidRDefault="00AF7EA5"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Parking Enforcement</w:t>
            </w:r>
          </w:p>
          <w:p w:rsidR="00AF7EA5" w:rsidRPr="0085134A" w:rsidRDefault="00AF7EA5" w:rsidP="00484385">
            <w:pPr>
              <w:tabs>
                <w:tab w:val="left" w:pos="3765"/>
              </w:tabs>
              <w:rPr>
                <w:rFonts w:ascii="Arial" w:hAnsi="Arial" w:cs="Arial"/>
                <w:color w:val="000000" w:themeColor="text1"/>
                <w:sz w:val="22"/>
                <w:szCs w:val="22"/>
              </w:rPr>
            </w:pPr>
          </w:p>
        </w:tc>
        <w:tc>
          <w:tcPr>
            <w:tcW w:w="1925" w:type="dxa"/>
            <w:vAlign w:val="center"/>
          </w:tcPr>
          <w:p w:rsidR="00AF7EA5" w:rsidRPr="0085134A" w:rsidRDefault="00AF7EA5"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Penalty Charge Notices</w:t>
            </w:r>
          </w:p>
        </w:tc>
        <w:tc>
          <w:tcPr>
            <w:tcW w:w="1372" w:type="dxa"/>
            <w:vAlign w:val="center"/>
          </w:tcPr>
          <w:p w:rsidR="00AF7EA5" w:rsidRPr="0085134A" w:rsidRDefault="00AF7EA5"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(200,000)</w:t>
            </w:r>
          </w:p>
        </w:tc>
        <w:tc>
          <w:tcPr>
            <w:tcW w:w="1617" w:type="dxa"/>
            <w:vAlign w:val="center"/>
          </w:tcPr>
          <w:p w:rsidR="00AF7EA5" w:rsidRPr="0085134A" w:rsidRDefault="0041253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(189,229</w:t>
            </w:r>
            <w:r w:rsidR="00AF7EA5" w:rsidRPr="0085134A">
              <w:rPr>
                <w:rFonts w:ascii="Arial" w:hAnsi="Arial" w:cs="Arial"/>
                <w:color w:val="000000" w:themeColor="text1"/>
                <w:sz w:val="22"/>
                <w:szCs w:val="22"/>
              </w:rPr>
              <w:t>)</w:t>
            </w:r>
          </w:p>
        </w:tc>
        <w:tc>
          <w:tcPr>
            <w:tcW w:w="1250" w:type="dxa"/>
            <w:vAlign w:val="center"/>
          </w:tcPr>
          <w:p w:rsidR="00AF7EA5" w:rsidRPr="0085134A" w:rsidRDefault="00964B17"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95</w:t>
            </w:r>
            <w:r w:rsidR="00AF7EA5" w:rsidRPr="0085134A">
              <w:rPr>
                <w:rFonts w:ascii="Arial" w:hAnsi="Arial" w:cs="Arial"/>
                <w:color w:val="000000" w:themeColor="text1"/>
                <w:sz w:val="22"/>
                <w:szCs w:val="22"/>
              </w:rPr>
              <w:t>%</w:t>
            </w:r>
          </w:p>
        </w:tc>
        <w:tc>
          <w:tcPr>
            <w:tcW w:w="1158" w:type="dxa"/>
            <w:shd w:val="clear" w:color="auto" w:fill="auto"/>
            <w:vAlign w:val="center"/>
          </w:tcPr>
          <w:p w:rsidR="00AF7EA5" w:rsidRPr="0085134A" w:rsidRDefault="00AF7EA5"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(200,000)</w:t>
            </w:r>
          </w:p>
        </w:tc>
      </w:tr>
      <w:tr w:rsidR="00AF7EA5" w:rsidRPr="00465F6D" w:rsidTr="00F7282B">
        <w:trPr>
          <w:trHeight w:val="160"/>
        </w:trPr>
        <w:tc>
          <w:tcPr>
            <w:tcW w:w="1623" w:type="dxa"/>
            <w:vMerge/>
            <w:vAlign w:val="center"/>
          </w:tcPr>
          <w:p w:rsidR="00AF7EA5" w:rsidRPr="0085134A" w:rsidRDefault="00AF7EA5" w:rsidP="00484385">
            <w:pPr>
              <w:tabs>
                <w:tab w:val="left" w:pos="3765"/>
              </w:tabs>
              <w:rPr>
                <w:rFonts w:ascii="Arial" w:hAnsi="Arial" w:cs="Arial"/>
                <w:color w:val="000000" w:themeColor="text1"/>
                <w:sz w:val="22"/>
                <w:szCs w:val="22"/>
              </w:rPr>
            </w:pPr>
          </w:p>
        </w:tc>
        <w:tc>
          <w:tcPr>
            <w:tcW w:w="1925" w:type="dxa"/>
            <w:vAlign w:val="center"/>
          </w:tcPr>
          <w:p w:rsidR="00AF7EA5" w:rsidRPr="0085134A" w:rsidRDefault="00AF7EA5"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Long term Pay and Display</w:t>
            </w:r>
          </w:p>
        </w:tc>
        <w:tc>
          <w:tcPr>
            <w:tcW w:w="1372" w:type="dxa"/>
            <w:vAlign w:val="center"/>
          </w:tcPr>
          <w:p w:rsidR="00AF7EA5" w:rsidRPr="0085134A" w:rsidRDefault="00AF7EA5"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(104,650)</w:t>
            </w:r>
          </w:p>
        </w:tc>
        <w:tc>
          <w:tcPr>
            <w:tcW w:w="1617" w:type="dxa"/>
            <w:vAlign w:val="center"/>
          </w:tcPr>
          <w:p w:rsidR="00AF7EA5" w:rsidRPr="0085134A" w:rsidRDefault="0041253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(95,497)</w:t>
            </w:r>
          </w:p>
        </w:tc>
        <w:tc>
          <w:tcPr>
            <w:tcW w:w="1250" w:type="dxa"/>
            <w:vAlign w:val="center"/>
          </w:tcPr>
          <w:p w:rsidR="00AF7EA5" w:rsidRPr="0085134A" w:rsidRDefault="00964B17"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91</w:t>
            </w:r>
            <w:r w:rsidR="00AF7EA5" w:rsidRPr="0085134A">
              <w:rPr>
                <w:rFonts w:ascii="Arial" w:hAnsi="Arial" w:cs="Arial"/>
                <w:color w:val="000000" w:themeColor="text1"/>
                <w:sz w:val="22"/>
                <w:szCs w:val="22"/>
              </w:rPr>
              <w:t>%</w:t>
            </w:r>
          </w:p>
        </w:tc>
        <w:tc>
          <w:tcPr>
            <w:tcW w:w="1158" w:type="dxa"/>
            <w:shd w:val="clear" w:color="auto" w:fill="auto"/>
            <w:vAlign w:val="center"/>
          </w:tcPr>
          <w:p w:rsidR="00AF7EA5" w:rsidRPr="0085134A" w:rsidRDefault="00AF7EA5"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(104,650</w:t>
            </w:r>
            <w:r w:rsidR="00412532" w:rsidRPr="0085134A">
              <w:rPr>
                <w:rFonts w:ascii="Arial" w:hAnsi="Arial" w:cs="Arial"/>
                <w:color w:val="000000" w:themeColor="text1"/>
                <w:sz w:val="22"/>
                <w:szCs w:val="22"/>
              </w:rPr>
              <w:t>)</w:t>
            </w:r>
          </w:p>
        </w:tc>
      </w:tr>
      <w:tr w:rsidR="00042933" w:rsidRPr="00465F6D" w:rsidTr="00F7282B">
        <w:trPr>
          <w:trHeight w:val="366"/>
        </w:trPr>
        <w:tc>
          <w:tcPr>
            <w:tcW w:w="1623" w:type="dxa"/>
            <w:vMerge w:val="restart"/>
            <w:vAlign w:val="center"/>
          </w:tcPr>
          <w:p w:rsidR="00042933" w:rsidRPr="0085134A" w:rsidRDefault="00042933"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Environmental Protection</w:t>
            </w:r>
          </w:p>
        </w:tc>
        <w:tc>
          <w:tcPr>
            <w:tcW w:w="1925" w:type="dxa"/>
            <w:vAlign w:val="center"/>
          </w:tcPr>
          <w:p w:rsidR="00042933" w:rsidRPr="0085134A" w:rsidRDefault="00042933"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Trade Refuse</w:t>
            </w:r>
          </w:p>
        </w:tc>
        <w:tc>
          <w:tcPr>
            <w:tcW w:w="1372" w:type="dxa"/>
            <w:vAlign w:val="center"/>
          </w:tcPr>
          <w:p w:rsidR="00042933" w:rsidRPr="0085134A" w:rsidRDefault="00042933"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(578,020)</w:t>
            </w:r>
          </w:p>
        </w:tc>
        <w:tc>
          <w:tcPr>
            <w:tcW w:w="1617" w:type="dxa"/>
            <w:vAlign w:val="center"/>
          </w:tcPr>
          <w:p w:rsidR="00042933" w:rsidRPr="0085134A" w:rsidRDefault="00412532"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(542,643)</w:t>
            </w:r>
          </w:p>
        </w:tc>
        <w:tc>
          <w:tcPr>
            <w:tcW w:w="1250" w:type="dxa"/>
            <w:vAlign w:val="center"/>
          </w:tcPr>
          <w:p w:rsidR="00042933" w:rsidRPr="0085134A" w:rsidRDefault="00271745"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94</w:t>
            </w:r>
            <w:r w:rsidR="000833F1" w:rsidRPr="0085134A">
              <w:rPr>
                <w:rFonts w:ascii="Arial" w:hAnsi="Arial" w:cs="Arial"/>
                <w:color w:val="000000" w:themeColor="text1"/>
                <w:sz w:val="22"/>
                <w:szCs w:val="22"/>
              </w:rPr>
              <w:t>%</w:t>
            </w:r>
          </w:p>
        </w:tc>
        <w:tc>
          <w:tcPr>
            <w:tcW w:w="1158" w:type="dxa"/>
            <w:shd w:val="clear" w:color="auto" w:fill="auto"/>
            <w:vAlign w:val="center"/>
          </w:tcPr>
          <w:p w:rsidR="00042933" w:rsidRPr="0085134A" w:rsidRDefault="00042933"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w:t>
            </w:r>
            <w:r w:rsidR="00271745" w:rsidRPr="0085134A">
              <w:rPr>
                <w:rFonts w:ascii="Arial" w:hAnsi="Arial" w:cs="Arial"/>
                <w:color w:val="000000" w:themeColor="text1"/>
                <w:sz w:val="22"/>
                <w:szCs w:val="22"/>
              </w:rPr>
              <w:t>578,020</w:t>
            </w:r>
            <w:r w:rsidRPr="0085134A">
              <w:rPr>
                <w:rFonts w:ascii="Arial" w:hAnsi="Arial" w:cs="Arial"/>
                <w:color w:val="000000" w:themeColor="text1"/>
                <w:sz w:val="22"/>
                <w:szCs w:val="22"/>
              </w:rPr>
              <w:t>)</w:t>
            </w:r>
          </w:p>
        </w:tc>
      </w:tr>
      <w:tr w:rsidR="00042933" w:rsidRPr="00465F6D" w:rsidTr="009C35B4">
        <w:trPr>
          <w:trHeight w:val="460"/>
        </w:trPr>
        <w:tc>
          <w:tcPr>
            <w:tcW w:w="1623" w:type="dxa"/>
            <w:vMerge/>
            <w:vAlign w:val="center"/>
          </w:tcPr>
          <w:p w:rsidR="00042933" w:rsidRPr="0085134A" w:rsidRDefault="00042933" w:rsidP="00484385">
            <w:pPr>
              <w:tabs>
                <w:tab w:val="left" w:pos="3765"/>
              </w:tabs>
              <w:rPr>
                <w:rFonts w:ascii="Arial" w:hAnsi="Arial" w:cs="Arial"/>
                <w:b/>
                <w:color w:val="000000" w:themeColor="text1"/>
                <w:sz w:val="22"/>
                <w:szCs w:val="22"/>
              </w:rPr>
            </w:pPr>
          </w:p>
        </w:tc>
        <w:tc>
          <w:tcPr>
            <w:tcW w:w="1925" w:type="dxa"/>
            <w:vAlign w:val="center"/>
          </w:tcPr>
          <w:p w:rsidR="00042933" w:rsidRPr="0085134A" w:rsidRDefault="00042933"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Garden Waste</w:t>
            </w:r>
          </w:p>
        </w:tc>
        <w:tc>
          <w:tcPr>
            <w:tcW w:w="1372" w:type="dxa"/>
            <w:vAlign w:val="center"/>
          </w:tcPr>
          <w:p w:rsidR="00042933" w:rsidRPr="0085134A" w:rsidRDefault="00964B17"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(841</w:t>
            </w:r>
            <w:r w:rsidR="00042933" w:rsidRPr="0085134A">
              <w:rPr>
                <w:rFonts w:ascii="Arial" w:hAnsi="Arial" w:cs="Arial"/>
                <w:color w:val="000000" w:themeColor="text1"/>
                <w:sz w:val="22"/>
                <w:szCs w:val="22"/>
              </w:rPr>
              <w:t>,000)</w:t>
            </w:r>
          </w:p>
        </w:tc>
        <w:tc>
          <w:tcPr>
            <w:tcW w:w="1617" w:type="dxa"/>
            <w:vAlign w:val="center"/>
          </w:tcPr>
          <w:p w:rsidR="00042933" w:rsidRPr="0085134A" w:rsidRDefault="00964B17"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(845,024)</w:t>
            </w:r>
          </w:p>
        </w:tc>
        <w:tc>
          <w:tcPr>
            <w:tcW w:w="1250" w:type="dxa"/>
            <w:vAlign w:val="center"/>
          </w:tcPr>
          <w:p w:rsidR="00042933" w:rsidRPr="0085134A" w:rsidRDefault="000833F1"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101%</w:t>
            </w:r>
          </w:p>
        </w:tc>
        <w:tc>
          <w:tcPr>
            <w:tcW w:w="1158" w:type="dxa"/>
            <w:shd w:val="clear" w:color="auto" w:fill="auto"/>
            <w:vAlign w:val="center"/>
          </w:tcPr>
          <w:p w:rsidR="00042933" w:rsidRPr="0085134A" w:rsidRDefault="00AF7EA5" w:rsidP="00484385">
            <w:pPr>
              <w:tabs>
                <w:tab w:val="left" w:pos="3765"/>
              </w:tabs>
              <w:jc w:val="center"/>
              <w:rPr>
                <w:rFonts w:ascii="Arial" w:hAnsi="Arial" w:cs="Arial"/>
                <w:color w:val="000000" w:themeColor="text1"/>
                <w:sz w:val="22"/>
                <w:szCs w:val="22"/>
              </w:rPr>
            </w:pPr>
            <w:r w:rsidRPr="0085134A">
              <w:rPr>
                <w:rFonts w:ascii="Arial" w:hAnsi="Arial" w:cs="Arial"/>
                <w:color w:val="000000" w:themeColor="text1"/>
                <w:sz w:val="22"/>
                <w:szCs w:val="22"/>
              </w:rPr>
              <w:t>(</w:t>
            </w:r>
            <w:r w:rsidR="00753F30" w:rsidRPr="0085134A">
              <w:rPr>
                <w:rFonts w:ascii="Arial" w:hAnsi="Arial" w:cs="Arial"/>
                <w:color w:val="000000" w:themeColor="text1"/>
                <w:sz w:val="22"/>
                <w:szCs w:val="22"/>
              </w:rPr>
              <w:t>841,000</w:t>
            </w:r>
            <w:r w:rsidR="00042933" w:rsidRPr="0085134A">
              <w:rPr>
                <w:rFonts w:ascii="Arial" w:hAnsi="Arial" w:cs="Arial"/>
                <w:color w:val="000000" w:themeColor="text1"/>
                <w:sz w:val="22"/>
                <w:szCs w:val="22"/>
              </w:rPr>
              <w:t>)</w:t>
            </w:r>
          </w:p>
        </w:tc>
      </w:tr>
      <w:tr w:rsidR="00DC5899" w:rsidRPr="00616004" w:rsidTr="00F7282B">
        <w:trPr>
          <w:trHeight w:val="160"/>
        </w:trPr>
        <w:tc>
          <w:tcPr>
            <w:tcW w:w="1623" w:type="dxa"/>
            <w:shd w:val="clear" w:color="auto" w:fill="auto"/>
            <w:vAlign w:val="center"/>
          </w:tcPr>
          <w:p w:rsidR="00DC5899" w:rsidRPr="00D51126" w:rsidRDefault="005E514F" w:rsidP="00484385">
            <w:pPr>
              <w:tabs>
                <w:tab w:val="left" w:pos="3765"/>
              </w:tabs>
              <w:rPr>
                <w:rFonts w:ascii="Arial" w:hAnsi="Arial" w:cs="Arial"/>
                <w:sz w:val="22"/>
                <w:szCs w:val="22"/>
              </w:rPr>
            </w:pPr>
            <w:r w:rsidRPr="00D51126">
              <w:rPr>
                <w:rFonts w:ascii="Arial" w:hAnsi="Arial" w:cs="Arial"/>
                <w:sz w:val="22"/>
                <w:szCs w:val="22"/>
              </w:rPr>
              <w:t>Property Services</w:t>
            </w:r>
          </w:p>
        </w:tc>
        <w:tc>
          <w:tcPr>
            <w:tcW w:w="1925" w:type="dxa"/>
            <w:shd w:val="clear" w:color="auto" w:fill="auto"/>
            <w:vAlign w:val="center"/>
          </w:tcPr>
          <w:p w:rsidR="00DC5899" w:rsidRPr="00D51126" w:rsidRDefault="005E514F" w:rsidP="00484385">
            <w:pPr>
              <w:tabs>
                <w:tab w:val="left" w:pos="3765"/>
              </w:tabs>
              <w:rPr>
                <w:rFonts w:ascii="Arial" w:hAnsi="Arial" w:cs="Arial"/>
              </w:rPr>
            </w:pPr>
            <w:r w:rsidRPr="00D51126">
              <w:rPr>
                <w:rFonts w:ascii="Arial" w:hAnsi="Arial" w:cs="Arial"/>
                <w:sz w:val="22"/>
                <w:szCs w:val="22"/>
              </w:rPr>
              <w:t>Property Investment Income</w:t>
            </w:r>
          </w:p>
        </w:tc>
        <w:tc>
          <w:tcPr>
            <w:tcW w:w="1372" w:type="dxa"/>
            <w:shd w:val="clear" w:color="auto" w:fill="auto"/>
            <w:vAlign w:val="center"/>
          </w:tcPr>
          <w:p w:rsidR="00DC5899" w:rsidRPr="00D51126" w:rsidRDefault="00D51126" w:rsidP="00484385">
            <w:pPr>
              <w:tabs>
                <w:tab w:val="left" w:pos="3765"/>
              </w:tabs>
              <w:jc w:val="center"/>
              <w:rPr>
                <w:rFonts w:ascii="Arial" w:hAnsi="Arial" w:cs="Arial"/>
                <w:sz w:val="22"/>
                <w:szCs w:val="22"/>
              </w:rPr>
            </w:pPr>
            <w:r w:rsidRPr="00D51126">
              <w:rPr>
                <w:rFonts w:ascii="Arial" w:hAnsi="Arial" w:cs="Arial"/>
                <w:sz w:val="22"/>
                <w:szCs w:val="22"/>
              </w:rPr>
              <w:t>(365</w:t>
            </w:r>
            <w:r w:rsidR="005E514F" w:rsidRPr="00D51126">
              <w:rPr>
                <w:rFonts w:ascii="Arial" w:hAnsi="Arial" w:cs="Arial"/>
                <w:sz w:val="22"/>
                <w:szCs w:val="22"/>
              </w:rPr>
              <w:t>,000)</w:t>
            </w:r>
          </w:p>
        </w:tc>
        <w:tc>
          <w:tcPr>
            <w:tcW w:w="1617" w:type="dxa"/>
            <w:shd w:val="clear" w:color="auto" w:fill="auto"/>
            <w:vAlign w:val="center"/>
          </w:tcPr>
          <w:p w:rsidR="00DC5899" w:rsidRPr="00D51126" w:rsidRDefault="00311200" w:rsidP="00311200">
            <w:pPr>
              <w:tabs>
                <w:tab w:val="left" w:pos="3765"/>
              </w:tabs>
              <w:jc w:val="center"/>
              <w:rPr>
                <w:rFonts w:ascii="Arial" w:hAnsi="Arial" w:cs="Arial"/>
                <w:sz w:val="22"/>
                <w:szCs w:val="22"/>
              </w:rPr>
            </w:pPr>
            <w:r>
              <w:rPr>
                <w:rFonts w:ascii="Arial" w:hAnsi="Arial" w:cs="Arial"/>
                <w:sz w:val="22"/>
                <w:szCs w:val="22"/>
              </w:rPr>
              <w:t>0</w:t>
            </w:r>
          </w:p>
        </w:tc>
        <w:tc>
          <w:tcPr>
            <w:tcW w:w="1250" w:type="dxa"/>
            <w:shd w:val="clear" w:color="auto" w:fill="auto"/>
            <w:vAlign w:val="center"/>
          </w:tcPr>
          <w:p w:rsidR="00DC5899" w:rsidRPr="00D51126" w:rsidRDefault="000A248E" w:rsidP="00484385">
            <w:pPr>
              <w:tabs>
                <w:tab w:val="left" w:pos="3765"/>
              </w:tabs>
              <w:jc w:val="center"/>
              <w:rPr>
                <w:rFonts w:ascii="Arial" w:hAnsi="Arial" w:cs="Arial"/>
                <w:sz w:val="22"/>
                <w:szCs w:val="22"/>
              </w:rPr>
            </w:pPr>
            <w:r>
              <w:rPr>
                <w:rFonts w:ascii="Arial" w:hAnsi="Arial" w:cs="Arial"/>
                <w:sz w:val="22"/>
                <w:szCs w:val="22"/>
              </w:rPr>
              <w:t>0</w:t>
            </w:r>
          </w:p>
        </w:tc>
        <w:tc>
          <w:tcPr>
            <w:tcW w:w="1158" w:type="dxa"/>
            <w:shd w:val="clear" w:color="auto" w:fill="auto"/>
            <w:vAlign w:val="center"/>
          </w:tcPr>
          <w:p w:rsidR="00DC5899" w:rsidRPr="00D51126" w:rsidRDefault="00311200" w:rsidP="00484385">
            <w:pPr>
              <w:tabs>
                <w:tab w:val="left" w:pos="3765"/>
              </w:tabs>
              <w:jc w:val="center"/>
              <w:rPr>
                <w:rFonts w:ascii="Arial" w:hAnsi="Arial" w:cs="Arial"/>
                <w:sz w:val="22"/>
                <w:szCs w:val="22"/>
              </w:rPr>
            </w:pPr>
            <w:r>
              <w:rPr>
                <w:rFonts w:ascii="Arial" w:hAnsi="Arial" w:cs="Arial"/>
                <w:sz w:val="22"/>
                <w:szCs w:val="22"/>
              </w:rPr>
              <w:t>(150,300)</w:t>
            </w:r>
          </w:p>
        </w:tc>
      </w:tr>
    </w:tbl>
    <w:p w:rsidR="00C32642" w:rsidRDefault="00C32642" w:rsidP="00484385">
      <w:pPr>
        <w:tabs>
          <w:tab w:val="left" w:pos="709"/>
          <w:tab w:val="left" w:pos="1980"/>
          <w:tab w:val="left" w:pos="2700"/>
          <w:tab w:val="left" w:pos="3420"/>
        </w:tabs>
        <w:spacing w:after="0" w:line="240" w:lineRule="auto"/>
        <w:ind w:left="709" w:hanging="709"/>
        <w:jc w:val="both"/>
        <w:rPr>
          <w:rFonts w:ascii="Arial" w:eastAsia="Times New Roman" w:hAnsi="Arial" w:cs="Arial"/>
          <w:lang w:eastAsia="en-GB"/>
        </w:rPr>
      </w:pPr>
    </w:p>
    <w:p w:rsidR="000D048F" w:rsidRDefault="009B0180" w:rsidP="00484385">
      <w:pPr>
        <w:tabs>
          <w:tab w:val="left" w:pos="709"/>
          <w:tab w:val="left" w:pos="1980"/>
          <w:tab w:val="left" w:pos="2700"/>
          <w:tab w:val="left" w:pos="3420"/>
        </w:tabs>
        <w:spacing w:after="0" w:line="240" w:lineRule="auto"/>
        <w:ind w:left="709" w:hanging="709"/>
        <w:jc w:val="both"/>
        <w:rPr>
          <w:rFonts w:ascii="Arial" w:eastAsia="Times New Roman" w:hAnsi="Arial" w:cs="Arial"/>
          <w:lang w:eastAsia="en-GB"/>
        </w:rPr>
      </w:pPr>
      <w:r>
        <w:rPr>
          <w:rFonts w:ascii="Arial" w:eastAsia="Times New Roman" w:hAnsi="Arial" w:cs="Arial"/>
          <w:lang w:eastAsia="en-GB"/>
        </w:rPr>
        <w:t>3</w:t>
      </w:r>
      <w:r w:rsidR="00BB3415" w:rsidRPr="00CA7E47">
        <w:rPr>
          <w:rFonts w:ascii="Arial" w:eastAsia="Times New Roman" w:hAnsi="Arial" w:cs="Arial"/>
          <w:lang w:eastAsia="en-GB"/>
        </w:rPr>
        <w:t>.</w:t>
      </w:r>
      <w:r w:rsidR="0000040F">
        <w:rPr>
          <w:rFonts w:ascii="Arial" w:eastAsia="Times New Roman" w:hAnsi="Arial" w:cs="Arial"/>
          <w:lang w:eastAsia="en-GB"/>
        </w:rPr>
        <w:t>4</w:t>
      </w:r>
      <w:r w:rsidR="00BB3415">
        <w:rPr>
          <w:rFonts w:ascii="Arial" w:eastAsia="Times New Roman" w:hAnsi="Arial" w:cs="Arial"/>
          <w:b/>
          <w:lang w:eastAsia="en-GB"/>
        </w:rPr>
        <w:tab/>
      </w:r>
      <w:r w:rsidR="00CA7E47">
        <w:rPr>
          <w:rFonts w:ascii="Arial" w:eastAsia="Times New Roman" w:hAnsi="Arial" w:cs="Arial"/>
          <w:lang w:eastAsia="en-GB"/>
        </w:rPr>
        <w:t xml:space="preserve">Further details on the </w:t>
      </w:r>
      <w:r w:rsidR="00BB3415" w:rsidRPr="001630AE">
        <w:rPr>
          <w:rFonts w:ascii="Arial" w:eastAsia="Times New Roman" w:hAnsi="Arial" w:cs="Arial"/>
          <w:lang w:eastAsia="en-GB"/>
        </w:rPr>
        <w:t>Council’s key budget indicators</w:t>
      </w:r>
      <w:r w:rsidR="00CA7E47">
        <w:rPr>
          <w:rFonts w:ascii="Arial" w:eastAsia="Times New Roman" w:hAnsi="Arial" w:cs="Arial"/>
          <w:lang w:eastAsia="en-GB"/>
        </w:rPr>
        <w:t xml:space="preserve"> for revenue service income </w:t>
      </w:r>
      <w:r>
        <w:rPr>
          <w:rFonts w:ascii="Arial" w:eastAsia="Times New Roman" w:hAnsi="Arial" w:cs="Arial"/>
          <w:lang w:eastAsia="en-GB"/>
        </w:rPr>
        <w:t>streams (including volumes and trends) are</w:t>
      </w:r>
      <w:r w:rsidR="004B7970">
        <w:rPr>
          <w:rFonts w:ascii="Arial" w:eastAsia="Times New Roman" w:hAnsi="Arial" w:cs="Arial"/>
          <w:lang w:eastAsia="en-GB"/>
        </w:rPr>
        <w:t xml:space="preserve"> shown at </w:t>
      </w:r>
      <w:r w:rsidR="001630AE" w:rsidRPr="001630AE">
        <w:rPr>
          <w:rFonts w:ascii="Arial" w:eastAsia="Times New Roman" w:hAnsi="Arial" w:cs="Arial"/>
          <w:b/>
          <w:lang w:eastAsia="en-GB"/>
        </w:rPr>
        <w:t xml:space="preserve">Appendix </w:t>
      </w:r>
      <w:r w:rsidR="004B7970">
        <w:rPr>
          <w:rFonts w:ascii="Arial" w:eastAsia="Times New Roman" w:hAnsi="Arial" w:cs="Arial"/>
          <w:b/>
          <w:lang w:eastAsia="en-GB"/>
        </w:rPr>
        <w:t>6</w:t>
      </w:r>
    </w:p>
    <w:p w:rsidR="00D14EF7" w:rsidRDefault="00D14EF7" w:rsidP="00484385">
      <w:pPr>
        <w:tabs>
          <w:tab w:val="left" w:pos="709"/>
        </w:tabs>
        <w:spacing w:after="160" w:line="240" w:lineRule="auto"/>
        <w:rPr>
          <w:rFonts w:ascii="Arial" w:hAnsi="Arial" w:cs="Arial"/>
          <w:b/>
        </w:rPr>
      </w:pPr>
    </w:p>
    <w:p w:rsidR="00487F33" w:rsidRPr="00616004" w:rsidRDefault="00892150" w:rsidP="00484385">
      <w:pPr>
        <w:tabs>
          <w:tab w:val="left" w:pos="709"/>
        </w:tabs>
        <w:spacing w:after="160" w:line="240" w:lineRule="auto"/>
        <w:rPr>
          <w:rFonts w:ascii="Arial" w:hAnsi="Arial" w:cs="Arial"/>
          <w:b/>
        </w:rPr>
      </w:pPr>
      <w:r w:rsidRPr="00892150">
        <w:rPr>
          <w:rFonts w:ascii="Arial" w:hAnsi="Arial" w:cs="Arial"/>
          <w:b/>
        </w:rPr>
        <w:t>4</w:t>
      </w:r>
      <w:r w:rsidR="0034135E" w:rsidRPr="00892150">
        <w:rPr>
          <w:rFonts w:ascii="Arial" w:hAnsi="Arial" w:cs="Arial"/>
          <w:b/>
        </w:rPr>
        <w:t>.0</w:t>
      </w:r>
      <w:r w:rsidR="0034135E" w:rsidRPr="00616004">
        <w:rPr>
          <w:rFonts w:ascii="Arial" w:hAnsi="Arial" w:cs="Arial"/>
          <w:b/>
        </w:rPr>
        <w:t xml:space="preserve"> </w:t>
      </w:r>
      <w:r w:rsidR="00126ADE">
        <w:rPr>
          <w:rFonts w:ascii="Arial" w:hAnsi="Arial" w:cs="Arial"/>
          <w:b/>
        </w:rPr>
        <w:tab/>
      </w:r>
      <w:r w:rsidR="00487F33" w:rsidRPr="00616004">
        <w:rPr>
          <w:rFonts w:ascii="Arial" w:hAnsi="Arial" w:cs="Arial"/>
          <w:b/>
        </w:rPr>
        <w:t>Debt</w:t>
      </w:r>
      <w:r w:rsidR="00F55998">
        <w:rPr>
          <w:rFonts w:ascii="Arial" w:hAnsi="Arial" w:cs="Arial"/>
          <w:b/>
        </w:rPr>
        <w:t>ors (invoicing)</w:t>
      </w:r>
    </w:p>
    <w:p w:rsidR="00487F33" w:rsidRPr="00616004" w:rsidRDefault="00892150" w:rsidP="00484385">
      <w:pPr>
        <w:tabs>
          <w:tab w:val="left" w:pos="3765"/>
        </w:tabs>
        <w:spacing w:after="160" w:line="240" w:lineRule="auto"/>
        <w:ind w:left="720" w:hanging="720"/>
        <w:jc w:val="both"/>
        <w:rPr>
          <w:rFonts w:ascii="Arial" w:hAnsi="Arial" w:cs="Arial"/>
        </w:rPr>
      </w:pPr>
      <w:r>
        <w:rPr>
          <w:rFonts w:ascii="Arial" w:hAnsi="Arial" w:cs="Arial"/>
        </w:rPr>
        <w:t>4</w:t>
      </w:r>
      <w:r w:rsidR="0034135E" w:rsidRPr="00616004">
        <w:rPr>
          <w:rFonts w:ascii="Arial" w:hAnsi="Arial" w:cs="Arial"/>
        </w:rPr>
        <w:t xml:space="preserve">.1 </w:t>
      </w:r>
      <w:r w:rsidR="00126ADE">
        <w:rPr>
          <w:rFonts w:ascii="Arial" w:hAnsi="Arial" w:cs="Arial"/>
        </w:rPr>
        <w:tab/>
      </w:r>
      <w:r w:rsidR="00487F33" w:rsidRPr="00616004">
        <w:rPr>
          <w:rFonts w:ascii="Arial" w:hAnsi="Arial" w:cs="Arial"/>
        </w:rPr>
        <w:t>The Council charges its customers for various services by raising debtor invoices. The customer is given 21 days to pay and unless there is a dispute, a reminder is issued. If the debt remains outstanding, then a variety of recovery methods are employed including rearranging the payment terms, stopping the provision of the service or pursing the debt through legal recovery processes.</w:t>
      </w:r>
    </w:p>
    <w:p w:rsidR="000D048F" w:rsidRPr="00616004" w:rsidRDefault="00892150" w:rsidP="00484385">
      <w:pPr>
        <w:tabs>
          <w:tab w:val="left" w:pos="3765"/>
        </w:tabs>
        <w:spacing w:after="160" w:line="240" w:lineRule="auto"/>
        <w:ind w:left="720" w:hanging="720"/>
        <w:jc w:val="both"/>
        <w:rPr>
          <w:rFonts w:ascii="Arial" w:hAnsi="Arial" w:cs="Arial"/>
        </w:rPr>
      </w:pPr>
      <w:r>
        <w:rPr>
          <w:rFonts w:ascii="Arial" w:hAnsi="Arial" w:cs="Arial"/>
        </w:rPr>
        <w:t>4</w:t>
      </w:r>
      <w:r w:rsidR="0034135E" w:rsidRPr="00616004">
        <w:rPr>
          <w:rFonts w:ascii="Arial" w:hAnsi="Arial" w:cs="Arial"/>
        </w:rPr>
        <w:t xml:space="preserve">.2 </w:t>
      </w:r>
      <w:r w:rsidR="00126ADE">
        <w:rPr>
          <w:rFonts w:ascii="Arial" w:hAnsi="Arial" w:cs="Arial"/>
        </w:rPr>
        <w:tab/>
      </w:r>
      <w:r w:rsidR="007C6430" w:rsidRPr="005C50EA">
        <w:rPr>
          <w:rFonts w:ascii="Arial" w:hAnsi="Arial" w:cs="Arial"/>
        </w:rPr>
        <w:t>As at 3</w:t>
      </w:r>
      <w:r w:rsidR="005C50EA" w:rsidRPr="005C50EA">
        <w:rPr>
          <w:rFonts w:ascii="Arial" w:hAnsi="Arial" w:cs="Arial"/>
        </w:rPr>
        <w:t>1</w:t>
      </w:r>
      <w:r w:rsidR="005053C6">
        <w:rPr>
          <w:rFonts w:ascii="Arial" w:hAnsi="Arial" w:cs="Arial"/>
          <w:vertAlign w:val="superscript"/>
        </w:rPr>
        <w:t xml:space="preserve"> </w:t>
      </w:r>
      <w:r w:rsidR="005C50EA" w:rsidRPr="005C50EA">
        <w:rPr>
          <w:rFonts w:ascii="Arial" w:hAnsi="Arial" w:cs="Arial"/>
        </w:rPr>
        <w:t>January 2018</w:t>
      </w:r>
      <w:r w:rsidR="007C6430" w:rsidRPr="005C50EA">
        <w:rPr>
          <w:rFonts w:ascii="Arial" w:hAnsi="Arial" w:cs="Arial"/>
        </w:rPr>
        <w:t>, the total outstanding debt was £</w:t>
      </w:r>
      <w:r w:rsidR="00F7282B">
        <w:rPr>
          <w:rFonts w:ascii="Arial" w:hAnsi="Arial" w:cs="Arial"/>
        </w:rPr>
        <w:t>445,06</w:t>
      </w:r>
      <w:r w:rsidR="009632B9">
        <w:rPr>
          <w:rFonts w:ascii="Arial" w:hAnsi="Arial" w:cs="Arial"/>
        </w:rPr>
        <w:t>4</w:t>
      </w:r>
      <w:r w:rsidR="007C6430" w:rsidRPr="005C50EA">
        <w:rPr>
          <w:rFonts w:ascii="Arial" w:hAnsi="Arial" w:cs="Arial"/>
        </w:rPr>
        <w:t xml:space="preserve"> of which £</w:t>
      </w:r>
      <w:r w:rsidR="00F7282B">
        <w:rPr>
          <w:rFonts w:ascii="Arial" w:hAnsi="Arial" w:cs="Arial"/>
        </w:rPr>
        <w:t xml:space="preserve">351,692 </w:t>
      </w:r>
      <w:r w:rsidR="007C6430" w:rsidRPr="005C50EA">
        <w:rPr>
          <w:rFonts w:ascii="Arial" w:hAnsi="Arial" w:cs="Arial"/>
        </w:rPr>
        <w:t xml:space="preserve">is less than a month old and therefore it is anticipated that this will be recovered. </w:t>
      </w:r>
      <w:r w:rsidR="0000040F" w:rsidRPr="005C50EA">
        <w:rPr>
          <w:rFonts w:ascii="Arial" w:hAnsi="Arial" w:cs="Arial"/>
        </w:rPr>
        <w:t xml:space="preserve"> </w:t>
      </w:r>
      <w:r w:rsidR="007C6430" w:rsidRPr="005C50EA">
        <w:rPr>
          <w:rFonts w:ascii="Arial" w:hAnsi="Arial" w:cs="Arial"/>
        </w:rPr>
        <w:t>Outstanding debt over a year old is £</w:t>
      </w:r>
      <w:r w:rsidR="00F7282B">
        <w:rPr>
          <w:rFonts w:ascii="Arial" w:hAnsi="Arial" w:cs="Arial"/>
        </w:rPr>
        <w:t>44,063 which is 10</w:t>
      </w:r>
      <w:r w:rsidR="00B947F8" w:rsidRPr="005C50EA">
        <w:rPr>
          <w:rFonts w:ascii="Arial" w:hAnsi="Arial" w:cs="Arial"/>
        </w:rPr>
        <w:t xml:space="preserve">% of the </w:t>
      </w:r>
      <w:r w:rsidR="007C6430" w:rsidRPr="005C50EA">
        <w:rPr>
          <w:rFonts w:ascii="Arial" w:hAnsi="Arial" w:cs="Arial"/>
        </w:rPr>
        <w:t>total</w:t>
      </w:r>
      <w:r w:rsidR="00B947F8" w:rsidRPr="005C50EA">
        <w:rPr>
          <w:rFonts w:ascii="Arial" w:hAnsi="Arial" w:cs="Arial"/>
        </w:rPr>
        <w:t xml:space="preserve"> debt</w:t>
      </w:r>
      <w:r w:rsidR="007C6430" w:rsidRPr="005C50EA">
        <w:rPr>
          <w:rFonts w:ascii="Arial" w:hAnsi="Arial" w:cs="Arial"/>
        </w:rPr>
        <w:t>. The table below shows a summary of the outstanding debt by the three main aged categories</w:t>
      </w:r>
      <w:r w:rsidRPr="005C50EA">
        <w:rPr>
          <w:rFonts w:ascii="Arial" w:hAnsi="Arial" w:cs="Arial"/>
        </w:rPr>
        <w:t>.</w:t>
      </w:r>
      <w:r w:rsidR="007C6430" w:rsidRPr="005C50EA">
        <w:rPr>
          <w:rFonts w:ascii="Arial" w:hAnsi="Arial" w:cs="Arial"/>
        </w:rPr>
        <w:t xml:space="preserve"> </w:t>
      </w:r>
    </w:p>
    <w:tbl>
      <w:tblPr>
        <w:tblStyle w:val="TableGrid"/>
        <w:tblW w:w="9497" w:type="dxa"/>
        <w:tblInd w:w="817" w:type="dxa"/>
        <w:tblLook w:val="04A0" w:firstRow="1" w:lastRow="0" w:firstColumn="1" w:lastColumn="0" w:noHBand="0" w:noVBand="1"/>
      </w:tblPr>
      <w:tblGrid>
        <w:gridCol w:w="2233"/>
        <w:gridCol w:w="2004"/>
        <w:gridCol w:w="1520"/>
        <w:gridCol w:w="1246"/>
        <w:gridCol w:w="1100"/>
        <w:gridCol w:w="1394"/>
      </w:tblGrid>
      <w:tr w:rsidR="00DF53C5" w:rsidRPr="00DF53C5" w:rsidTr="007F2676">
        <w:trPr>
          <w:trHeight w:val="582"/>
        </w:trPr>
        <w:tc>
          <w:tcPr>
            <w:tcW w:w="2233" w:type="dxa"/>
            <w:tcBorders>
              <w:bottom w:val="single" w:sz="4" w:space="0" w:color="auto"/>
            </w:tcBorders>
            <w:shd w:val="clear" w:color="auto" w:fill="DDD9C3" w:themeFill="background2" w:themeFillShade="E6"/>
          </w:tcPr>
          <w:p w:rsidR="00905D96" w:rsidRPr="007B1754" w:rsidRDefault="00905D96" w:rsidP="00484385">
            <w:pPr>
              <w:tabs>
                <w:tab w:val="left" w:pos="3765"/>
              </w:tabs>
              <w:rPr>
                <w:rFonts w:ascii="Arial" w:hAnsi="Arial" w:cs="Arial"/>
                <w:b/>
                <w:sz w:val="22"/>
                <w:szCs w:val="22"/>
              </w:rPr>
            </w:pPr>
            <w:r w:rsidRPr="007B1754">
              <w:rPr>
                <w:rFonts w:ascii="Arial" w:hAnsi="Arial" w:cs="Arial"/>
                <w:b/>
                <w:sz w:val="22"/>
                <w:szCs w:val="22"/>
              </w:rPr>
              <w:t xml:space="preserve">Aged debt as at the end of </w:t>
            </w:r>
            <w:r w:rsidR="006578A3" w:rsidRPr="007B1754">
              <w:rPr>
                <w:rFonts w:ascii="Arial" w:hAnsi="Arial" w:cs="Arial"/>
                <w:b/>
                <w:sz w:val="22"/>
                <w:szCs w:val="22"/>
              </w:rPr>
              <w:t>January</w:t>
            </w:r>
            <w:r w:rsidR="007B1754" w:rsidRPr="007B1754">
              <w:rPr>
                <w:rFonts w:ascii="Arial" w:hAnsi="Arial" w:cs="Arial"/>
                <w:b/>
                <w:sz w:val="22"/>
                <w:szCs w:val="22"/>
              </w:rPr>
              <w:t xml:space="preserve"> 2018</w:t>
            </w:r>
          </w:p>
        </w:tc>
        <w:tc>
          <w:tcPr>
            <w:tcW w:w="2004" w:type="dxa"/>
            <w:tcBorders>
              <w:bottom w:val="single" w:sz="4" w:space="0" w:color="auto"/>
            </w:tcBorders>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Services</w:t>
            </w:r>
          </w:p>
          <w:p w:rsidR="00905D96" w:rsidRPr="007B1754" w:rsidRDefault="00905D96" w:rsidP="00484385">
            <w:pPr>
              <w:tabs>
                <w:tab w:val="left" w:pos="3765"/>
              </w:tabs>
              <w:jc w:val="center"/>
              <w:rPr>
                <w:rFonts w:ascii="Arial" w:hAnsi="Arial" w:cs="Arial"/>
                <w:b/>
                <w:sz w:val="22"/>
                <w:szCs w:val="22"/>
              </w:rPr>
            </w:pPr>
          </w:p>
        </w:tc>
        <w:tc>
          <w:tcPr>
            <w:tcW w:w="1520" w:type="dxa"/>
            <w:tcBorders>
              <w:bottom w:val="single" w:sz="4" w:space="0" w:color="auto"/>
            </w:tcBorders>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Under 1 Month</w:t>
            </w:r>
          </w:p>
        </w:tc>
        <w:tc>
          <w:tcPr>
            <w:tcW w:w="1246" w:type="dxa"/>
            <w:tcBorders>
              <w:bottom w:val="single" w:sz="4" w:space="0" w:color="auto"/>
            </w:tcBorders>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Over 1 Month to year</w:t>
            </w:r>
          </w:p>
        </w:tc>
        <w:tc>
          <w:tcPr>
            <w:tcW w:w="1100" w:type="dxa"/>
            <w:tcBorders>
              <w:bottom w:val="single" w:sz="4" w:space="0" w:color="auto"/>
            </w:tcBorders>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Over a year</w:t>
            </w:r>
          </w:p>
        </w:tc>
        <w:tc>
          <w:tcPr>
            <w:tcW w:w="1394" w:type="dxa"/>
            <w:tcBorders>
              <w:bottom w:val="single" w:sz="4" w:space="0" w:color="auto"/>
            </w:tcBorders>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Total</w:t>
            </w:r>
          </w:p>
        </w:tc>
      </w:tr>
      <w:tr w:rsidR="00DF53C5" w:rsidRPr="00DF53C5" w:rsidTr="007F2676">
        <w:trPr>
          <w:trHeight w:val="207"/>
        </w:trPr>
        <w:tc>
          <w:tcPr>
            <w:tcW w:w="2233" w:type="dxa"/>
            <w:shd w:val="clear" w:color="auto" w:fill="DDD9C3" w:themeFill="background2" w:themeFillShade="E6"/>
            <w:vAlign w:val="center"/>
          </w:tcPr>
          <w:p w:rsidR="00905D96" w:rsidRPr="007B1754" w:rsidRDefault="00905D96" w:rsidP="00484385">
            <w:pPr>
              <w:tabs>
                <w:tab w:val="left" w:pos="3765"/>
              </w:tabs>
              <w:rPr>
                <w:rFonts w:ascii="Arial" w:hAnsi="Arial" w:cs="Arial"/>
                <w:sz w:val="22"/>
                <w:szCs w:val="22"/>
              </w:rPr>
            </w:pPr>
            <w:r w:rsidRPr="007B1754">
              <w:rPr>
                <w:rFonts w:ascii="Arial" w:hAnsi="Arial" w:cs="Arial"/>
                <w:b/>
                <w:sz w:val="22"/>
                <w:szCs w:val="22"/>
              </w:rPr>
              <w:t>Committee</w:t>
            </w:r>
          </w:p>
        </w:tc>
        <w:tc>
          <w:tcPr>
            <w:tcW w:w="2004" w:type="dxa"/>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p>
        </w:tc>
        <w:tc>
          <w:tcPr>
            <w:tcW w:w="1520" w:type="dxa"/>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w:t>
            </w:r>
          </w:p>
        </w:tc>
        <w:tc>
          <w:tcPr>
            <w:tcW w:w="1246" w:type="dxa"/>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w:t>
            </w:r>
          </w:p>
        </w:tc>
        <w:tc>
          <w:tcPr>
            <w:tcW w:w="1100" w:type="dxa"/>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w:t>
            </w:r>
          </w:p>
        </w:tc>
        <w:tc>
          <w:tcPr>
            <w:tcW w:w="1394" w:type="dxa"/>
            <w:shd w:val="clear" w:color="auto" w:fill="DDD9C3" w:themeFill="background2" w:themeFillShade="E6"/>
          </w:tcPr>
          <w:p w:rsidR="00905D96" w:rsidRPr="007B1754" w:rsidRDefault="00905D96" w:rsidP="00484385">
            <w:pPr>
              <w:tabs>
                <w:tab w:val="left" w:pos="3765"/>
              </w:tabs>
              <w:jc w:val="center"/>
              <w:rPr>
                <w:rFonts w:ascii="Arial" w:hAnsi="Arial" w:cs="Arial"/>
                <w:b/>
                <w:sz w:val="22"/>
                <w:szCs w:val="22"/>
              </w:rPr>
            </w:pPr>
            <w:r w:rsidRPr="007B1754">
              <w:rPr>
                <w:rFonts w:ascii="Arial" w:hAnsi="Arial" w:cs="Arial"/>
                <w:b/>
                <w:sz w:val="22"/>
                <w:szCs w:val="22"/>
              </w:rPr>
              <w:t>£</w:t>
            </w:r>
          </w:p>
        </w:tc>
      </w:tr>
      <w:tr w:rsidR="00DF53C5" w:rsidRPr="00DF53C5" w:rsidTr="007F2676">
        <w:trPr>
          <w:trHeight w:val="509"/>
        </w:trPr>
        <w:tc>
          <w:tcPr>
            <w:tcW w:w="2233" w:type="dxa"/>
            <w:vAlign w:val="center"/>
          </w:tcPr>
          <w:p w:rsidR="00905D96" w:rsidRPr="0085134A" w:rsidRDefault="00905D96" w:rsidP="00484385">
            <w:pPr>
              <w:tabs>
                <w:tab w:val="left" w:pos="3765"/>
              </w:tabs>
              <w:rPr>
                <w:rFonts w:ascii="Arial" w:hAnsi="Arial" w:cs="Arial"/>
                <w:color w:val="000000" w:themeColor="text1"/>
                <w:sz w:val="22"/>
                <w:szCs w:val="22"/>
              </w:rPr>
            </w:pPr>
            <w:r w:rsidRPr="0085134A">
              <w:rPr>
                <w:rFonts w:ascii="Arial" w:hAnsi="Arial" w:cs="Arial"/>
                <w:color w:val="000000" w:themeColor="text1"/>
                <w:sz w:val="22"/>
                <w:szCs w:val="22"/>
              </w:rPr>
              <w:t>Leisure, Wellbeing &amp; Health</w:t>
            </w:r>
          </w:p>
        </w:tc>
        <w:tc>
          <w:tcPr>
            <w:tcW w:w="2004" w:type="dxa"/>
            <w:vAlign w:val="center"/>
          </w:tcPr>
          <w:p w:rsidR="00905D96" w:rsidRPr="0085134A" w:rsidRDefault="00B947F8"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Leisure</w:t>
            </w:r>
            <w:r w:rsidR="00905D96" w:rsidRPr="0085134A">
              <w:rPr>
                <w:rFonts w:ascii="Arial" w:hAnsi="Arial" w:cs="Arial"/>
                <w:color w:val="000000" w:themeColor="text1"/>
                <w:sz w:val="24"/>
                <w:szCs w:val="24"/>
              </w:rPr>
              <w:t xml:space="preserve"> </w:t>
            </w:r>
          </w:p>
        </w:tc>
        <w:tc>
          <w:tcPr>
            <w:tcW w:w="1520" w:type="dxa"/>
            <w:vAlign w:val="center"/>
          </w:tcPr>
          <w:p w:rsidR="00905D96"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11,446</w:t>
            </w:r>
          </w:p>
        </w:tc>
        <w:tc>
          <w:tcPr>
            <w:tcW w:w="1246" w:type="dxa"/>
            <w:vAlign w:val="center"/>
          </w:tcPr>
          <w:p w:rsidR="00905D96"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4,487</w:t>
            </w:r>
          </w:p>
        </w:tc>
        <w:tc>
          <w:tcPr>
            <w:tcW w:w="1100" w:type="dxa"/>
            <w:vAlign w:val="center"/>
          </w:tcPr>
          <w:p w:rsidR="00905D96" w:rsidRPr="0085134A" w:rsidRDefault="00982BE0"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0</w:t>
            </w:r>
          </w:p>
        </w:tc>
        <w:tc>
          <w:tcPr>
            <w:tcW w:w="1394" w:type="dxa"/>
            <w:vAlign w:val="center"/>
          </w:tcPr>
          <w:p w:rsidR="00905D96"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15,932</w:t>
            </w:r>
          </w:p>
        </w:tc>
      </w:tr>
      <w:tr w:rsidR="00DF53C5" w:rsidRPr="00DF53C5" w:rsidTr="007F2676">
        <w:trPr>
          <w:trHeight w:val="509"/>
        </w:trPr>
        <w:tc>
          <w:tcPr>
            <w:tcW w:w="2233" w:type="dxa"/>
            <w:vMerge w:val="restart"/>
            <w:vAlign w:val="center"/>
          </w:tcPr>
          <w:p w:rsidR="00905D96" w:rsidRPr="0085134A" w:rsidRDefault="00905D96" w:rsidP="00484385">
            <w:pPr>
              <w:tabs>
                <w:tab w:val="left" w:pos="3765"/>
              </w:tabs>
              <w:rPr>
                <w:rFonts w:ascii="Arial" w:hAnsi="Arial" w:cs="Arial"/>
                <w:color w:val="000000" w:themeColor="text1"/>
              </w:rPr>
            </w:pPr>
            <w:r w:rsidRPr="0085134A">
              <w:rPr>
                <w:rFonts w:ascii="Arial" w:hAnsi="Arial" w:cs="Arial"/>
                <w:color w:val="000000" w:themeColor="text1"/>
                <w:sz w:val="22"/>
                <w:szCs w:val="22"/>
              </w:rPr>
              <w:t>Sustainable Development, Planning &amp; Transport</w:t>
            </w:r>
          </w:p>
        </w:tc>
        <w:tc>
          <w:tcPr>
            <w:tcW w:w="2004" w:type="dxa"/>
            <w:vAlign w:val="center"/>
          </w:tcPr>
          <w:p w:rsidR="00905D96" w:rsidRPr="0085134A" w:rsidRDefault="00905D96"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Housing</w:t>
            </w:r>
          </w:p>
        </w:tc>
        <w:tc>
          <w:tcPr>
            <w:tcW w:w="1520" w:type="dxa"/>
            <w:vAlign w:val="center"/>
          </w:tcPr>
          <w:p w:rsidR="00905D96"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33,229</w:t>
            </w:r>
          </w:p>
        </w:tc>
        <w:tc>
          <w:tcPr>
            <w:tcW w:w="1246" w:type="dxa"/>
            <w:vAlign w:val="center"/>
          </w:tcPr>
          <w:p w:rsidR="00905D96"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32,294</w:t>
            </w:r>
          </w:p>
        </w:tc>
        <w:tc>
          <w:tcPr>
            <w:tcW w:w="1100" w:type="dxa"/>
            <w:vAlign w:val="center"/>
          </w:tcPr>
          <w:p w:rsidR="00905D96"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3,132</w:t>
            </w:r>
          </w:p>
        </w:tc>
        <w:tc>
          <w:tcPr>
            <w:tcW w:w="1394" w:type="dxa"/>
            <w:vAlign w:val="center"/>
          </w:tcPr>
          <w:p w:rsidR="00905D96"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68,655</w:t>
            </w:r>
          </w:p>
        </w:tc>
      </w:tr>
      <w:tr w:rsidR="00DF53C5" w:rsidRPr="00DF53C5" w:rsidTr="007F2676">
        <w:trPr>
          <w:trHeight w:val="564"/>
        </w:trPr>
        <w:tc>
          <w:tcPr>
            <w:tcW w:w="2233" w:type="dxa"/>
            <w:vMerge/>
            <w:vAlign w:val="center"/>
          </w:tcPr>
          <w:p w:rsidR="00905D96" w:rsidRPr="0085134A" w:rsidRDefault="00905D96" w:rsidP="00484385">
            <w:pPr>
              <w:tabs>
                <w:tab w:val="left" w:pos="3765"/>
              </w:tabs>
              <w:rPr>
                <w:rFonts w:ascii="Arial" w:hAnsi="Arial" w:cs="Arial"/>
                <w:color w:val="000000" w:themeColor="text1"/>
              </w:rPr>
            </w:pPr>
          </w:p>
        </w:tc>
        <w:tc>
          <w:tcPr>
            <w:tcW w:w="2004" w:type="dxa"/>
            <w:vAlign w:val="center"/>
          </w:tcPr>
          <w:p w:rsidR="002F75B4" w:rsidRPr="0085134A" w:rsidRDefault="002F75B4"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Regeneration</w:t>
            </w:r>
          </w:p>
        </w:tc>
        <w:tc>
          <w:tcPr>
            <w:tcW w:w="1520" w:type="dxa"/>
            <w:vAlign w:val="center"/>
          </w:tcPr>
          <w:p w:rsidR="00905D96" w:rsidRPr="0085134A" w:rsidRDefault="00982BE0"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49,113</w:t>
            </w:r>
          </w:p>
        </w:tc>
        <w:tc>
          <w:tcPr>
            <w:tcW w:w="1246" w:type="dxa"/>
            <w:vAlign w:val="center"/>
          </w:tcPr>
          <w:p w:rsidR="00905D96" w:rsidRPr="0085134A" w:rsidRDefault="003D5FF5"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0</w:t>
            </w:r>
          </w:p>
        </w:tc>
        <w:tc>
          <w:tcPr>
            <w:tcW w:w="1100" w:type="dxa"/>
            <w:vAlign w:val="center"/>
          </w:tcPr>
          <w:p w:rsidR="00905D96" w:rsidRPr="0085134A" w:rsidRDefault="003D5FF5"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0</w:t>
            </w:r>
          </w:p>
        </w:tc>
        <w:tc>
          <w:tcPr>
            <w:tcW w:w="1394" w:type="dxa"/>
            <w:vAlign w:val="center"/>
          </w:tcPr>
          <w:p w:rsidR="00905D96" w:rsidRPr="0085134A" w:rsidRDefault="00982BE0" w:rsidP="00484385">
            <w:pPr>
              <w:tabs>
                <w:tab w:val="left" w:pos="3765"/>
              </w:tabs>
              <w:jc w:val="center"/>
              <w:rPr>
                <w:rFonts w:ascii="Arial" w:hAnsi="Arial" w:cs="Arial"/>
                <w:b/>
                <w:color w:val="000000" w:themeColor="text1"/>
                <w:sz w:val="24"/>
                <w:szCs w:val="24"/>
              </w:rPr>
            </w:pPr>
            <w:r w:rsidRPr="0085134A">
              <w:rPr>
                <w:rFonts w:ascii="Arial" w:hAnsi="Arial" w:cs="Arial"/>
                <w:b/>
                <w:color w:val="000000" w:themeColor="text1"/>
                <w:sz w:val="24"/>
                <w:szCs w:val="24"/>
              </w:rPr>
              <w:t>49,113</w:t>
            </w:r>
          </w:p>
        </w:tc>
      </w:tr>
      <w:tr w:rsidR="00DF53C5" w:rsidRPr="00DF53C5" w:rsidTr="007F2676">
        <w:trPr>
          <w:trHeight w:val="564"/>
        </w:trPr>
        <w:tc>
          <w:tcPr>
            <w:tcW w:w="2233" w:type="dxa"/>
            <w:vMerge w:val="restart"/>
            <w:vAlign w:val="center"/>
          </w:tcPr>
          <w:p w:rsidR="00982BE0" w:rsidRPr="0085134A" w:rsidRDefault="00982BE0" w:rsidP="00484385">
            <w:pPr>
              <w:tabs>
                <w:tab w:val="left" w:pos="3765"/>
              </w:tabs>
              <w:rPr>
                <w:rFonts w:ascii="Arial" w:hAnsi="Arial" w:cs="Arial"/>
                <w:color w:val="000000" w:themeColor="text1"/>
              </w:rPr>
            </w:pPr>
            <w:r w:rsidRPr="0085134A">
              <w:rPr>
                <w:rFonts w:ascii="Arial" w:hAnsi="Arial" w:cs="Arial"/>
                <w:color w:val="000000" w:themeColor="text1"/>
                <w:sz w:val="22"/>
                <w:szCs w:val="22"/>
              </w:rPr>
              <w:t>General Public Services &amp; Community Safety</w:t>
            </w:r>
          </w:p>
        </w:tc>
        <w:tc>
          <w:tcPr>
            <w:tcW w:w="2004" w:type="dxa"/>
            <w:vAlign w:val="center"/>
          </w:tcPr>
          <w:p w:rsidR="00982BE0" w:rsidRPr="0085134A" w:rsidRDefault="00982BE0"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Environmental Services</w:t>
            </w:r>
          </w:p>
        </w:tc>
        <w:tc>
          <w:tcPr>
            <w:tcW w:w="1520" w:type="dxa"/>
            <w:vAlign w:val="center"/>
          </w:tcPr>
          <w:p w:rsidR="00982BE0" w:rsidRPr="0085134A" w:rsidRDefault="00982BE0"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116,785</w:t>
            </w:r>
          </w:p>
        </w:tc>
        <w:tc>
          <w:tcPr>
            <w:tcW w:w="1246" w:type="dxa"/>
            <w:vAlign w:val="center"/>
          </w:tcPr>
          <w:p w:rsidR="00982BE0"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4,409</w:t>
            </w:r>
          </w:p>
        </w:tc>
        <w:tc>
          <w:tcPr>
            <w:tcW w:w="1100" w:type="dxa"/>
            <w:vAlign w:val="center"/>
          </w:tcPr>
          <w:p w:rsidR="00982BE0" w:rsidRPr="0085134A" w:rsidRDefault="00982BE0"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659</w:t>
            </w:r>
          </w:p>
        </w:tc>
        <w:tc>
          <w:tcPr>
            <w:tcW w:w="1394" w:type="dxa"/>
            <w:vAlign w:val="center"/>
          </w:tcPr>
          <w:p w:rsidR="00982BE0"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121,853</w:t>
            </w:r>
          </w:p>
        </w:tc>
      </w:tr>
      <w:tr w:rsidR="00DF53C5" w:rsidRPr="00DF53C5" w:rsidTr="007F2676">
        <w:trPr>
          <w:trHeight w:val="564"/>
        </w:trPr>
        <w:tc>
          <w:tcPr>
            <w:tcW w:w="2233" w:type="dxa"/>
            <w:vMerge/>
            <w:vAlign w:val="center"/>
          </w:tcPr>
          <w:p w:rsidR="00982BE0" w:rsidRPr="0085134A" w:rsidRDefault="00982BE0" w:rsidP="00484385">
            <w:pPr>
              <w:tabs>
                <w:tab w:val="left" w:pos="3765"/>
              </w:tabs>
              <w:rPr>
                <w:rFonts w:ascii="Arial" w:hAnsi="Arial" w:cs="Arial"/>
                <w:color w:val="000000" w:themeColor="text1"/>
              </w:rPr>
            </w:pPr>
          </w:p>
        </w:tc>
        <w:tc>
          <w:tcPr>
            <w:tcW w:w="2004" w:type="dxa"/>
            <w:vAlign w:val="center"/>
          </w:tcPr>
          <w:p w:rsidR="00982BE0" w:rsidRPr="0085134A" w:rsidRDefault="00982BE0"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Other</w:t>
            </w:r>
          </w:p>
        </w:tc>
        <w:tc>
          <w:tcPr>
            <w:tcW w:w="1520" w:type="dxa"/>
            <w:vAlign w:val="center"/>
          </w:tcPr>
          <w:p w:rsidR="00982BE0" w:rsidRPr="0085134A" w:rsidRDefault="0085134A"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0</w:t>
            </w:r>
          </w:p>
        </w:tc>
        <w:tc>
          <w:tcPr>
            <w:tcW w:w="1246" w:type="dxa"/>
            <w:vAlign w:val="center"/>
          </w:tcPr>
          <w:p w:rsidR="00982BE0" w:rsidRPr="0085134A" w:rsidRDefault="0085134A"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0</w:t>
            </w:r>
          </w:p>
        </w:tc>
        <w:tc>
          <w:tcPr>
            <w:tcW w:w="1100" w:type="dxa"/>
            <w:vAlign w:val="center"/>
          </w:tcPr>
          <w:p w:rsidR="00982BE0" w:rsidRPr="0085134A" w:rsidRDefault="00982BE0"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1,925</w:t>
            </w:r>
          </w:p>
        </w:tc>
        <w:tc>
          <w:tcPr>
            <w:tcW w:w="1394" w:type="dxa"/>
            <w:vAlign w:val="center"/>
          </w:tcPr>
          <w:p w:rsidR="00982BE0" w:rsidRPr="0085134A" w:rsidRDefault="00982BE0" w:rsidP="00484385">
            <w:pPr>
              <w:tabs>
                <w:tab w:val="left" w:pos="3765"/>
              </w:tabs>
              <w:jc w:val="center"/>
              <w:rPr>
                <w:rFonts w:ascii="Arial" w:hAnsi="Arial" w:cs="Arial"/>
                <w:b/>
                <w:color w:val="000000" w:themeColor="text1"/>
                <w:sz w:val="24"/>
                <w:szCs w:val="24"/>
              </w:rPr>
            </w:pPr>
            <w:r w:rsidRPr="0085134A">
              <w:rPr>
                <w:rFonts w:ascii="Arial" w:hAnsi="Arial" w:cs="Arial"/>
                <w:b/>
                <w:color w:val="000000" w:themeColor="text1"/>
                <w:sz w:val="24"/>
                <w:szCs w:val="24"/>
              </w:rPr>
              <w:t>1,925</w:t>
            </w:r>
          </w:p>
        </w:tc>
      </w:tr>
      <w:tr w:rsidR="00DF53C5" w:rsidRPr="00DF53C5" w:rsidTr="007F2676">
        <w:trPr>
          <w:trHeight w:val="564"/>
        </w:trPr>
        <w:tc>
          <w:tcPr>
            <w:tcW w:w="2233" w:type="dxa"/>
            <w:vMerge w:val="restart"/>
            <w:vAlign w:val="center"/>
          </w:tcPr>
          <w:p w:rsidR="002F75B4" w:rsidRPr="0085134A" w:rsidRDefault="002F75B4" w:rsidP="00484385">
            <w:pPr>
              <w:tabs>
                <w:tab w:val="left" w:pos="3765"/>
              </w:tabs>
              <w:rPr>
                <w:rFonts w:ascii="Arial" w:hAnsi="Arial" w:cs="Arial"/>
                <w:color w:val="000000" w:themeColor="text1"/>
              </w:rPr>
            </w:pPr>
            <w:r w:rsidRPr="0085134A">
              <w:rPr>
                <w:rFonts w:ascii="Arial" w:hAnsi="Arial" w:cs="Arial"/>
                <w:color w:val="000000" w:themeColor="text1"/>
                <w:sz w:val="22"/>
                <w:szCs w:val="22"/>
              </w:rPr>
              <w:t xml:space="preserve">Policy &amp; Resources </w:t>
            </w:r>
          </w:p>
        </w:tc>
        <w:tc>
          <w:tcPr>
            <w:tcW w:w="2004" w:type="dxa"/>
            <w:vAlign w:val="center"/>
          </w:tcPr>
          <w:p w:rsidR="00B947F8" w:rsidRPr="0085134A" w:rsidRDefault="002F75B4"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Legal</w:t>
            </w:r>
            <w:r w:rsidR="00B947F8" w:rsidRPr="0085134A">
              <w:rPr>
                <w:rFonts w:ascii="Arial" w:hAnsi="Arial" w:cs="Arial"/>
                <w:color w:val="000000" w:themeColor="text1"/>
                <w:sz w:val="24"/>
                <w:szCs w:val="24"/>
              </w:rPr>
              <w:t xml:space="preserve"> &amp; </w:t>
            </w:r>
          </w:p>
          <w:p w:rsidR="002F75B4" w:rsidRPr="0085134A" w:rsidRDefault="00B947F8"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Property</w:t>
            </w:r>
          </w:p>
        </w:tc>
        <w:tc>
          <w:tcPr>
            <w:tcW w:w="1520" w:type="dxa"/>
            <w:vAlign w:val="center"/>
          </w:tcPr>
          <w:p w:rsidR="002F75B4"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61,351</w:t>
            </w:r>
          </w:p>
        </w:tc>
        <w:tc>
          <w:tcPr>
            <w:tcW w:w="1246" w:type="dxa"/>
            <w:vAlign w:val="center"/>
          </w:tcPr>
          <w:p w:rsidR="002F75B4"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5,588</w:t>
            </w:r>
          </w:p>
        </w:tc>
        <w:tc>
          <w:tcPr>
            <w:tcW w:w="1100" w:type="dxa"/>
            <w:vAlign w:val="center"/>
          </w:tcPr>
          <w:p w:rsidR="002F75B4"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15,420</w:t>
            </w:r>
          </w:p>
        </w:tc>
        <w:tc>
          <w:tcPr>
            <w:tcW w:w="1394" w:type="dxa"/>
            <w:vAlign w:val="center"/>
          </w:tcPr>
          <w:p w:rsidR="002F75B4"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82,360</w:t>
            </w:r>
          </w:p>
        </w:tc>
      </w:tr>
      <w:tr w:rsidR="00DF53C5" w:rsidRPr="00DF53C5" w:rsidTr="007F2676">
        <w:trPr>
          <w:trHeight w:val="277"/>
        </w:trPr>
        <w:tc>
          <w:tcPr>
            <w:tcW w:w="2233" w:type="dxa"/>
            <w:vMerge/>
            <w:vAlign w:val="center"/>
          </w:tcPr>
          <w:p w:rsidR="002F75B4" w:rsidRPr="0085134A" w:rsidRDefault="002F75B4" w:rsidP="00484385">
            <w:pPr>
              <w:tabs>
                <w:tab w:val="left" w:pos="3765"/>
              </w:tabs>
              <w:rPr>
                <w:rFonts w:ascii="Arial" w:hAnsi="Arial" w:cs="Arial"/>
                <w:color w:val="000000" w:themeColor="text1"/>
                <w:sz w:val="22"/>
                <w:szCs w:val="22"/>
              </w:rPr>
            </w:pPr>
          </w:p>
        </w:tc>
        <w:tc>
          <w:tcPr>
            <w:tcW w:w="2004" w:type="dxa"/>
            <w:vAlign w:val="center"/>
          </w:tcPr>
          <w:p w:rsidR="002F75B4" w:rsidRPr="0085134A" w:rsidRDefault="002F75B4"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Communications</w:t>
            </w:r>
          </w:p>
        </w:tc>
        <w:tc>
          <w:tcPr>
            <w:tcW w:w="1520" w:type="dxa"/>
            <w:vAlign w:val="center"/>
          </w:tcPr>
          <w:p w:rsidR="002F75B4" w:rsidRPr="0085134A" w:rsidRDefault="0085134A"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0</w:t>
            </w:r>
          </w:p>
        </w:tc>
        <w:tc>
          <w:tcPr>
            <w:tcW w:w="1246" w:type="dxa"/>
            <w:vAlign w:val="center"/>
          </w:tcPr>
          <w:p w:rsidR="002F75B4" w:rsidRPr="0085134A" w:rsidRDefault="00982BE0"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15</w:t>
            </w:r>
            <w:r w:rsidR="003D5FF5" w:rsidRPr="0085134A">
              <w:rPr>
                <w:rFonts w:ascii="Arial" w:hAnsi="Arial" w:cs="Arial"/>
                <w:color w:val="000000" w:themeColor="text1"/>
                <w:sz w:val="24"/>
                <w:szCs w:val="24"/>
              </w:rPr>
              <w:t>0</w:t>
            </w:r>
          </w:p>
        </w:tc>
        <w:tc>
          <w:tcPr>
            <w:tcW w:w="1100" w:type="dxa"/>
            <w:vAlign w:val="center"/>
          </w:tcPr>
          <w:p w:rsidR="002F75B4" w:rsidRPr="0085134A" w:rsidRDefault="003D5FF5"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0</w:t>
            </w:r>
          </w:p>
        </w:tc>
        <w:tc>
          <w:tcPr>
            <w:tcW w:w="1394" w:type="dxa"/>
            <w:vAlign w:val="center"/>
          </w:tcPr>
          <w:p w:rsidR="002F75B4" w:rsidRPr="0085134A" w:rsidRDefault="00982BE0" w:rsidP="00484385">
            <w:pPr>
              <w:tabs>
                <w:tab w:val="left" w:pos="3765"/>
              </w:tabs>
              <w:jc w:val="center"/>
              <w:rPr>
                <w:rFonts w:ascii="Arial" w:hAnsi="Arial" w:cs="Arial"/>
                <w:b/>
                <w:color w:val="000000" w:themeColor="text1"/>
                <w:sz w:val="24"/>
                <w:szCs w:val="24"/>
              </w:rPr>
            </w:pPr>
            <w:r w:rsidRPr="0085134A">
              <w:rPr>
                <w:rFonts w:ascii="Arial" w:hAnsi="Arial" w:cs="Arial"/>
                <w:b/>
                <w:color w:val="000000" w:themeColor="text1"/>
                <w:sz w:val="24"/>
                <w:szCs w:val="24"/>
              </w:rPr>
              <w:t>150</w:t>
            </w:r>
          </w:p>
        </w:tc>
      </w:tr>
      <w:tr w:rsidR="00DF53C5" w:rsidRPr="00DF53C5" w:rsidTr="007F2676">
        <w:trPr>
          <w:trHeight w:val="558"/>
        </w:trPr>
        <w:tc>
          <w:tcPr>
            <w:tcW w:w="2233" w:type="dxa"/>
            <w:vMerge/>
            <w:vAlign w:val="center"/>
          </w:tcPr>
          <w:p w:rsidR="002F75B4" w:rsidRPr="0085134A" w:rsidRDefault="002F75B4" w:rsidP="00484385">
            <w:pPr>
              <w:tabs>
                <w:tab w:val="left" w:pos="3765"/>
              </w:tabs>
              <w:rPr>
                <w:rFonts w:ascii="Arial" w:hAnsi="Arial" w:cs="Arial"/>
                <w:color w:val="000000" w:themeColor="text1"/>
              </w:rPr>
            </w:pPr>
          </w:p>
        </w:tc>
        <w:tc>
          <w:tcPr>
            <w:tcW w:w="2004" w:type="dxa"/>
            <w:vAlign w:val="center"/>
          </w:tcPr>
          <w:p w:rsidR="002F75B4" w:rsidRPr="0085134A" w:rsidRDefault="00982BE0" w:rsidP="00484385">
            <w:pPr>
              <w:tabs>
                <w:tab w:val="left" w:pos="3765"/>
              </w:tabs>
              <w:rPr>
                <w:rFonts w:ascii="Arial" w:hAnsi="Arial" w:cs="Arial"/>
                <w:color w:val="000000" w:themeColor="text1"/>
                <w:sz w:val="24"/>
                <w:szCs w:val="24"/>
              </w:rPr>
            </w:pPr>
            <w:r w:rsidRPr="0085134A">
              <w:rPr>
                <w:rFonts w:ascii="Arial" w:hAnsi="Arial" w:cs="Arial"/>
                <w:color w:val="000000" w:themeColor="text1"/>
                <w:sz w:val="24"/>
                <w:szCs w:val="24"/>
              </w:rPr>
              <w:t>Human Resources</w:t>
            </w:r>
          </w:p>
        </w:tc>
        <w:tc>
          <w:tcPr>
            <w:tcW w:w="1520" w:type="dxa"/>
            <w:vAlign w:val="center"/>
          </w:tcPr>
          <w:p w:rsidR="002F75B4" w:rsidRPr="0085134A" w:rsidRDefault="0085134A"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0</w:t>
            </w:r>
          </w:p>
        </w:tc>
        <w:tc>
          <w:tcPr>
            <w:tcW w:w="1246" w:type="dxa"/>
            <w:vAlign w:val="center"/>
          </w:tcPr>
          <w:p w:rsidR="002F75B4" w:rsidRPr="0085134A" w:rsidRDefault="00982BE0"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1337</w:t>
            </w:r>
          </w:p>
        </w:tc>
        <w:tc>
          <w:tcPr>
            <w:tcW w:w="1100" w:type="dxa"/>
            <w:vAlign w:val="center"/>
          </w:tcPr>
          <w:p w:rsidR="002F75B4" w:rsidRPr="0085134A" w:rsidRDefault="0085134A"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0</w:t>
            </w:r>
          </w:p>
        </w:tc>
        <w:tc>
          <w:tcPr>
            <w:tcW w:w="1394" w:type="dxa"/>
            <w:vAlign w:val="center"/>
          </w:tcPr>
          <w:p w:rsidR="002F75B4" w:rsidRPr="0085134A" w:rsidRDefault="00B947F8" w:rsidP="00484385">
            <w:pPr>
              <w:tabs>
                <w:tab w:val="left" w:pos="3765"/>
              </w:tabs>
              <w:jc w:val="center"/>
              <w:rPr>
                <w:rFonts w:ascii="Arial" w:hAnsi="Arial" w:cs="Arial"/>
                <w:b/>
                <w:color w:val="000000" w:themeColor="text1"/>
                <w:sz w:val="24"/>
                <w:szCs w:val="24"/>
              </w:rPr>
            </w:pPr>
            <w:r w:rsidRPr="0085134A">
              <w:rPr>
                <w:rFonts w:ascii="Arial" w:hAnsi="Arial" w:cs="Arial"/>
                <w:b/>
                <w:color w:val="000000" w:themeColor="text1"/>
                <w:sz w:val="24"/>
                <w:szCs w:val="24"/>
              </w:rPr>
              <w:t>1,337</w:t>
            </w:r>
          </w:p>
        </w:tc>
      </w:tr>
      <w:tr w:rsidR="00DF53C5" w:rsidRPr="00DF53C5" w:rsidTr="00F7282B">
        <w:trPr>
          <w:trHeight w:val="275"/>
        </w:trPr>
        <w:tc>
          <w:tcPr>
            <w:tcW w:w="2233" w:type="dxa"/>
            <w:vMerge/>
            <w:vAlign w:val="center"/>
          </w:tcPr>
          <w:p w:rsidR="002F75B4" w:rsidRPr="0085134A" w:rsidRDefault="002F75B4" w:rsidP="00484385">
            <w:pPr>
              <w:tabs>
                <w:tab w:val="left" w:pos="3765"/>
              </w:tabs>
              <w:rPr>
                <w:rFonts w:ascii="Arial" w:hAnsi="Arial" w:cs="Arial"/>
                <w:color w:val="000000" w:themeColor="text1"/>
              </w:rPr>
            </w:pPr>
          </w:p>
        </w:tc>
        <w:tc>
          <w:tcPr>
            <w:tcW w:w="2004" w:type="dxa"/>
            <w:vAlign w:val="center"/>
          </w:tcPr>
          <w:p w:rsidR="002F75B4" w:rsidRPr="0085134A" w:rsidRDefault="005C590D" w:rsidP="00484385">
            <w:pPr>
              <w:tabs>
                <w:tab w:val="left" w:pos="3765"/>
              </w:tabs>
              <w:rPr>
                <w:rFonts w:ascii="Arial" w:hAnsi="Arial" w:cs="Arial"/>
                <w:color w:val="000000" w:themeColor="text1"/>
                <w:sz w:val="24"/>
                <w:szCs w:val="24"/>
              </w:rPr>
            </w:pPr>
            <w:r>
              <w:rPr>
                <w:rFonts w:ascii="Arial" w:hAnsi="Arial" w:cs="Arial"/>
                <w:color w:val="000000" w:themeColor="text1"/>
                <w:sz w:val="24"/>
                <w:szCs w:val="24"/>
              </w:rPr>
              <w:t>Revenues &amp; Benefits</w:t>
            </w:r>
          </w:p>
        </w:tc>
        <w:tc>
          <w:tcPr>
            <w:tcW w:w="1520" w:type="dxa"/>
            <w:vAlign w:val="center"/>
          </w:tcPr>
          <w:p w:rsidR="002F75B4" w:rsidRPr="0085134A" w:rsidRDefault="00DF53C5"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79,768</w:t>
            </w:r>
          </w:p>
        </w:tc>
        <w:tc>
          <w:tcPr>
            <w:tcW w:w="1246" w:type="dxa"/>
            <w:vAlign w:val="center"/>
          </w:tcPr>
          <w:p w:rsidR="002F75B4" w:rsidRPr="0085134A" w:rsidRDefault="00DF53C5" w:rsidP="00484385">
            <w:pPr>
              <w:tabs>
                <w:tab w:val="left" w:pos="3765"/>
              </w:tabs>
              <w:jc w:val="center"/>
              <w:rPr>
                <w:rFonts w:ascii="Arial" w:hAnsi="Arial" w:cs="Arial"/>
                <w:color w:val="000000" w:themeColor="text1"/>
                <w:sz w:val="24"/>
                <w:szCs w:val="24"/>
              </w:rPr>
            </w:pPr>
            <w:r w:rsidRPr="0085134A">
              <w:rPr>
                <w:rFonts w:ascii="Arial" w:hAnsi="Arial" w:cs="Arial"/>
                <w:color w:val="000000" w:themeColor="text1"/>
                <w:sz w:val="24"/>
                <w:szCs w:val="24"/>
              </w:rPr>
              <w:t>1,043</w:t>
            </w:r>
          </w:p>
        </w:tc>
        <w:tc>
          <w:tcPr>
            <w:tcW w:w="1100" w:type="dxa"/>
            <w:vAlign w:val="center"/>
          </w:tcPr>
          <w:p w:rsidR="002F75B4" w:rsidRPr="0085134A" w:rsidRDefault="007F2676" w:rsidP="00484385">
            <w:pPr>
              <w:tabs>
                <w:tab w:val="left" w:pos="3765"/>
              </w:tabs>
              <w:jc w:val="center"/>
              <w:rPr>
                <w:rFonts w:ascii="Arial" w:hAnsi="Arial" w:cs="Arial"/>
                <w:color w:val="000000" w:themeColor="text1"/>
                <w:sz w:val="24"/>
                <w:szCs w:val="24"/>
              </w:rPr>
            </w:pPr>
            <w:r>
              <w:rPr>
                <w:rFonts w:ascii="Arial" w:hAnsi="Arial" w:cs="Arial"/>
                <w:color w:val="000000" w:themeColor="text1"/>
                <w:sz w:val="24"/>
                <w:szCs w:val="24"/>
              </w:rPr>
              <w:t>22,927</w:t>
            </w:r>
          </w:p>
        </w:tc>
        <w:tc>
          <w:tcPr>
            <w:tcW w:w="1394" w:type="dxa"/>
            <w:vAlign w:val="center"/>
          </w:tcPr>
          <w:p w:rsidR="002F75B4"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103,738</w:t>
            </w:r>
          </w:p>
        </w:tc>
      </w:tr>
      <w:tr w:rsidR="00DF53C5" w:rsidRPr="00DF53C5" w:rsidTr="007F2676">
        <w:trPr>
          <w:trHeight w:val="566"/>
        </w:trPr>
        <w:tc>
          <w:tcPr>
            <w:tcW w:w="2233" w:type="dxa"/>
            <w:vAlign w:val="center"/>
          </w:tcPr>
          <w:p w:rsidR="00905D96" w:rsidRPr="0085134A" w:rsidRDefault="00905D96" w:rsidP="00484385">
            <w:pPr>
              <w:tabs>
                <w:tab w:val="left" w:pos="3765"/>
              </w:tabs>
              <w:rPr>
                <w:rFonts w:ascii="Arial" w:hAnsi="Arial" w:cs="Arial"/>
                <w:b/>
                <w:color w:val="000000" w:themeColor="text1"/>
                <w:sz w:val="22"/>
                <w:szCs w:val="22"/>
              </w:rPr>
            </w:pPr>
            <w:r w:rsidRPr="0085134A">
              <w:rPr>
                <w:rFonts w:ascii="Arial" w:hAnsi="Arial" w:cs="Arial"/>
                <w:b/>
                <w:color w:val="000000" w:themeColor="text1"/>
                <w:sz w:val="22"/>
                <w:szCs w:val="22"/>
              </w:rPr>
              <w:t xml:space="preserve">Total </w:t>
            </w:r>
          </w:p>
        </w:tc>
        <w:tc>
          <w:tcPr>
            <w:tcW w:w="2004" w:type="dxa"/>
            <w:vAlign w:val="center"/>
          </w:tcPr>
          <w:p w:rsidR="00905D96" w:rsidRPr="0085134A" w:rsidRDefault="00905D96" w:rsidP="00484385">
            <w:pPr>
              <w:tabs>
                <w:tab w:val="left" w:pos="3765"/>
              </w:tabs>
              <w:rPr>
                <w:rFonts w:ascii="Arial" w:hAnsi="Arial" w:cs="Arial"/>
                <w:color w:val="000000" w:themeColor="text1"/>
                <w:sz w:val="24"/>
                <w:szCs w:val="24"/>
              </w:rPr>
            </w:pPr>
          </w:p>
        </w:tc>
        <w:tc>
          <w:tcPr>
            <w:tcW w:w="1520" w:type="dxa"/>
            <w:vAlign w:val="center"/>
          </w:tcPr>
          <w:p w:rsidR="00905D96"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351,692</w:t>
            </w:r>
          </w:p>
        </w:tc>
        <w:tc>
          <w:tcPr>
            <w:tcW w:w="1246" w:type="dxa"/>
            <w:vAlign w:val="center"/>
          </w:tcPr>
          <w:p w:rsidR="00905D96"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49,308</w:t>
            </w:r>
          </w:p>
        </w:tc>
        <w:tc>
          <w:tcPr>
            <w:tcW w:w="1100" w:type="dxa"/>
            <w:vAlign w:val="center"/>
          </w:tcPr>
          <w:p w:rsidR="00905D96"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44,063</w:t>
            </w:r>
          </w:p>
        </w:tc>
        <w:tc>
          <w:tcPr>
            <w:tcW w:w="1394" w:type="dxa"/>
            <w:vAlign w:val="center"/>
          </w:tcPr>
          <w:p w:rsidR="00905D96" w:rsidRPr="0085134A" w:rsidRDefault="007F2676" w:rsidP="00484385">
            <w:pPr>
              <w:tabs>
                <w:tab w:val="left" w:pos="3765"/>
              </w:tabs>
              <w:jc w:val="center"/>
              <w:rPr>
                <w:rFonts w:ascii="Arial" w:hAnsi="Arial" w:cs="Arial"/>
                <w:b/>
                <w:color w:val="000000" w:themeColor="text1"/>
                <w:sz w:val="24"/>
                <w:szCs w:val="24"/>
              </w:rPr>
            </w:pPr>
            <w:r>
              <w:rPr>
                <w:rFonts w:ascii="Arial" w:hAnsi="Arial" w:cs="Arial"/>
                <w:b/>
                <w:color w:val="000000" w:themeColor="text1"/>
                <w:sz w:val="24"/>
                <w:szCs w:val="24"/>
              </w:rPr>
              <w:t>445</w:t>
            </w:r>
            <w:r w:rsidR="00DF53C5" w:rsidRPr="0085134A">
              <w:rPr>
                <w:rFonts w:ascii="Arial" w:hAnsi="Arial" w:cs="Arial"/>
                <w:b/>
                <w:color w:val="000000" w:themeColor="text1"/>
                <w:sz w:val="24"/>
                <w:szCs w:val="24"/>
              </w:rPr>
              <w:t>,</w:t>
            </w:r>
            <w:r>
              <w:rPr>
                <w:rFonts w:ascii="Arial" w:hAnsi="Arial" w:cs="Arial"/>
                <w:b/>
                <w:color w:val="000000" w:themeColor="text1"/>
                <w:sz w:val="24"/>
                <w:szCs w:val="24"/>
              </w:rPr>
              <w:t>064</w:t>
            </w:r>
          </w:p>
        </w:tc>
      </w:tr>
    </w:tbl>
    <w:p w:rsidR="00E8072B" w:rsidRDefault="00E8072B" w:rsidP="00484385">
      <w:pPr>
        <w:tabs>
          <w:tab w:val="left" w:pos="709"/>
        </w:tabs>
        <w:spacing w:line="240" w:lineRule="auto"/>
        <w:jc w:val="both"/>
        <w:rPr>
          <w:rFonts w:ascii="Arial" w:hAnsi="Arial" w:cs="Arial"/>
        </w:rPr>
      </w:pPr>
    </w:p>
    <w:p w:rsidR="00892150" w:rsidRPr="00892150" w:rsidRDefault="00892150" w:rsidP="00484385">
      <w:pPr>
        <w:tabs>
          <w:tab w:val="left" w:pos="709"/>
        </w:tabs>
        <w:spacing w:line="240" w:lineRule="auto"/>
        <w:ind w:left="709" w:hanging="709"/>
        <w:jc w:val="both"/>
        <w:rPr>
          <w:rFonts w:ascii="Arial" w:hAnsi="Arial" w:cs="Arial"/>
        </w:rPr>
      </w:pPr>
      <w:r w:rsidRPr="00892150">
        <w:rPr>
          <w:rFonts w:ascii="Arial" w:hAnsi="Arial" w:cs="Arial"/>
        </w:rPr>
        <w:lastRenderedPageBreak/>
        <w:t>4.3</w:t>
      </w:r>
      <w:r>
        <w:rPr>
          <w:rFonts w:ascii="Arial" w:hAnsi="Arial" w:cs="Arial"/>
        </w:rPr>
        <w:tab/>
      </w:r>
      <w:r w:rsidRPr="005C590D">
        <w:rPr>
          <w:rFonts w:ascii="Arial" w:hAnsi="Arial" w:cs="Arial"/>
        </w:rPr>
        <w:t xml:space="preserve">The main reason for the debt over year relates to </w:t>
      </w:r>
      <w:r w:rsidR="0020514D" w:rsidRPr="005C590D">
        <w:rPr>
          <w:rFonts w:ascii="Arial" w:hAnsi="Arial" w:cs="Arial"/>
        </w:rPr>
        <w:t xml:space="preserve">unpaid commercial </w:t>
      </w:r>
      <w:r w:rsidR="005C590D" w:rsidRPr="005C590D">
        <w:rPr>
          <w:rFonts w:ascii="Arial" w:hAnsi="Arial" w:cs="Arial"/>
        </w:rPr>
        <w:t xml:space="preserve">rent </w:t>
      </w:r>
      <w:r w:rsidR="0020514D" w:rsidRPr="005C590D">
        <w:rPr>
          <w:rFonts w:ascii="Arial" w:hAnsi="Arial" w:cs="Arial"/>
        </w:rPr>
        <w:t xml:space="preserve">and </w:t>
      </w:r>
      <w:r w:rsidR="005C590D" w:rsidRPr="005C590D">
        <w:rPr>
          <w:rFonts w:ascii="Arial" w:hAnsi="Arial" w:cs="Arial"/>
        </w:rPr>
        <w:t>recovery of outstanding court costs.</w:t>
      </w:r>
      <w:r w:rsidR="00F02942">
        <w:rPr>
          <w:rFonts w:ascii="Arial" w:hAnsi="Arial" w:cs="Arial"/>
        </w:rPr>
        <w:t xml:space="preserve"> </w:t>
      </w:r>
    </w:p>
    <w:p w:rsidR="00C9117A" w:rsidRPr="00616004" w:rsidRDefault="00892150" w:rsidP="00484385">
      <w:pPr>
        <w:tabs>
          <w:tab w:val="left" w:pos="709"/>
        </w:tabs>
        <w:spacing w:after="160" w:line="240" w:lineRule="auto"/>
        <w:rPr>
          <w:rFonts w:ascii="Arial" w:hAnsi="Arial" w:cs="Arial"/>
          <w:b/>
        </w:rPr>
      </w:pPr>
      <w:r w:rsidRPr="00892150">
        <w:rPr>
          <w:rFonts w:ascii="Arial" w:hAnsi="Arial" w:cs="Arial"/>
          <w:b/>
        </w:rPr>
        <w:t>5</w:t>
      </w:r>
      <w:r w:rsidR="00034C55" w:rsidRPr="00892150">
        <w:rPr>
          <w:rFonts w:ascii="Arial" w:hAnsi="Arial" w:cs="Arial"/>
          <w:b/>
        </w:rPr>
        <w:t>.0</w:t>
      </w:r>
      <w:r w:rsidR="00034C55" w:rsidRPr="00616004">
        <w:rPr>
          <w:rFonts w:ascii="Arial" w:hAnsi="Arial" w:cs="Arial"/>
          <w:b/>
        </w:rPr>
        <w:t xml:space="preserve"> </w:t>
      </w:r>
      <w:r w:rsidR="00126ADE">
        <w:rPr>
          <w:rFonts w:ascii="Arial" w:hAnsi="Arial" w:cs="Arial"/>
          <w:b/>
        </w:rPr>
        <w:tab/>
      </w:r>
      <w:r w:rsidR="002B5710" w:rsidRPr="00616004">
        <w:rPr>
          <w:rFonts w:ascii="Arial" w:hAnsi="Arial" w:cs="Arial"/>
          <w:b/>
        </w:rPr>
        <w:t>Council Ta</w:t>
      </w:r>
      <w:r w:rsidR="00F55998">
        <w:rPr>
          <w:rFonts w:ascii="Arial" w:hAnsi="Arial" w:cs="Arial"/>
          <w:b/>
        </w:rPr>
        <w:t>x and Business Rates Collection</w:t>
      </w:r>
    </w:p>
    <w:p w:rsidR="002B5710" w:rsidRPr="00126ADE" w:rsidRDefault="00892150" w:rsidP="00484385">
      <w:pPr>
        <w:tabs>
          <w:tab w:val="left" w:pos="709"/>
        </w:tabs>
        <w:spacing w:after="160" w:line="240" w:lineRule="auto"/>
        <w:ind w:left="709" w:hanging="709"/>
        <w:rPr>
          <w:rFonts w:ascii="Arial" w:hAnsi="Arial" w:cs="Arial"/>
          <w:b/>
        </w:rPr>
      </w:pPr>
      <w:r>
        <w:rPr>
          <w:rFonts w:ascii="Arial" w:hAnsi="Arial" w:cs="Arial"/>
        </w:rPr>
        <w:t>5</w:t>
      </w:r>
      <w:r w:rsidR="00034C55" w:rsidRPr="00126ADE">
        <w:rPr>
          <w:rFonts w:ascii="Arial" w:hAnsi="Arial" w:cs="Arial"/>
        </w:rPr>
        <w:t>.1</w:t>
      </w:r>
      <w:r w:rsidR="00034C55" w:rsidRPr="00616004">
        <w:rPr>
          <w:rFonts w:ascii="Arial" w:hAnsi="Arial" w:cs="Arial"/>
          <w:b/>
        </w:rPr>
        <w:t xml:space="preserve"> </w:t>
      </w:r>
      <w:r w:rsidR="00126ADE">
        <w:rPr>
          <w:rFonts w:ascii="Arial" w:hAnsi="Arial" w:cs="Arial"/>
          <w:b/>
        </w:rPr>
        <w:tab/>
      </w:r>
      <w:r w:rsidR="000A54A2" w:rsidRPr="0000040F">
        <w:rPr>
          <w:rFonts w:ascii="Arial" w:hAnsi="Arial" w:cs="Arial"/>
          <w:u w:val="single"/>
        </w:rPr>
        <w:t>Council Tax</w:t>
      </w:r>
      <w:r w:rsidR="0000040F">
        <w:rPr>
          <w:rFonts w:ascii="Arial" w:hAnsi="Arial" w:cs="Arial"/>
        </w:rPr>
        <w:t xml:space="preserve">.  </w:t>
      </w:r>
      <w:r w:rsidR="002B5710" w:rsidRPr="00616004">
        <w:rPr>
          <w:rFonts w:ascii="Arial" w:hAnsi="Arial" w:cs="Arial"/>
        </w:rPr>
        <w:t>The Council</w:t>
      </w:r>
      <w:r w:rsidR="004361FD">
        <w:rPr>
          <w:rFonts w:ascii="Arial" w:hAnsi="Arial" w:cs="Arial"/>
        </w:rPr>
        <w:t>’</w:t>
      </w:r>
      <w:r w:rsidR="002B5710" w:rsidRPr="00616004">
        <w:rPr>
          <w:rFonts w:ascii="Arial" w:hAnsi="Arial" w:cs="Arial"/>
        </w:rPr>
        <w:t xml:space="preserve">s performance in the collection of Council Tax can be seen in the following chart. It shows the collection percentage to date </w:t>
      </w:r>
      <w:r w:rsidR="00286032">
        <w:rPr>
          <w:rFonts w:ascii="Arial" w:hAnsi="Arial" w:cs="Arial"/>
        </w:rPr>
        <w:t>together</w:t>
      </w:r>
      <w:r w:rsidR="002B5710" w:rsidRPr="00616004">
        <w:rPr>
          <w:rFonts w:ascii="Arial" w:hAnsi="Arial" w:cs="Arial"/>
        </w:rPr>
        <w:t xml:space="preserve"> with the target for the year. </w:t>
      </w:r>
      <w:r w:rsidR="0000040F">
        <w:rPr>
          <w:rFonts w:ascii="Arial" w:hAnsi="Arial" w:cs="Arial"/>
        </w:rPr>
        <w:t xml:space="preserve"> </w:t>
      </w:r>
      <w:r w:rsidR="002B5710" w:rsidRPr="00616004">
        <w:rPr>
          <w:rFonts w:ascii="Arial" w:hAnsi="Arial" w:cs="Arial"/>
        </w:rPr>
        <w:t xml:space="preserve">The actual income collected as at </w:t>
      </w:r>
      <w:r w:rsidR="003818CA">
        <w:rPr>
          <w:rFonts w:ascii="Arial" w:hAnsi="Arial" w:cs="Arial"/>
        </w:rPr>
        <w:t>31</w:t>
      </w:r>
      <w:r w:rsidR="005C50EA">
        <w:rPr>
          <w:rFonts w:ascii="Arial" w:hAnsi="Arial" w:cs="Arial"/>
        </w:rPr>
        <w:t xml:space="preserve"> January</w:t>
      </w:r>
      <w:r w:rsidR="008C1F8F">
        <w:rPr>
          <w:rFonts w:ascii="Arial" w:hAnsi="Arial" w:cs="Arial"/>
        </w:rPr>
        <w:t xml:space="preserve"> </w:t>
      </w:r>
      <w:r w:rsidR="005C50EA">
        <w:rPr>
          <w:rFonts w:ascii="Arial" w:hAnsi="Arial" w:cs="Arial"/>
        </w:rPr>
        <w:t>2018</w:t>
      </w:r>
      <w:r w:rsidR="0026762C">
        <w:rPr>
          <w:rFonts w:ascii="Arial" w:hAnsi="Arial" w:cs="Arial"/>
        </w:rPr>
        <w:t xml:space="preserve"> is</w:t>
      </w:r>
      <w:r w:rsidR="00AC2DD2">
        <w:rPr>
          <w:rFonts w:ascii="Arial" w:hAnsi="Arial" w:cs="Arial"/>
        </w:rPr>
        <w:t xml:space="preserve"> </w:t>
      </w:r>
      <w:r w:rsidR="004361FD">
        <w:rPr>
          <w:rFonts w:ascii="Arial" w:hAnsi="Arial" w:cs="Arial"/>
        </w:rPr>
        <w:t xml:space="preserve">just </w:t>
      </w:r>
      <w:r w:rsidR="00406DF6">
        <w:rPr>
          <w:rFonts w:ascii="Arial" w:hAnsi="Arial" w:cs="Arial"/>
        </w:rPr>
        <w:t>above the</w:t>
      </w:r>
      <w:r w:rsidR="004361FD">
        <w:rPr>
          <w:rFonts w:ascii="Arial" w:hAnsi="Arial" w:cs="Arial"/>
        </w:rPr>
        <w:t xml:space="preserve"> profiled expectation for this point in the year</w:t>
      </w:r>
      <w:r w:rsidR="0026762C">
        <w:rPr>
          <w:rFonts w:ascii="Arial" w:hAnsi="Arial" w:cs="Arial"/>
        </w:rPr>
        <w:t>.</w:t>
      </w:r>
      <w:r w:rsidR="002B5710" w:rsidRPr="00616004">
        <w:rPr>
          <w:rFonts w:ascii="Arial" w:hAnsi="Arial" w:cs="Arial"/>
        </w:rPr>
        <w:t xml:space="preserve"> </w:t>
      </w:r>
    </w:p>
    <w:p w:rsidR="00CB275D" w:rsidRPr="00F63C6B" w:rsidRDefault="00CB275D" w:rsidP="00F63C6B">
      <w:pPr>
        <w:tabs>
          <w:tab w:val="left" w:pos="3765"/>
        </w:tabs>
        <w:spacing w:line="240" w:lineRule="auto"/>
        <w:ind w:left="709"/>
        <w:jc w:val="center"/>
      </w:pPr>
      <w:r>
        <w:rPr>
          <w:noProof/>
          <w:lang w:eastAsia="en-GB"/>
        </w:rPr>
        <w:drawing>
          <wp:inline distT="0" distB="0" distL="0" distR="0" wp14:anchorId="6EC109F4" wp14:editId="7EA7C069">
            <wp:extent cx="5951095" cy="2533337"/>
            <wp:effectExtent l="0" t="0" r="12065"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ab/>
      </w:r>
    </w:p>
    <w:p w:rsidR="004361FD" w:rsidRDefault="00892150" w:rsidP="00484385">
      <w:pPr>
        <w:tabs>
          <w:tab w:val="left" w:pos="709"/>
        </w:tabs>
        <w:spacing w:after="160" w:line="240" w:lineRule="auto"/>
        <w:ind w:left="709" w:hanging="709"/>
        <w:rPr>
          <w:rFonts w:ascii="Arial" w:hAnsi="Arial" w:cs="Arial"/>
        </w:rPr>
      </w:pPr>
      <w:r>
        <w:rPr>
          <w:rFonts w:ascii="Arial" w:hAnsi="Arial" w:cs="Arial"/>
        </w:rPr>
        <w:t>5</w:t>
      </w:r>
      <w:r w:rsidR="00034C55" w:rsidRPr="00126ADE">
        <w:rPr>
          <w:rFonts w:ascii="Arial" w:hAnsi="Arial" w:cs="Arial"/>
        </w:rPr>
        <w:t>.2</w:t>
      </w:r>
      <w:r w:rsidR="00034C55" w:rsidRPr="00616004">
        <w:rPr>
          <w:rFonts w:ascii="Arial" w:hAnsi="Arial" w:cs="Arial"/>
          <w:b/>
        </w:rPr>
        <w:t xml:space="preserve"> </w:t>
      </w:r>
      <w:r w:rsidR="00126ADE">
        <w:rPr>
          <w:rFonts w:ascii="Arial" w:hAnsi="Arial" w:cs="Arial"/>
          <w:b/>
        </w:rPr>
        <w:tab/>
      </w:r>
      <w:r w:rsidR="000A54A2" w:rsidRPr="0000040F">
        <w:rPr>
          <w:rFonts w:ascii="Arial" w:hAnsi="Arial" w:cs="Arial"/>
          <w:u w:val="single"/>
        </w:rPr>
        <w:t>Business Rates</w:t>
      </w:r>
      <w:r w:rsidR="0000040F">
        <w:rPr>
          <w:rFonts w:ascii="Arial" w:hAnsi="Arial" w:cs="Arial"/>
        </w:rPr>
        <w:t xml:space="preserve">.  </w:t>
      </w:r>
      <w:r w:rsidR="000A54A2" w:rsidRPr="00616004">
        <w:rPr>
          <w:rFonts w:ascii="Arial" w:hAnsi="Arial" w:cs="Arial"/>
        </w:rPr>
        <w:t>The Councils performance for bu</w:t>
      </w:r>
      <w:r w:rsidR="00292F03" w:rsidRPr="00616004">
        <w:rPr>
          <w:rFonts w:ascii="Arial" w:hAnsi="Arial" w:cs="Arial"/>
        </w:rPr>
        <w:t xml:space="preserve">siness rate collection is shown in the following chart. </w:t>
      </w:r>
      <w:r w:rsidR="0000747C" w:rsidRPr="00616004">
        <w:rPr>
          <w:rFonts w:ascii="Arial" w:hAnsi="Arial" w:cs="Arial"/>
        </w:rPr>
        <w:t xml:space="preserve">It shows the collection percentage to date </w:t>
      </w:r>
      <w:r w:rsidR="00286032">
        <w:rPr>
          <w:rFonts w:ascii="Arial" w:hAnsi="Arial" w:cs="Arial"/>
        </w:rPr>
        <w:t>together</w:t>
      </w:r>
      <w:r w:rsidR="0000747C" w:rsidRPr="00616004">
        <w:rPr>
          <w:rFonts w:ascii="Arial" w:hAnsi="Arial" w:cs="Arial"/>
        </w:rPr>
        <w:t xml:space="preserve"> with the target for the year</w:t>
      </w:r>
      <w:r w:rsidR="0000747C">
        <w:rPr>
          <w:rFonts w:ascii="Arial" w:hAnsi="Arial" w:cs="Arial"/>
        </w:rPr>
        <w:t xml:space="preserve">. </w:t>
      </w:r>
      <w:r w:rsidR="0000040F">
        <w:rPr>
          <w:rFonts w:ascii="Arial" w:hAnsi="Arial" w:cs="Arial"/>
        </w:rPr>
        <w:t xml:space="preserve"> </w:t>
      </w:r>
      <w:r w:rsidR="00292F03" w:rsidRPr="00616004">
        <w:rPr>
          <w:rFonts w:ascii="Arial" w:hAnsi="Arial" w:cs="Arial"/>
        </w:rPr>
        <w:t xml:space="preserve">The actual income collected as at the </w:t>
      </w:r>
      <w:r w:rsidR="005C50EA">
        <w:rPr>
          <w:rFonts w:ascii="Arial" w:hAnsi="Arial" w:cs="Arial"/>
        </w:rPr>
        <w:t>31</w:t>
      </w:r>
      <w:r w:rsidR="005662C1">
        <w:rPr>
          <w:rFonts w:ascii="Arial" w:hAnsi="Arial" w:cs="Arial"/>
        </w:rPr>
        <w:t xml:space="preserve"> </w:t>
      </w:r>
      <w:r w:rsidR="005C50EA">
        <w:rPr>
          <w:rFonts w:ascii="Arial" w:hAnsi="Arial" w:cs="Arial"/>
        </w:rPr>
        <w:t xml:space="preserve">January 2018 </w:t>
      </w:r>
      <w:r w:rsidR="00AC2DD2">
        <w:rPr>
          <w:rFonts w:ascii="Arial" w:hAnsi="Arial" w:cs="Arial"/>
        </w:rPr>
        <w:t xml:space="preserve">is </w:t>
      </w:r>
      <w:r w:rsidR="005C50EA">
        <w:rPr>
          <w:rFonts w:ascii="Arial" w:hAnsi="Arial" w:cs="Arial"/>
        </w:rPr>
        <w:t>slightly lower</w:t>
      </w:r>
      <w:r w:rsidR="00783522">
        <w:rPr>
          <w:rFonts w:ascii="Arial" w:hAnsi="Arial" w:cs="Arial"/>
        </w:rPr>
        <w:t xml:space="preserve"> compared to </w:t>
      </w:r>
      <w:r w:rsidR="004361FD">
        <w:rPr>
          <w:rFonts w:ascii="Arial" w:hAnsi="Arial" w:cs="Arial"/>
        </w:rPr>
        <w:t>the profiled expectation for this point in the year.</w:t>
      </w:r>
      <w:r w:rsidR="004361FD" w:rsidRPr="00616004">
        <w:rPr>
          <w:rFonts w:ascii="Arial" w:hAnsi="Arial" w:cs="Arial"/>
        </w:rPr>
        <w:t xml:space="preserve"> </w:t>
      </w:r>
    </w:p>
    <w:p w:rsidR="00CB275D" w:rsidRDefault="00CB275D" w:rsidP="00484385">
      <w:pPr>
        <w:tabs>
          <w:tab w:val="left" w:pos="1089"/>
        </w:tabs>
        <w:spacing w:after="160" w:line="240" w:lineRule="auto"/>
        <w:ind w:left="709" w:hanging="709"/>
        <w:rPr>
          <w:rFonts w:ascii="Arial" w:hAnsi="Arial" w:cs="Arial"/>
        </w:rPr>
      </w:pPr>
      <w:r>
        <w:rPr>
          <w:rFonts w:ascii="Arial" w:hAnsi="Arial" w:cs="Arial"/>
        </w:rPr>
        <w:tab/>
      </w:r>
      <w:r>
        <w:rPr>
          <w:noProof/>
          <w:lang w:eastAsia="en-GB"/>
        </w:rPr>
        <w:drawing>
          <wp:inline distT="0" distB="0" distL="0" distR="0" wp14:anchorId="268901F5" wp14:editId="711CCEAC">
            <wp:extent cx="5951095" cy="2435902"/>
            <wp:effectExtent l="0" t="0" r="12065" b="215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1DCA" w:rsidRPr="00AD1DCA" w:rsidRDefault="001E3FD8" w:rsidP="00484385">
      <w:pPr>
        <w:widowControl w:val="0"/>
        <w:tabs>
          <w:tab w:val="left" w:pos="709"/>
          <w:tab w:val="left" w:pos="1980"/>
          <w:tab w:val="left" w:pos="2700"/>
          <w:tab w:val="left" w:pos="3420"/>
        </w:tabs>
        <w:spacing w:after="160" w:line="240" w:lineRule="auto"/>
        <w:jc w:val="both"/>
        <w:rPr>
          <w:rFonts w:ascii="Arial" w:hAnsi="Arial" w:cs="Arial"/>
          <w:bCs/>
          <w:iCs/>
          <w:lang w:eastAsia="en-GB"/>
        </w:rPr>
      </w:pPr>
      <w:r>
        <w:rPr>
          <w:rFonts w:ascii="Arial" w:hAnsi="Arial" w:cs="Arial"/>
          <w:b/>
          <w:lang w:eastAsia="en-GB"/>
        </w:rPr>
        <w:t>6</w:t>
      </w:r>
      <w:r w:rsidR="00AD1DCA" w:rsidRPr="00AD1DCA">
        <w:rPr>
          <w:rFonts w:ascii="Arial" w:hAnsi="Arial" w:cs="Arial"/>
          <w:b/>
          <w:lang w:eastAsia="en-GB"/>
        </w:rPr>
        <w:t>.0</w:t>
      </w:r>
      <w:r w:rsidR="00AD1DCA" w:rsidRPr="00AD1DCA">
        <w:rPr>
          <w:rFonts w:ascii="Arial" w:hAnsi="Arial" w:cs="Arial"/>
          <w:b/>
          <w:lang w:eastAsia="en-GB"/>
        </w:rPr>
        <w:tab/>
      </w:r>
      <w:r w:rsidR="00AD1DCA" w:rsidRPr="00AD1DCA">
        <w:rPr>
          <w:rFonts w:ascii="Arial" w:hAnsi="Arial" w:cs="Arial"/>
          <w:b/>
          <w:bCs/>
          <w:kern w:val="32"/>
          <w:lang w:eastAsia="en-GB"/>
        </w:rPr>
        <w:t xml:space="preserve">Treasury Management </w:t>
      </w:r>
    </w:p>
    <w:p w:rsidR="00AD1DCA" w:rsidRPr="00FF036F" w:rsidRDefault="001E3FD8" w:rsidP="001F1BD5">
      <w:pPr>
        <w:tabs>
          <w:tab w:val="left" w:pos="851"/>
          <w:tab w:val="left" w:pos="1980"/>
          <w:tab w:val="left" w:pos="2700"/>
          <w:tab w:val="left" w:pos="3420"/>
        </w:tabs>
        <w:spacing w:after="160" w:line="240" w:lineRule="auto"/>
        <w:ind w:left="709" w:hanging="709"/>
        <w:jc w:val="both"/>
        <w:rPr>
          <w:rFonts w:ascii="Arial" w:hAnsi="Arial" w:cs="Arial"/>
          <w:bCs/>
          <w:iCs/>
          <w:color w:val="000000" w:themeColor="text1"/>
          <w:lang w:eastAsia="en-GB"/>
        </w:rPr>
      </w:pPr>
      <w:r w:rsidRPr="00FF036F">
        <w:rPr>
          <w:rFonts w:ascii="Arial" w:hAnsi="Arial" w:cs="Arial"/>
          <w:bCs/>
          <w:iCs/>
          <w:lang w:eastAsia="en-GB"/>
        </w:rPr>
        <w:t>6</w:t>
      </w:r>
      <w:r w:rsidR="00AD1DCA" w:rsidRPr="00FF036F">
        <w:rPr>
          <w:rFonts w:ascii="Arial" w:hAnsi="Arial" w:cs="Arial"/>
          <w:bCs/>
          <w:iCs/>
          <w:lang w:eastAsia="en-GB"/>
        </w:rPr>
        <w:t>.1</w:t>
      </w:r>
      <w:r w:rsidR="00AD1DCA" w:rsidRPr="00FF036F">
        <w:rPr>
          <w:rFonts w:ascii="Arial" w:hAnsi="Arial" w:cs="Arial"/>
          <w:bCs/>
          <w:iCs/>
          <w:lang w:eastAsia="en-GB"/>
        </w:rPr>
        <w:tab/>
      </w:r>
      <w:r w:rsidR="00AD1DCA" w:rsidRPr="00FF036F">
        <w:rPr>
          <w:rFonts w:ascii="Arial" w:hAnsi="Arial" w:cs="Arial"/>
          <w:bCs/>
          <w:iCs/>
          <w:color w:val="000000" w:themeColor="text1"/>
          <w:lang w:eastAsia="en-GB"/>
        </w:rPr>
        <w:t xml:space="preserve">The interest earned on the investments made by the Council supports the funding of the services it provides. The target rate </w:t>
      </w:r>
      <w:r w:rsidR="004361FD" w:rsidRPr="00FF036F">
        <w:rPr>
          <w:rFonts w:ascii="Arial" w:hAnsi="Arial" w:cs="Arial"/>
          <w:bCs/>
          <w:iCs/>
          <w:color w:val="000000" w:themeColor="text1"/>
          <w:lang w:eastAsia="en-GB"/>
        </w:rPr>
        <w:t xml:space="preserve">for </w:t>
      </w:r>
      <w:r w:rsidR="00AD1DCA" w:rsidRPr="00FF036F">
        <w:rPr>
          <w:rFonts w:ascii="Arial" w:hAnsi="Arial" w:cs="Arial"/>
          <w:bCs/>
          <w:iCs/>
          <w:color w:val="000000" w:themeColor="text1"/>
          <w:lang w:eastAsia="en-GB"/>
        </w:rPr>
        <w:t>earning interest ra</w:t>
      </w:r>
      <w:r w:rsidR="00943F64" w:rsidRPr="00FF036F">
        <w:rPr>
          <w:rFonts w:ascii="Arial" w:hAnsi="Arial" w:cs="Arial"/>
          <w:bCs/>
          <w:iCs/>
          <w:color w:val="000000" w:themeColor="text1"/>
          <w:lang w:eastAsia="en-GB"/>
        </w:rPr>
        <w:t xml:space="preserve">te is </w:t>
      </w:r>
      <w:r w:rsidR="004361FD" w:rsidRPr="00FF036F">
        <w:rPr>
          <w:rFonts w:ascii="Arial" w:hAnsi="Arial" w:cs="Arial"/>
          <w:bCs/>
          <w:iCs/>
          <w:color w:val="000000" w:themeColor="text1"/>
          <w:lang w:eastAsia="en-GB"/>
        </w:rPr>
        <w:t>set at 12</w:t>
      </w:r>
      <w:r w:rsidR="005662C1">
        <w:rPr>
          <w:rFonts w:ascii="Arial" w:hAnsi="Arial" w:cs="Arial"/>
          <w:bCs/>
          <w:iCs/>
          <w:color w:val="000000" w:themeColor="text1"/>
          <w:lang w:eastAsia="en-GB"/>
        </w:rPr>
        <w:t xml:space="preserve"> basis points (bps)</w:t>
      </w:r>
      <w:r w:rsidR="004361FD" w:rsidRPr="00FF036F">
        <w:rPr>
          <w:rFonts w:ascii="Arial" w:hAnsi="Arial" w:cs="Arial"/>
          <w:bCs/>
          <w:iCs/>
          <w:color w:val="000000" w:themeColor="text1"/>
          <w:lang w:eastAsia="en-GB"/>
        </w:rPr>
        <w:t xml:space="preserve"> above the average bank rate; this currently equates to </w:t>
      </w:r>
      <w:r w:rsidR="005662C1">
        <w:rPr>
          <w:rFonts w:ascii="Arial" w:hAnsi="Arial" w:cs="Arial"/>
          <w:bCs/>
          <w:iCs/>
          <w:color w:val="000000" w:themeColor="text1"/>
          <w:lang w:eastAsia="en-GB"/>
        </w:rPr>
        <w:t>4</w:t>
      </w:r>
      <w:r w:rsidR="001F1BD5" w:rsidRPr="00FF036F">
        <w:rPr>
          <w:rFonts w:ascii="Arial" w:hAnsi="Arial" w:cs="Arial"/>
          <w:bCs/>
          <w:iCs/>
          <w:color w:val="000000" w:themeColor="text1"/>
          <w:lang w:eastAsia="en-GB"/>
        </w:rPr>
        <w:t>2</w:t>
      </w:r>
      <w:r w:rsidR="005662C1">
        <w:rPr>
          <w:rFonts w:ascii="Arial" w:hAnsi="Arial" w:cs="Arial"/>
          <w:bCs/>
          <w:iCs/>
          <w:color w:val="000000" w:themeColor="text1"/>
          <w:lang w:eastAsia="en-GB"/>
        </w:rPr>
        <w:t xml:space="preserve"> bps for the year</w:t>
      </w:r>
      <w:r w:rsidR="00943F64" w:rsidRPr="00FF036F">
        <w:rPr>
          <w:rFonts w:ascii="Arial" w:hAnsi="Arial" w:cs="Arial"/>
          <w:bCs/>
          <w:iCs/>
          <w:color w:val="000000" w:themeColor="text1"/>
          <w:lang w:eastAsia="en-GB"/>
        </w:rPr>
        <w:t xml:space="preserve">. </w:t>
      </w:r>
      <w:r w:rsidR="004361FD" w:rsidRPr="00FF036F">
        <w:rPr>
          <w:rFonts w:ascii="Arial" w:hAnsi="Arial" w:cs="Arial"/>
          <w:bCs/>
          <w:iCs/>
          <w:color w:val="000000" w:themeColor="text1"/>
          <w:lang w:eastAsia="en-GB"/>
        </w:rPr>
        <w:t xml:space="preserve"> </w:t>
      </w:r>
      <w:r w:rsidR="003818CA" w:rsidRPr="00FF036F">
        <w:rPr>
          <w:rFonts w:ascii="Arial" w:hAnsi="Arial" w:cs="Arial"/>
          <w:bCs/>
          <w:iCs/>
          <w:color w:val="000000" w:themeColor="text1"/>
          <w:lang w:eastAsia="en-GB"/>
        </w:rPr>
        <w:t>Up to the end of January</w:t>
      </w:r>
      <w:r w:rsidR="00AD1DCA" w:rsidRPr="00FF036F">
        <w:rPr>
          <w:rFonts w:ascii="Arial" w:hAnsi="Arial" w:cs="Arial"/>
          <w:bCs/>
          <w:iCs/>
          <w:color w:val="000000" w:themeColor="text1"/>
          <w:lang w:eastAsia="en-GB"/>
        </w:rPr>
        <w:t xml:space="preserve">, the average annualised interest rate earned on investments was </w:t>
      </w:r>
      <w:r w:rsidR="001F1BD5" w:rsidRPr="00FF036F">
        <w:rPr>
          <w:rFonts w:ascii="Arial" w:hAnsi="Arial" w:cs="Arial"/>
          <w:bCs/>
          <w:iCs/>
          <w:color w:val="000000" w:themeColor="text1"/>
          <w:lang w:eastAsia="en-GB"/>
        </w:rPr>
        <w:t>45</w:t>
      </w:r>
      <w:r w:rsidR="005662C1">
        <w:rPr>
          <w:rFonts w:ascii="Arial" w:hAnsi="Arial" w:cs="Arial"/>
          <w:bCs/>
          <w:iCs/>
          <w:color w:val="000000" w:themeColor="text1"/>
          <w:lang w:eastAsia="en-GB"/>
        </w:rPr>
        <w:t xml:space="preserve"> bps</w:t>
      </w:r>
      <w:r w:rsidR="00AD1DCA" w:rsidRPr="00FF036F">
        <w:rPr>
          <w:rFonts w:ascii="Arial" w:hAnsi="Arial" w:cs="Arial"/>
          <w:bCs/>
          <w:iCs/>
          <w:color w:val="000000" w:themeColor="text1"/>
          <w:lang w:eastAsia="en-GB"/>
        </w:rPr>
        <w:t xml:space="preserve">.  </w:t>
      </w:r>
    </w:p>
    <w:p w:rsidR="00906150" w:rsidRPr="0015218B" w:rsidRDefault="001E3FD8" w:rsidP="0015218B">
      <w:pPr>
        <w:tabs>
          <w:tab w:val="left" w:pos="851"/>
          <w:tab w:val="left" w:pos="1980"/>
          <w:tab w:val="left" w:pos="2700"/>
          <w:tab w:val="left" w:pos="3420"/>
        </w:tabs>
        <w:spacing w:after="160" w:line="240" w:lineRule="auto"/>
        <w:ind w:left="709" w:hanging="709"/>
        <w:jc w:val="both"/>
        <w:rPr>
          <w:rFonts w:ascii="Arial" w:hAnsi="Arial" w:cs="Arial"/>
          <w:bCs/>
          <w:iCs/>
          <w:color w:val="000000" w:themeColor="text1"/>
          <w:lang w:eastAsia="en-GB"/>
        </w:rPr>
      </w:pPr>
      <w:r w:rsidRPr="00FF036F">
        <w:rPr>
          <w:rFonts w:ascii="Arial" w:hAnsi="Arial" w:cs="Arial"/>
          <w:bCs/>
          <w:iCs/>
          <w:color w:val="000000" w:themeColor="text1"/>
          <w:lang w:eastAsia="en-GB"/>
        </w:rPr>
        <w:t>6</w:t>
      </w:r>
      <w:r w:rsidR="00AD1DCA" w:rsidRPr="00FF036F">
        <w:rPr>
          <w:rFonts w:ascii="Arial" w:hAnsi="Arial" w:cs="Arial"/>
          <w:bCs/>
          <w:iCs/>
          <w:color w:val="000000" w:themeColor="text1"/>
          <w:lang w:eastAsia="en-GB"/>
        </w:rPr>
        <w:t>.2</w:t>
      </w:r>
      <w:r w:rsidR="00AD1DCA" w:rsidRPr="00FF036F">
        <w:rPr>
          <w:rFonts w:ascii="Arial" w:hAnsi="Arial" w:cs="Arial"/>
          <w:bCs/>
          <w:iCs/>
          <w:color w:val="000000" w:themeColor="text1"/>
          <w:lang w:eastAsia="en-GB"/>
        </w:rPr>
        <w:tab/>
        <w:t xml:space="preserve">The Council set </w:t>
      </w:r>
      <w:r w:rsidR="0015218B">
        <w:rPr>
          <w:rFonts w:ascii="Arial" w:hAnsi="Arial" w:cs="Arial"/>
          <w:bCs/>
          <w:iCs/>
          <w:color w:val="000000" w:themeColor="text1"/>
          <w:lang w:eastAsia="en-GB"/>
        </w:rPr>
        <w:t xml:space="preserve">a target </w:t>
      </w:r>
      <w:r w:rsidR="00AD1DCA" w:rsidRPr="00FF036F">
        <w:rPr>
          <w:rFonts w:ascii="Arial" w:hAnsi="Arial" w:cs="Arial"/>
          <w:bCs/>
          <w:iCs/>
          <w:color w:val="000000" w:themeColor="text1"/>
          <w:lang w:eastAsia="en-GB"/>
        </w:rPr>
        <w:t>of £</w:t>
      </w:r>
      <w:r w:rsidRPr="00FF036F">
        <w:rPr>
          <w:rFonts w:ascii="Arial" w:hAnsi="Arial" w:cs="Arial"/>
          <w:bCs/>
          <w:iCs/>
          <w:color w:val="000000" w:themeColor="text1"/>
          <w:lang w:eastAsia="en-GB"/>
        </w:rPr>
        <w:t>139</w:t>
      </w:r>
      <w:r w:rsidR="00AD1DCA" w:rsidRPr="00FF036F">
        <w:rPr>
          <w:rFonts w:ascii="Arial" w:hAnsi="Arial" w:cs="Arial"/>
          <w:bCs/>
          <w:iCs/>
          <w:color w:val="000000" w:themeColor="text1"/>
          <w:lang w:eastAsia="en-GB"/>
        </w:rPr>
        <w:t>,000 on investment interest for 2017/18.</w:t>
      </w:r>
      <w:r w:rsidR="001F1BD5" w:rsidRPr="00FF036F">
        <w:rPr>
          <w:rFonts w:ascii="Arial" w:hAnsi="Arial" w:cs="Arial"/>
          <w:bCs/>
          <w:iCs/>
          <w:color w:val="000000" w:themeColor="text1"/>
          <w:lang w:eastAsia="en-GB"/>
        </w:rPr>
        <w:t xml:space="preserve"> </w:t>
      </w:r>
      <w:r w:rsidR="00F63C6B" w:rsidRPr="00FF036F">
        <w:rPr>
          <w:rFonts w:ascii="Arial" w:hAnsi="Arial" w:cs="Arial"/>
          <w:bCs/>
          <w:iCs/>
          <w:color w:val="000000" w:themeColor="text1"/>
          <w:lang w:eastAsia="en-GB"/>
        </w:rPr>
        <w:t>The total estimated investment income for the current year is £114</w:t>
      </w:r>
      <w:r w:rsidR="005662C1">
        <w:rPr>
          <w:rFonts w:ascii="Arial" w:hAnsi="Arial" w:cs="Arial"/>
          <w:bCs/>
          <w:iCs/>
          <w:color w:val="000000" w:themeColor="text1"/>
          <w:lang w:eastAsia="en-GB"/>
        </w:rPr>
        <w:t>,</w:t>
      </w:r>
      <w:r w:rsidR="00FF036F" w:rsidRPr="00FF036F">
        <w:rPr>
          <w:rFonts w:ascii="Arial" w:hAnsi="Arial" w:cs="Arial"/>
          <w:bCs/>
          <w:iCs/>
          <w:color w:val="000000" w:themeColor="text1"/>
          <w:lang w:eastAsia="en-GB"/>
        </w:rPr>
        <w:t>000, which gives</w:t>
      </w:r>
      <w:r w:rsidR="00F63C6B" w:rsidRPr="00FF036F">
        <w:rPr>
          <w:rFonts w:ascii="Arial" w:hAnsi="Arial" w:cs="Arial"/>
          <w:bCs/>
          <w:iCs/>
          <w:color w:val="000000" w:themeColor="text1"/>
          <w:lang w:eastAsia="en-GB"/>
        </w:rPr>
        <w:t xml:space="preserve"> an adverse variance of £25,000</w:t>
      </w:r>
      <w:r w:rsidR="00FF036F" w:rsidRPr="00FF036F">
        <w:rPr>
          <w:rFonts w:ascii="Arial" w:hAnsi="Arial" w:cs="Arial"/>
          <w:bCs/>
          <w:iCs/>
          <w:color w:val="000000" w:themeColor="text1"/>
          <w:lang w:eastAsia="en-GB"/>
        </w:rPr>
        <w:t>. This is</w:t>
      </w:r>
      <w:r w:rsidR="00F63C6B" w:rsidRPr="00FF036F">
        <w:rPr>
          <w:rFonts w:ascii="Arial" w:hAnsi="Arial" w:cs="Arial"/>
          <w:bCs/>
          <w:iCs/>
          <w:color w:val="000000" w:themeColor="text1"/>
          <w:lang w:eastAsia="en-GB"/>
        </w:rPr>
        <w:t xml:space="preserve"> a result of </w:t>
      </w:r>
      <w:r w:rsidR="009E3B29" w:rsidRPr="00FF036F">
        <w:rPr>
          <w:rFonts w:ascii="Arial" w:hAnsi="Arial" w:cs="Arial"/>
          <w:bCs/>
          <w:iCs/>
          <w:color w:val="000000" w:themeColor="text1"/>
          <w:lang w:eastAsia="en-GB"/>
        </w:rPr>
        <w:t xml:space="preserve">the </w:t>
      </w:r>
      <w:r w:rsidR="00F63C6B" w:rsidRPr="00FF036F">
        <w:rPr>
          <w:rFonts w:ascii="Arial" w:hAnsi="Arial" w:cs="Arial"/>
          <w:bCs/>
          <w:iCs/>
          <w:color w:val="000000" w:themeColor="text1"/>
          <w:lang w:eastAsia="en-GB"/>
        </w:rPr>
        <w:t>Council</w:t>
      </w:r>
      <w:r w:rsidR="0015218B">
        <w:rPr>
          <w:rFonts w:ascii="Arial" w:hAnsi="Arial" w:cs="Arial"/>
          <w:bCs/>
          <w:iCs/>
          <w:color w:val="000000" w:themeColor="text1"/>
          <w:lang w:eastAsia="en-GB"/>
        </w:rPr>
        <w:t xml:space="preserve"> spending more on capital which reduces balances available for traditional i</w:t>
      </w:r>
      <w:r w:rsidR="00F63C6B" w:rsidRPr="00FF036F">
        <w:rPr>
          <w:rFonts w:ascii="Arial" w:hAnsi="Arial" w:cs="Arial"/>
          <w:bCs/>
          <w:iCs/>
          <w:color w:val="000000" w:themeColor="text1"/>
          <w:lang w:eastAsia="en-GB"/>
        </w:rPr>
        <w:t>nvest</w:t>
      </w:r>
      <w:r w:rsidR="0015218B">
        <w:rPr>
          <w:rFonts w:ascii="Arial" w:hAnsi="Arial" w:cs="Arial"/>
          <w:bCs/>
          <w:iCs/>
          <w:color w:val="000000" w:themeColor="text1"/>
          <w:lang w:eastAsia="en-GB"/>
        </w:rPr>
        <w:t xml:space="preserve">ments, and also from having to hold more money ‘on-call’ and in </w:t>
      </w:r>
      <w:r w:rsidR="009E3B29" w:rsidRPr="00FF036F">
        <w:rPr>
          <w:rFonts w:ascii="Arial" w:hAnsi="Arial" w:cs="Arial"/>
          <w:bCs/>
          <w:iCs/>
          <w:color w:val="000000" w:themeColor="text1"/>
          <w:lang w:eastAsia="en-GB"/>
        </w:rPr>
        <w:t>short</w:t>
      </w:r>
      <w:r w:rsidR="0015218B">
        <w:rPr>
          <w:rFonts w:ascii="Arial" w:hAnsi="Arial" w:cs="Arial"/>
          <w:bCs/>
          <w:iCs/>
          <w:color w:val="000000" w:themeColor="text1"/>
          <w:lang w:eastAsia="en-GB"/>
        </w:rPr>
        <w:t>-</w:t>
      </w:r>
      <w:r w:rsidR="009E3B29" w:rsidRPr="00FF036F">
        <w:rPr>
          <w:rFonts w:ascii="Arial" w:hAnsi="Arial" w:cs="Arial"/>
          <w:bCs/>
          <w:iCs/>
          <w:color w:val="000000" w:themeColor="text1"/>
          <w:lang w:eastAsia="en-GB"/>
        </w:rPr>
        <w:t xml:space="preserve">term deposits where returns are low due to its requirement to increase its liquidity </w:t>
      </w:r>
      <w:r w:rsidR="0015218B">
        <w:rPr>
          <w:rFonts w:ascii="Arial" w:hAnsi="Arial" w:cs="Arial"/>
          <w:bCs/>
          <w:iCs/>
          <w:color w:val="000000" w:themeColor="text1"/>
          <w:lang w:eastAsia="en-GB"/>
        </w:rPr>
        <w:t xml:space="preserve">pending </w:t>
      </w:r>
      <w:r w:rsidR="009E3B29" w:rsidRPr="00FF036F">
        <w:rPr>
          <w:rFonts w:ascii="Arial" w:hAnsi="Arial" w:cs="Arial"/>
          <w:bCs/>
          <w:iCs/>
          <w:color w:val="000000" w:themeColor="text1"/>
          <w:lang w:eastAsia="en-GB"/>
        </w:rPr>
        <w:t>investment decisions on its property portfolio.</w:t>
      </w:r>
      <w:r w:rsidR="00A968B3">
        <w:rPr>
          <w:rFonts w:ascii="Arial" w:hAnsi="Arial" w:cs="Arial"/>
          <w:bCs/>
          <w:iCs/>
          <w:lang w:eastAsia="en-GB"/>
        </w:rPr>
        <w:t xml:space="preserve"> </w:t>
      </w:r>
    </w:p>
    <w:p w:rsidR="00D05252" w:rsidRPr="00616004" w:rsidRDefault="00D05252" w:rsidP="00484385">
      <w:pPr>
        <w:keepNext/>
        <w:tabs>
          <w:tab w:val="left" w:pos="1260"/>
          <w:tab w:val="left" w:pos="1980"/>
          <w:tab w:val="left" w:pos="2700"/>
          <w:tab w:val="left" w:pos="3420"/>
        </w:tabs>
        <w:spacing w:after="0" w:line="240" w:lineRule="auto"/>
        <w:ind w:left="1267" w:hanging="1267"/>
        <w:jc w:val="both"/>
        <w:outlineLvl w:val="0"/>
        <w:rPr>
          <w:rFonts w:ascii="Arial" w:eastAsia="Times New Roman" w:hAnsi="Arial" w:cs="Arial"/>
          <w:lang w:eastAsia="en-GB"/>
        </w:rPr>
      </w:pPr>
    </w:p>
    <w:p w:rsidR="008E7DD8" w:rsidRPr="00DD5E82" w:rsidRDefault="008E7DD8" w:rsidP="00DD5E82">
      <w:pPr>
        <w:keepNext/>
        <w:tabs>
          <w:tab w:val="left" w:pos="1260"/>
          <w:tab w:val="left" w:pos="1980"/>
          <w:tab w:val="left" w:pos="2700"/>
          <w:tab w:val="left" w:pos="3420"/>
        </w:tabs>
        <w:spacing w:after="0" w:line="240" w:lineRule="auto"/>
        <w:ind w:left="1267" w:hanging="1267"/>
        <w:jc w:val="both"/>
        <w:outlineLvl w:val="0"/>
        <w:rPr>
          <w:rFonts w:ascii="Arial" w:eastAsia="Times New Roman" w:hAnsi="Arial" w:cs="Arial"/>
          <w:color w:val="365F91" w:themeColor="accent1" w:themeShade="BF"/>
          <w:lang w:eastAsia="en-GB"/>
        </w:rPr>
        <w:sectPr w:rsidR="008E7DD8" w:rsidRPr="00DD5E82" w:rsidSect="005C590D">
          <w:footerReference w:type="default" r:id="rId16"/>
          <w:pgSz w:w="11906" w:h="16838"/>
          <w:pgMar w:top="567" w:right="1077" w:bottom="567" w:left="1134" w:header="170" w:footer="170" w:gutter="0"/>
          <w:cols w:space="708"/>
          <w:docGrid w:linePitch="360"/>
        </w:sectPr>
      </w:pPr>
    </w:p>
    <w:p w:rsidR="008E7DD8" w:rsidRPr="008E7DD8" w:rsidRDefault="00DD5E82" w:rsidP="00DD5E82">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r>
        <w:rPr>
          <w:rFonts w:ascii="Arial" w:eastAsia="Times New Roman" w:hAnsi="Arial" w:cs="Times New Roman"/>
          <w:b/>
          <w:noProof/>
          <w:sz w:val="28"/>
          <w:szCs w:val="28"/>
          <w:lang w:eastAsia="en-GB"/>
        </w:rPr>
        <w:lastRenderedPageBreak/>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Pr>
          <w:rFonts w:ascii="Arial" w:eastAsia="Times New Roman" w:hAnsi="Arial" w:cs="Times New Roman"/>
          <w:b/>
          <w:noProof/>
          <w:sz w:val="28"/>
          <w:szCs w:val="28"/>
          <w:lang w:eastAsia="en-GB"/>
        </w:rPr>
        <w:tab/>
      </w:r>
      <w:r w:rsidR="008E7DD8" w:rsidRPr="008E7DD8">
        <w:rPr>
          <w:rFonts w:ascii="Arial" w:eastAsia="Times New Roman" w:hAnsi="Arial" w:cs="Times New Roman"/>
          <w:b/>
          <w:noProof/>
          <w:sz w:val="28"/>
          <w:szCs w:val="28"/>
          <w:lang w:eastAsia="en-GB"/>
        </w:rPr>
        <w:t>APPENDIX 1</w:t>
      </w:r>
    </w:p>
    <w:p w:rsidR="00D522CF" w:rsidRDefault="008E7DD8" w:rsidP="00522AAE">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r w:rsidRPr="008E7DD8">
        <w:rPr>
          <w:rFonts w:ascii="Arial" w:eastAsia="Times New Roman" w:hAnsi="Arial" w:cs="Times New Roman"/>
          <w:b/>
          <w:noProof/>
          <w:sz w:val="28"/>
          <w:szCs w:val="28"/>
          <w:lang w:eastAsia="en-GB"/>
        </w:rPr>
        <w:t>Medium Term Re</w:t>
      </w:r>
      <w:r w:rsidR="00522AAE">
        <w:rPr>
          <w:rFonts w:ascii="Arial" w:eastAsia="Times New Roman" w:hAnsi="Arial" w:cs="Times New Roman"/>
          <w:b/>
          <w:noProof/>
          <w:sz w:val="28"/>
          <w:szCs w:val="28"/>
          <w:lang w:eastAsia="en-GB"/>
        </w:rPr>
        <w:t>venue Budget by Committee</w:t>
      </w:r>
    </w:p>
    <w:p w:rsidR="008E7DD8" w:rsidRPr="00D522CF" w:rsidRDefault="00D522CF" w:rsidP="00D522CF">
      <w:pPr>
        <w:rPr>
          <w:rFonts w:ascii="Arial" w:eastAsia="Times New Roman" w:hAnsi="Arial" w:cs="Times New Roman"/>
          <w:sz w:val="28"/>
          <w:szCs w:val="28"/>
          <w:lang w:eastAsia="en-GB"/>
        </w:rPr>
      </w:pPr>
      <w:r w:rsidRPr="00D522CF">
        <w:rPr>
          <w:noProof/>
          <w:lang w:eastAsia="en-GB"/>
        </w:rPr>
        <w:drawing>
          <wp:inline distT="0" distB="0" distL="0" distR="0" wp14:anchorId="1201DD5D" wp14:editId="6C95F074">
            <wp:extent cx="9758473" cy="608600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6140" cy="6084552"/>
                    </a:xfrm>
                    <a:prstGeom prst="rect">
                      <a:avLst/>
                    </a:prstGeom>
                    <a:noFill/>
                    <a:ln>
                      <a:noFill/>
                    </a:ln>
                  </pic:spPr>
                </pic:pic>
              </a:graphicData>
            </a:graphic>
          </wp:inline>
        </w:drawing>
      </w:r>
    </w:p>
    <w:p w:rsidR="004330C4" w:rsidRDefault="00A50270" w:rsidP="00A21DB1">
      <w:pPr>
        <w:rPr>
          <w:rFonts w:ascii="Arial" w:eastAsia="Times New Roman" w:hAnsi="Arial" w:cs="Times New Roman"/>
          <w:noProof/>
          <w:szCs w:val="20"/>
          <w:lang w:eastAsia="en-GB"/>
        </w:rPr>
      </w:pPr>
      <w:r w:rsidRPr="00A50270">
        <w:rPr>
          <w:noProof/>
          <w:lang w:eastAsia="en-GB"/>
        </w:rPr>
        <w:lastRenderedPageBreak/>
        <w:drawing>
          <wp:inline distT="0" distB="0" distL="0" distR="0" wp14:anchorId="324B29DB" wp14:editId="089173DB">
            <wp:extent cx="9756207" cy="6273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6140" cy="6273341"/>
                    </a:xfrm>
                    <a:prstGeom prst="rect">
                      <a:avLst/>
                    </a:prstGeom>
                    <a:noFill/>
                    <a:ln>
                      <a:noFill/>
                    </a:ln>
                  </pic:spPr>
                </pic:pic>
              </a:graphicData>
            </a:graphic>
          </wp:inline>
        </w:drawing>
      </w:r>
    </w:p>
    <w:p w:rsidR="004330C4" w:rsidRDefault="00A50270" w:rsidP="00A21DB1">
      <w:pPr>
        <w:rPr>
          <w:rFonts w:ascii="Arial" w:eastAsia="Times New Roman" w:hAnsi="Arial" w:cs="Times New Roman"/>
          <w:noProof/>
          <w:szCs w:val="20"/>
          <w:lang w:eastAsia="en-GB"/>
        </w:rPr>
      </w:pPr>
      <w:r w:rsidRPr="00A50270">
        <w:rPr>
          <w:noProof/>
          <w:lang w:eastAsia="en-GB"/>
        </w:rPr>
        <w:lastRenderedPageBreak/>
        <w:drawing>
          <wp:inline distT="0" distB="0" distL="0" distR="0" wp14:anchorId="0D3F37FD" wp14:editId="4D539FE1">
            <wp:extent cx="9751102" cy="613847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6140" cy="6141644"/>
                    </a:xfrm>
                    <a:prstGeom prst="rect">
                      <a:avLst/>
                    </a:prstGeom>
                    <a:noFill/>
                    <a:ln>
                      <a:noFill/>
                    </a:ln>
                  </pic:spPr>
                </pic:pic>
              </a:graphicData>
            </a:graphic>
          </wp:inline>
        </w:drawing>
      </w:r>
    </w:p>
    <w:p w:rsidR="004330C4" w:rsidRDefault="00A50270" w:rsidP="00A21DB1">
      <w:pPr>
        <w:rPr>
          <w:rFonts w:ascii="Arial" w:eastAsia="Times New Roman" w:hAnsi="Arial" w:cs="Times New Roman"/>
          <w:noProof/>
          <w:szCs w:val="20"/>
          <w:lang w:eastAsia="en-GB"/>
        </w:rPr>
      </w:pPr>
      <w:r w:rsidRPr="00A50270">
        <w:rPr>
          <w:noProof/>
          <w:lang w:eastAsia="en-GB"/>
        </w:rPr>
        <w:lastRenderedPageBreak/>
        <w:drawing>
          <wp:inline distT="0" distB="0" distL="0" distR="0" wp14:anchorId="01547B5C" wp14:editId="210D357E">
            <wp:extent cx="9757912" cy="6378315"/>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56140" cy="6377157"/>
                    </a:xfrm>
                    <a:prstGeom prst="rect">
                      <a:avLst/>
                    </a:prstGeom>
                    <a:noFill/>
                    <a:ln>
                      <a:noFill/>
                    </a:ln>
                  </pic:spPr>
                </pic:pic>
              </a:graphicData>
            </a:graphic>
          </wp:inline>
        </w:drawing>
      </w:r>
    </w:p>
    <w:p w:rsidR="004330C4" w:rsidRDefault="004330C4" w:rsidP="00A21DB1">
      <w:pPr>
        <w:rPr>
          <w:rFonts w:ascii="Arial" w:eastAsia="Times New Roman" w:hAnsi="Arial" w:cs="Times New Roman"/>
          <w:noProof/>
          <w:szCs w:val="20"/>
          <w:lang w:eastAsia="en-GB"/>
        </w:rPr>
      </w:pPr>
    </w:p>
    <w:p w:rsidR="004330C4" w:rsidRDefault="004330C4" w:rsidP="00A21DB1">
      <w:pPr>
        <w:rPr>
          <w:rFonts w:ascii="Arial" w:eastAsia="Times New Roman" w:hAnsi="Arial" w:cs="Times New Roman"/>
          <w:noProof/>
          <w:szCs w:val="20"/>
          <w:lang w:eastAsia="en-GB"/>
        </w:rPr>
      </w:pPr>
    </w:p>
    <w:p w:rsidR="004330C4" w:rsidRDefault="00D522CF" w:rsidP="00A21DB1">
      <w:pPr>
        <w:rPr>
          <w:rFonts w:ascii="Arial" w:eastAsia="Times New Roman" w:hAnsi="Arial" w:cs="Times New Roman"/>
          <w:noProof/>
          <w:szCs w:val="20"/>
          <w:lang w:eastAsia="en-GB"/>
        </w:rPr>
      </w:pPr>
      <w:r w:rsidRPr="00D522CF">
        <w:rPr>
          <w:noProof/>
          <w:lang w:eastAsia="en-GB"/>
        </w:rPr>
        <w:drawing>
          <wp:inline distT="0" distB="0" distL="0" distR="0" wp14:anchorId="7C6368FA" wp14:editId="0CBF40AD">
            <wp:extent cx="9751102" cy="5576341"/>
            <wp:effectExtent l="0" t="0" r="254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6140" cy="5579222"/>
                    </a:xfrm>
                    <a:prstGeom prst="rect">
                      <a:avLst/>
                    </a:prstGeom>
                    <a:noFill/>
                    <a:ln>
                      <a:noFill/>
                    </a:ln>
                  </pic:spPr>
                </pic:pic>
              </a:graphicData>
            </a:graphic>
          </wp:inline>
        </w:drawing>
      </w:r>
    </w:p>
    <w:p w:rsidR="004330C4" w:rsidRDefault="004330C4" w:rsidP="00A21DB1">
      <w:pPr>
        <w:rPr>
          <w:rFonts w:ascii="Arial" w:eastAsia="Times New Roman" w:hAnsi="Arial" w:cs="Times New Roman"/>
          <w:noProof/>
          <w:szCs w:val="20"/>
          <w:lang w:eastAsia="en-GB"/>
        </w:rPr>
      </w:pPr>
    </w:p>
    <w:p w:rsidR="00657DDA" w:rsidRDefault="00A50270" w:rsidP="00E33F73">
      <w:pPr>
        <w:rPr>
          <w:rFonts w:ascii="Arial" w:eastAsia="Times New Roman" w:hAnsi="Arial" w:cs="Times New Roman"/>
          <w:b/>
          <w:sz w:val="28"/>
          <w:szCs w:val="20"/>
          <w:lang w:eastAsia="en-GB"/>
        </w:rPr>
      </w:pPr>
      <w:r w:rsidRPr="00A50270">
        <w:rPr>
          <w:noProof/>
          <w:lang w:eastAsia="en-GB"/>
        </w:rPr>
        <w:lastRenderedPageBreak/>
        <w:drawing>
          <wp:inline distT="0" distB="0" distL="0" distR="0" wp14:anchorId="7D2A280F" wp14:editId="554FCFF8">
            <wp:extent cx="9758597" cy="645038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56140" cy="6448761"/>
                    </a:xfrm>
                    <a:prstGeom prst="rect">
                      <a:avLst/>
                    </a:prstGeom>
                    <a:noFill/>
                    <a:ln>
                      <a:noFill/>
                    </a:ln>
                  </pic:spPr>
                </pic:pic>
              </a:graphicData>
            </a:graphic>
          </wp:inline>
        </w:drawing>
      </w:r>
      <w:r w:rsidR="00D522CF" w:rsidRPr="00D522CF">
        <w:rPr>
          <w:noProof/>
          <w:lang w:eastAsia="en-GB"/>
        </w:rPr>
        <w:lastRenderedPageBreak/>
        <w:drawing>
          <wp:inline distT="0" distB="0" distL="0" distR="0" wp14:anchorId="0A001702" wp14:editId="407F6BB0">
            <wp:extent cx="9755645" cy="6415790"/>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6140" cy="6416116"/>
                    </a:xfrm>
                    <a:prstGeom prst="rect">
                      <a:avLst/>
                    </a:prstGeom>
                    <a:noFill/>
                    <a:ln>
                      <a:noFill/>
                    </a:ln>
                  </pic:spPr>
                </pic:pic>
              </a:graphicData>
            </a:graphic>
          </wp:inline>
        </w:drawing>
      </w:r>
    </w:p>
    <w:p w:rsidR="00812997" w:rsidRDefault="00F409A8" w:rsidP="00E33F73">
      <w:pPr>
        <w:rPr>
          <w:rFonts w:ascii="Arial" w:eastAsia="Times New Roman" w:hAnsi="Arial" w:cs="Times New Roman"/>
          <w:b/>
          <w:sz w:val="28"/>
          <w:szCs w:val="20"/>
          <w:lang w:eastAsia="en-GB"/>
        </w:rPr>
      </w:pPr>
      <w:r w:rsidRPr="00F409A8">
        <w:rPr>
          <w:noProof/>
          <w:lang w:eastAsia="en-GB"/>
        </w:rPr>
        <w:lastRenderedPageBreak/>
        <w:drawing>
          <wp:inline distT="0" distB="0" distL="0" distR="0" wp14:anchorId="6AD05FA0" wp14:editId="56F173CF">
            <wp:extent cx="9756140" cy="5003019"/>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56140" cy="5003019"/>
                    </a:xfrm>
                    <a:prstGeom prst="rect">
                      <a:avLst/>
                    </a:prstGeom>
                    <a:noFill/>
                    <a:ln>
                      <a:noFill/>
                    </a:ln>
                  </pic:spPr>
                </pic:pic>
              </a:graphicData>
            </a:graphic>
          </wp:inline>
        </w:drawing>
      </w:r>
    </w:p>
    <w:p w:rsidR="00812997" w:rsidRDefault="00812997" w:rsidP="00E33F73">
      <w:pPr>
        <w:rPr>
          <w:rFonts w:ascii="Arial" w:eastAsia="Times New Roman" w:hAnsi="Arial" w:cs="Times New Roman"/>
          <w:b/>
          <w:sz w:val="28"/>
          <w:szCs w:val="20"/>
          <w:lang w:eastAsia="en-GB"/>
        </w:rPr>
      </w:pPr>
    </w:p>
    <w:p w:rsidR="00F409A8" w:rsidRDefault="00F409A8" w:rsidP="00E33F73">
      <w:pPr>
        <w:rPr>
          <w:rFonts w:ascii="Arial" w:eastAsia="Times New Roman" w:hAnsi="Arial" w:cs="Times New Roman"/>
          <w:b/>
          <w:sz w:val="28"/>
          <w:szCs w:val="20"/>
          <w:lang w:eastAsia="en-GB"/>
        </w:rPr>
      </w:pPr>
    </w:p>
    <w:p w:rsidR="00F409A8" w:rsidRDefault="00F409A8" w:rsidP="00E33F73">
      <w:pPr>
        <w:rPr>
          <w:rFonts w:ascii="Arial" w:eastAsia="Times New Roman" w:hAnsi="Arial" w:cs="Times New Roman"/>
          <w:b/>
          <w:sz w:val="28"/>
          <w:szCs w:val="20"/>
          <w:lang w:eastAsia="en-GB"/>
        </w:rPr>
      </w:pPr>
    </w:p>
    <w:p w:rsidR="00F409A8" w:rsidRDefault="00F409A8" w:rsidP="00E33F73">
      <w:pPr>
        <w:rPr>
          <w:rFonts w:ascii="Arial" w:eastAsia="Times New Roman" w:hAnsi="Arial" w:cs="Times New Roman"/>
          <w:b/>
          <w:sz w:val="28"/>
          <w:szCs w:val="20"/>
          <w:lang w:eastAsia="en-GB"/>
        </w:rPr>
      </w:pPr>
    </w:p>
    <w:p w:rsidR="008E7DD8" w:rsidRPr="008E7DD8" w:rsidRDefault="008E7DD8" w:rsidP="00F409A8">
      <w:pPr>
        <w:rPr>
          <w:rFonts w:ascii="Arial" w:eastAsia="Times New Roman" w:hAnsi="Arial" w:cs="Times New Roman"/>
          <w:noProof/>
          <w:szCs w:val="20"/>
          <w:lang w:eastAsia="en-GB"/>
        </w:rPr>
      </w:pPr>
      <w:r w:rsidRPr="008E7DD8">
        <w:rPr>
          <w:rFonts w:ascii="Arial" w:eastAsia="Times New Roman" w:hAnsi="Arial" w:cs="Times New Roman"/>
          <w:b/>
          <w:sz w:val="28"/>
          <w:szCs w:val="20"/>
          <w:lang w:eastAsia="en-GB"/>
        </w:rPr>
        <w:lastRenderedPageBreak/>
        <w:t>Explanation of Variances reported in this period - Revenue</w:t>
      </w:r>
      <w:r w:rsidRPr="008E7DD8">
        <w:rPr>
          <w:rFonts w:ascii="Arial" w:eastAsia="Times New Roman" w:hAnsi="Arial" w:cs="Times New Roman"/>
          <w:szCs w:val="20"/>
          <w:lang w:eastAsia="en-GB"/>
        </w:rPr>
        <w:tab/>
      </w:r>
      <w:r w:rsidRPr="008E7DD8">
        <w:rPr>
          <w:rFonts w:ascii="Arial" w:eastAsia="Times New Roman" w:hAnsi="Arial" w:cs="Times New Roman"/>
          <w:szCs w:val="20"/>
          <w:lang w:eastAsia="en-GB"/>
        </w:rPr>
        <w:tab/>
      </w:r>
      <w:r w:rsidRPr="008E7DD8">
        <w:rPr>
          <w:rFonts w:ascii="Arial" w:eastAsia="Times New Roman" w:hAnsi="Arial" w:cs="Times New Roman"/>
          <w:szCs w:val="20"/>
          <w:lang w:eastAsia="en-GB"/>
        </w:rPr>
        <w:tab/>
      </w:r>
      <w:r w:rsidRPr="008E7DD8">
        <w:rPr>
          <w:rFonts w:ascii="Arial" w:eastAsia="Times New Roman" w:hAnsi="Arial" w:cs="Times New Roman"/>
          <w:szCs w:val="20"/>
          <w:lang w:eastAsia="en-GB"/>
        </w:rPr>
        <w:tab/>
      </w:r>
      <w:r w:rsidRPr="008E7DD8">
        <w:rPr>
          <w:rFonts w:ascii="Arial" w:eastAsia="Times New Roman" w:hAnsi="Arial" w:cs="Times New Roman"/>
          <w:szCs w:val="20"/>
          <w:lang w:eastAsia="en-GB"/>
        </w:rPr>
        <w:tab/>
      </w:r>
      <w:r w:rsidRPr="008E7DD8">
        <w:rPr>
          <w:rFonts w:ascii="Arial" w:eastAsia="Times New Roman" w:hAnsi="Arial" w:cs="Times New Roman"/>
          <w:szCs w:val="20"/>
          <w:lang w:eastAsia="en-GB"/>
        </w:rPr>
        <w:tab/>
      </w:r>
      <w:r w:rsidRPr="008E7DD8">
        <w:rPr>
          <w:rFonts w:ascii="Arial" w:eastAsia="Times New Roman" w:hAnsi="Arial" w:cs="Times New Roman"/>
          <w:szCs w:val="20"/>
          <w:lang w:eastAsia="en-GB"/>
        </w:rPr>
        <w:tab/>
      </w:r>
      <w:r w:rsidR="00102DFC">
        <w:rPr>
          <w:rFonts w:ascii="Arial" w:eastAsia="Times New Roman" w:hAnsi="Arial" w:cs="Times New Roman"/>
          <w:b/>
          <w:sz w:val="28"/>
          <w:szCs w:val="28"/>
          <w:lang w:eastAsia="en-GB"/>
        </w:rPr>
        <w:t xml:space="preserve">APPENDIX </w:t>
      </w:r>
      <w:r w:rsidR="00102DFC" w:rsidRPr="008E7DD8">
        <w:rPr>
          <w:rFonts w:ascii="Arial" w:eastAsia="Times New Roman" w:hAnsi="Arial" w:cs="Times New Roman"/>
          <w:b/>
          <w:sz w:val="28"/>
          <w:szCs w:val="28"/>
          <w:lang w:eastAsia="en-GB"/>
        </w:rPr>
        <w:t>2</w:t>
      </w:r>
    </w:p>
    <w:p w:rsidR="008E7DD8" w:rsidRDefault="00F409A8" w:rsidP="00FA7509">
      <w:pPr>
        <w:tabs>
          <w:tab w:val="left" w:pos="1260"/>
          <w:tab w:val="left" w:pos="1980"/>
          <w:tab w:val="left" w:pos="2700"/>
          <w:tab w:val="left" w:pos="3420"/>
          <w:tab w:val="right" w:pos="14963"/>
        </w:tabs>
        <w:spacing w:after="0" w:line="240" w:lineRule="auto"/>
        <w:ind w:left="1276" w:hanging="1418"/>
        <w:rPr>
          <w:rFonts w:ascii="Arial" w:eastAsia="Times New Roman" w:hAnsi="Arial" w:cs="Times New Roman"/>
          <w:noProof/>
          <w:szCs w:val="20"/>
          <w:lang w:eastAsia="en-GB"/>
        </w:rPr>
      </w:pPr>
      <w:r w:rsidRPr="00F409A8">
        <w:rPr>
          <w:noProof/>
          <w:lang w:eastAsia="en-GB"/>
        </w:rPr>
        <w:drawing>
          <wp:inline distT="0" distB="0" distL="0" distR="0" wp14:anchorId="14E36BFC" wp14:editId="73B25EDC">
            <wp:extent cx="9758596" cy="619843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56140" cy="6196873"/>
                    </a:xfrm>
                    <a:prstGeom prst="rect">
                      <a:avLst/>
                    </a:prstGeom>
                    <a:noFill/>
                    <a:ln>
                      <a:noFill/>
                    </a:ln>
                  </pic:spPr>
                </pic:pic>
              </a:graphicData>
            </a:graphic>
          </wp:inline>
        </w:drawing>
      </w:r>
    </w:p>
    <w:p w:rsidR="00693B3B" w:rsidRDefault="008F449C" w:rsidP="00FA7509">
      <w:pPr>
        <w:tabs>
          <w:tab w:val="left" w:pos="1260"/>
          <w:tab w:val="left" w:pos="1980"/>
          <w:tab w:val="left" w:pos="2700"/>
          <w:tab w:val="left" w:pos="3420"/>
          <w:tab w:val="right" w:pos="14963"/>
        </w:tabs>
        <w:spacing w:after="0" w:line="240" w:lineRule="auto"/>
        <w:ind w:left="1276" w:hanging="1418"/>
      </w:pPr>
      <w:r w:rsidRPr="008F449C">
        <w:rPr>
          <w:noProof/>
          <w:lang w:eastAsia="en-GB"/>
        </w:rPr>
        <w:lastRenderedPageBreak/>
        <w:drawing>
          <wp:inline distT="0" distB="0" distL="0" distR="0" wp14:anchorId="13998DE6" wp14:editId="04E57E8F">
            <wp:extent cx="9751102" cy="573965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56140" cy="5742622"/>
                    </a:xfrm>
                    <a:prstGeom prst="rect">
                      <a:avLst/>
                    </a:prstGeom>
                    <a:noFill/>
                    <a:ln>
                      <a:noFill/>
                    </a:ln>
                  </pic:spPr>
                </pic:pic>
              </a:graphicData>
            </a:graphic>
          </wp:inline>
        </w:drawing>
      </w:r>
    </w:p>
    <w:p w:rsidR="008F449C" w:rsidRDefault="008F449C" w:rsidP="00FA7509">
      <w:pPr>
        <w:tabs>
          <w:tab w:val="left" w:pos="1260"/>
          <w:tab w:val="left" w:pos="1980"/>
          <w:tab w:val="left" w:pos="2700"/>
          <w:tab w:val="left" w:pos="3420"/>
          <w:tab w:val="right" w:pos="14963"/>
        </w:tabs>
        <w:spacing w:after="0" w:line="240" w:lineRule="auto"/>
        <w:ind w:left="1276" w:hanging="1418"/>
      </w:pPr>
    </w:p>
    <w:p w:rsidR="008F449C" w:rsidRDefault="008F449C" w:rsidP="00FA7509">
      <w:pPr>
        <w:tabs>
          <w:tab w:val="left" w:pos="1260"/>
          <w:tab w:val="left" w:pos="1980"/>
          <w:tab w:val="left" w:pos="2700"/>
          <w:tab w:val="left" w:pos="3420"/>
          <w:tab w:val="right" w:pos="14963"/>
        </w:tabs>
        <w:spacing w:after="0" w:line="240" w:lineRule="auto"/>
        <w:ind w:left="1276" w:hanging="1418"/>
      </w:pPr>
    </w:p>
    <w:p w:rsidR="008F449C" w:rsidRDefault="008F449C" w:rsidP="00FA7509">
      <w:pPr>
        <w:tabs>
          <w:tab w:val="left" w:pos="1260"/>
          <w:tab w:val="left" w:pos="1980"/>
          <w:tab w:val="left" w:pos="2700"/>
          <w:tab w:val="left" w:pos="3420"/>
          <w:tab w:val="right" w:pos="14963"/>
        </w:tabs>
        <w:spacing w:after="0" w:line="240" w:lineRule="auto"/>
        <w:ind w:left="1276" w:hanging="1418"/>
      </w:pPr>
    </w:p>
    <w:p w:rsidR="008F449C" w:rsidRDefault="008F449C" w:rsidP="008F449C">
      <w:pPr>
        <w:tabs>
          <w:tab w:val="left" w:pos="1260"/>
          <w:tab w:val="left" w:pos="1980"/>
          <w:tab w:val="left" w:pos="2700"/>
          <w:tab w:val="left" w:pos="3420"/>
          <w:tab w:val="right" w:pos="15364"/>
        </w:tabs>
        <w:spacing w:after="0" w:line="240" w:lineRule="auto"/>
      </w:pPr>
    </w:p>
    <w:p w:rsidR="008E7DD8" w:rsidRPr="008E7DD8" w:rsidRDefault="008F449C" w:rsidP="008F449C">
      <w:pPr>
        <w:tabs>
          <w:tab w:val="left" w:pos="1260"/>
          <w:tab w:val="left" w:pos="1980"/>
          <w:tab w:val="left" w:pos="2700"/>
          <w:tab w:val="left" w:pos="3420"/>
          <w:tab w:val="right" w:pos="15364"/>
        </w:tabs>
        <w:spacing w:after="0" w:line="240" w:lineRule="auto"/>
        <w:rPr>
          <w:rFonts w:ascii="Arial" w:eastAsia="Times New Roman" w:hAnsi="Arial" w:cs="Times New Roman"/>
          <w:noProof/>
          <w:szCs w:val="20"/>
          <w:lang w:eastAsia="en-GB"/>
        </w:rPr>
      </w:pPr>
      <w:r>
        <w:lastRenderedPageBreak/>
        <w:tab/>
      </w:r>
      <w:r>
        <w:tab/>
      </w:r>
      <w:r>
        <w:tab/>
      </w:r>
      <w:r>
        <w:tab/>
      </w:r>
      <w:r>
        <w:tab/>
      </w:r>
      <w:r w:rsidR="008E7DD8" w:rsidRPr="008E7DD8">
        <w:rPr>
          <w:rFonts w:ascii="Arial" w:eastAsia="Times New Roman" w:hAnsi="Arial" w:cs="Times New Roman"/>
          <w:szCs w:val="20"/>
          <w:lang w:eastAsia="en-GB"/>
        </w:rPr>
        <w:fldChar w:fldCharType="begin"/>
      </w:r>
      <w:r w:rsidR="008E7DD8" w:rsidRPr="008E7DD8">
        <w:rPr>
          <w:rFonts w:ascii="Arial" w:eastAsia="Times New Roman" w:hAnsi="Arial" w:cs="Times New Roman"/>
          <w:szCs w:val="20"/>
          <w:lang w:eastAsia="en-GB"/>
        </w:rPr>
        <w:instrText xml:space="preserve">  </w:instrText>
      </w:r>
      <w:r w:rsidR="008E7DD8" w:rsidRPr="008E7DD8">
        <w:rPr>
          <w:rFonts w:ascii="Arial" w:eastAsia="Times New Roman" w:hAnsi="Arial" w:cs="Times New Roman"/>
          <w:szCs w:val="20"/>
          <w:lang w:eastAsia="en-GB"/>
        </w:rPr>
        <w:fldChar w:fldCharType="end"/>
      </w:r>
      <w:r w:rsidR="008E7DD8" w:rsidRPr="008E7DD8">
        <w:rPr>
          <w:rFonts w:ascii="Arial" w:eastAsia="Times New Roman" w:hAnsi="Arial" w:cs="Times New Roman"/>
          <w:b/>
          <w:sz w:val="28"/>
          <w:szCs w:val="28"/>
          <w:lang w:eastAsia="en-GB"/>
        </w:rPr>
        <w:t xml:space="preserve">APPENDIX </w:t>
      </w:r>
      <w:r w:rsidR="008E7DD8">
        <w:rPr>
          <w:rFonts w:ascii="Arial" w:eastAsia="Times New Roman" w:hAnsi="Arial" w:cs="Times New Roman"/>
          <w:b/>
          <w:sz w:val="28"/>
          <w:szCs w:val="28"/>
          <w:lang w:eastAsia="en-GB"/>
        </w:rPr>
        <w:t>3</w:t>
      </w:r>
    </w:p>
    <w:p w:rsidR="008E7DD8" w:rsidRDefault="008E7DD8" w:rsidP="008E7DD8">
      <w:pPr>
        <w:tabs>
          <w:tab w:val="left" w:pos="1260"/>
          <w:tab w:val="left" w:pos="1980"/>
          <w:tab w:val="left" w:pos="2700"/>
          <w:tab w:val="left" w:pos="3420"/>
          <w:tab w:val="left" w:pos="14884"/>
        </w:tabs>
        <w:spacing w:after="0" w:line="240" w:lineRule="auto"/>
        <w:ind w:right="79"/>
        <w:rPr>
          <w:rFonts w:ascii="Arial" w:eastAsia="Times New Roman" w:hAnsi="Arial" w:cs="Times New Roman"/>
          <w:b/>
          <w:sz w:val="28"/>
          <w:szCs w:val="28"/>
          <w:lang w:eastAsia="en-GB"/>
        </w:rPr>
      </w:pPr>
      <w:r w:rsidRPr="008E7DD8">
        <w:rPr>
          <w:rFonts w:ascii="Arial" w:eastAsia="Times New Roman" w:hAnsi="Arial" w:cs="Times New Roman"/>
          <w:b/>
          <w:sz w:val="28"/>
          <w:szCs w:val="28"/>
          <w:lang w:eastAsia="en-GB"/>
        </w:rPr>
        <w:t>Medium Term Capital Investment Programme</w:t>
      </w:r>
    </w:p>
    <w:p w:rsidR="005E6721" w:rsidRDefault="005E6721" w:rsidP="008E7DD8">
      <w:pPr>
        <w:tabs>
          <w:tab w:val="left" w:pos="1260"/>
          <w:tab w:val="left" w:pos="1980"/>
          <w:tab w:val="left" w:pos="2700"/>
          <w:tab w:val="left" w:pos="3420"/>
          <w:tab w:val="left" w:pos="14884"/>
        </w:tabs>
        <w:spacing w:after="0" w:line="240" w:lineRule="auto"/>
        <w:ind w:right="79"/>
        <w:rPr>
          <w:rFonts w:ascii="Arial" w:eastAsia="Times New Roman" w:hAnsi="Arial" w:cs="Times New Roman"/>
          <w:b/>
          <w:sz w:val="28"/>
          <w:szCs w:val="28"/>
          <w:lang w:eastAsia="en-GB"/>
        </w:rPr>
      </w:pPr>
    </w:p>
    <w:p w:rsidR="00E33F73" w:rsidRPr="008E7DD8" w:rsidRDefault="005E6721" w:rsidP="008E7DD8">
      <w:pPr>
        <w:tabs>
          <w:tab w:val="left" w:pos="1260"/>
          <w:tab w:val="left" w:pos="1980"/>
          <w:tab w:val="left" w:pos="2700"/>
          <w:tab w:val="left" w:pos="3420"/>
          <w:tab w:val="left" w:pos="14884"/>
        </w:tabs>
        <w:spacing w:after="0" w:line="240" w:lineRule="auto"/>
        <w:ind w:right="79"/>
        <w:rPr>
          <w:rFonts w:ascii="Arial" w:eastAsia="Times New Roman" w:hAnsi="Arial" w:cs="Times New Roman"/>
          <w:b/>
          <w:sz w:val="28"/>
          <w:szCs w:val="28"/>
          <w:lang w:eastAsia="en-GB"/>
        </w:rPr>
      </w:pPr>
      <w:r w:rsidRPr="005E6721">
        <w:rPr>
          <w:noProof/>
          <w:lang w:eastAsia="en-GB"/>
        </w:rPr>
        <w:drawing>
          <wp:inline distT="0" distB="0" distL="0" distR="0" wp14:anchorId="3E63829F" wp14:editId="0A96F278">
            <wp:extent cx="9753599" cy="59531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56140" cy="5954676"/>
                    </a:xfrm>
                    <a:prstGeom prst="rect">
                      <a:avLst/>
                    </a:prstGeom>
                    <a:noFill/>
                    <a:ln>
                      <a:noFill/>
                    </a:ln>
                  </pic:spPr>
                </pic:pic>
              </a:graphicData>
            </a:graphic>
          </wp:inline>
        </w:drawing>
      </w:r>
    </w:p>
    <w:p w:rsidR="008E7DD8" w:rsidRPr="00E33F73" w:rsidRDefault="005E6721" w:rsidP="00E33F73">
      <w:pPr>
        <w:tabs>
          <w:tab w:val="left" w:pos="1260"/>
          <w:tab w:val="left" w:pos="1980"/>
          <w:tab w:val="left" w:pos="2700"/>
          <w:tab w:val="left" w:pos="3420"/>
          <w:tab w:val="left" w:pos="14884"/>
        </w:tabs>
        <w:spacing w:after="0" w:line="240" w:lineRule="auto"/>
        <w:ind w:right="79"/>
        <w:rPr>
          <w:rFonts w:ascii="Arial" w:eastAsia="Times New Roman" w:hAnsi="Arial" w:cs="Times New Roman"/>
          <w:b/>
          <w:sz w:val="28"/>
          <w:szCs w:val="28"/>
          <w:lang w:eastAsia="en-GB"/>
        </w:rPr>
      </w:pPr>
      <w:r w:rsidRPr="005E6721">
        <w:rPr>
          <w:noProof/>
          <w:lang w:eastAsia="en-GB"/>
        </w:rPr>
        <w:lastRenderedPageBreak/>
        <w:drawing>
          <wp:inline distT="0" distB="0" distL="0" distR="0" wp14:anchorId="75C7A23F" wp14:editId="06A8519D">
            <wp:extent cx="9752657" cy="58102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56140" cy="5812325"/>
                    </a:xfrm>
                    <a:prstGeom prst="rect">
                      <a:avLst/>
                    </a:prstGeom>
                    <a:noFill/>
                    <a:ln>
                      <a:noFill/>
                    </a:ln>
                  </pic:spPr>
                </pic:pic>
              </a:graphicData>
            </a:graphic>
          </wp:inline>
        </w:drawing>
      </w: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5E6721"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r w:rsidRPr="005E6721">
        <w:rPr>
          <w:noProof/>
          <w:lang w:eastAsia="en-GB"/>
        </w:rPr>
        <w:lastRenderedPageBreak/>
        <w:drawing>
          <wp:inline distT="0" distB="0" distL="0" distR="0" wp14:anchorId="05604F4B" wp14:editId="5ACE97F5">
            <wp:extent cx="9753600" cy="5448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56140" cy="5449719"/>
                    </a:xfrm>
                    <a:prstGeom prst="rect">
                      <a:avLst/>
                    </a:prstGeom>
                    <a:noFill/>
                    <a:ln>
                      <a:noFill/>
                    </a:ln>
                  </pic:spPr>
                </pic:pic>
              </a:graphicData>
            </a:graphic>
          </wp:inline>
        </w:drawing>
      </w: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912C5C" w:rsidRDefault="00912C5C"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912C5C" w:rsidRDefault="00912C5C"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912C5C" w:rsidRPr="008E7DD8" w:rsidRDefault="005E6721"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r w:rsidRPr="005E6721">
        <w:rPr>
          <w:noProof/>
          <w:lang w:eastAsia="en-GB"/>
        </w:rPr>
        <w:lastRenderedPageBreak/>
        <w:drawing>
          <wp:inline distT="0" distB="0" distL="0" distR="0" wp14:anchorId="3975B126" wp14:editId="7319CF0D">
            <wp:extent cx="9753600" cy="6057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56140" cy="6059478"/>
                    </a:xfrm>
                    <a:prstGeom prst="rect">
                      <a:avLst/>
                    </a:prstGeom>
                    <a:noFill/>
                    <a:ln>
                      <a:noFill/>
                    </a:ln>
                  </pic:spPr>
                </pic:pic>
              </a:graphicData>
            </a:graphic>
          </wp:inline>
        </w:drawing>
      </w:r>
    </w:p>
    <w:p w:rsidR="008E7DD8" w:rsidRDefault="008E7DD8" w:rsidP="008E7DD8">
      <w:pPr>
        <w:tabs>
          <w:tab w:val="left" w:pos="1260"/>
          <w:tab w:val="left" w:pos="1980"/>
          <w:tab w:val="left" w:pos="2700"/>
          <w:tab w:val="left" w:pos="3420"/>
        </w:tabs>
        <w:spacing w:after="0" w:line="240" w:lineRule="auto"/>
        <w:ind w:left="1276" w:hanging="1276"/>
      </w:pPr>
    </w:p>
    <w:p w:rsidR="008E7DD8" w:rsidRPr="008E7DD8" w:rsidRDefault="008E7DD8" w:rsidP="00674DA4">
      <w:pPr>
        <w:tabs>
          <w:tab w:val="left" w:pos="720"/>
          <w:tab w:val="left" w:pos="1440"/>
          <w:tab w:val="left" w:pos="2160"/>
          <w:tab w:val="left" w:pos="2880"/>
        </w:tabs>
        <w:spacing w:after="0" w:line="240" w:lineRule="auto"/>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5E6721"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r w:rsidRPr="005E6721">
        <w:rPr>
          <w:noProof/>
          <w:lang w:eastAsia="en-GB"/>
        </w:rPr>
        <w:drawing>
          <wp:inline distT="0" distB="0" distL="0" distR="0" wp14:anchorId="07CFB67E" wp14:editId="4698C229">
            <wp:extent cx="9753600" cy="2914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56140" cy="2915409"/>
                    </a:xfrm>
                    <a:prstGeom prst="rect">
                      <a:avLst/>
                    </a:prstGeom>
                    <a:noFill/>
                    <a:ln>
                      <a:noFill/>
                    </a:ln>
                  </pic:spPr>
                </pic:pic>
              </a:graphicData>
            </a:graphic>
          </wp:inline>
        </w:drawing>
      </w: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E7DD8" w:rsidRDefault="008E7DD8"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4C591C" w:rsidRDefault="004C591C"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4C591C" w:rsidRDefault="004C591C" w:rsidP="00D14A01">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4C591C" w:rsidRDefault="004C591C"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4C591C" w:rsidRDefault="004C591C"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4C591C" w:rsidRDefault="004C591C"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Default="005E6721" w:rsidP="00674DA4">
      <w:pPr>
        <w:tabs>
          <w:tab w:val="left" w:pos="1260"/>
          <w:tab w:val="left" w:pos="1980"/>
          <w:tab w:val="left" w:pos="2700"/>
          <w:tab w:val="left" w:pos="3420"/>
        </w:tabs>
        <w:spacing w:after="0" w:line="240" w:lineRule="auto"/>
        <w:ind w:left="1276" w:hanging="1276"/>
        <w:rPr>
          <w:rFonts w:ascii="Arial" w:eastAsia="Times New Roman" w:hAnsi="Arial" w:cs="Times New Roman"/>
          <w:b/>
          <w:noProof/>
          <w:sz w:val="28"/>
          <w:szCs w:val="28"/>
          <w:lang w:eastAsia="en-GB"/>
        </w:rPr>
      </w:pPr>
      <w:r w:rsidRPr="005E6721">
        <w:rPr>
          <w:noProof/>
          <w:lang w:eastAsia="en-GB"/>
        </w:rPr>
        <w:lastRenderedPageBreak/>
        <w:drawing>
          <wp:inline distT="0" distB="0" distL="0" distR="0" wp14:anchorId="7C9883C0" wp14:editId="020344AE">
            <wp:extent cx="9756140" cy="55683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56140" cy="5568363"/>
                    </a:xfrm>
                    <a:prstGeom prst="rect">
                      <a:avLst/>
                    </a:prstGeom>
                    <a:noFill/>
                    <a:ln>
                      <a:noFill/>
                    </a:ln>
                  </pic:spPr>
                </pic:pic>
              </a:graphicData>
            </a:graphic>
          </wp:inline>
        </w:drawing>
      </w:r>
    </w:p>
    <w:p w:rsidR="00912C5C" w:rsidRDefault="00912C5C" w:rsidP="00674DA4">
      <w:pPr>
        <w:tabs>
          <w:tab w:val="left" w:pos="1260"/>
          <w:tab w:val="left" w:pos="1980"/>
          <w:tab w:val="left" w:pos="2700"/>
          <w:tab w:val="left" w:pos="3420"/>
        </w:tabs>
        <w:spacing w:after="0" w:line="240" w:lineRule="auto"/>
        <w:ind w:left="1276" w:hanging="1276"/>
        <w:rPr>
          <w:rFonts w:ascii="Arial" w:eastAsia="Times New Roman" w:hAnsi="Arial" w:cs="Times New Roman"/>
          <w:b/>
          <w:noProof/>
          <w:sz w:val="28"/>
          <w:szCs w:val="28"/>
          <w:lang w:eastAsia="en-GB"/>
        </w:rPr>
      </w:pPr>
    </w:p>
    <w:p w:rsidR="00674DA4" w:rsidRDefault="00674DA4" w:rsidP="005249E2">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Default="00674DA4" w:rsidP="00E33F73">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ind w:left="1276" w:hanging="1276"/>
        <w:jc w:val="right"/>
        <w:rPr>
          <w:rFonts w:ascii="Arial" w:eastAsia="Times New Roman" w:hAnsi="Arial" w:cs="Times New Roman"/>
          <w:b/>
          <w:noProof/>
          <w:sz w:val="28"/>
          <w:szCs w:val="28"/>
          <w:lang w:eastAsia="en-GB"/>
        </w:rPr>
      </w:pPr>
    </w:p>
    <w:p w:rsidR="00674DA4" w:rsidRPr="00E33F73" w:rsidRDefault="005E6721" w:rsidP="005E6721">
      <w:pPr>
        <w:tabs>
          <w:tab w:val="left" w:pos="1260"/>
          <w:tab w:val="left" w:pos="1980"/>
          <w:tab w:val="left" w:pos="2700"/>
          <w:tab w:val="left" w:pos="3420"/>
        </w:tabs>
        <w:spacing w:after="0" w:line="240" w:lineRule="auto"/>
        <w:ind w:left="1276" w:hanging="1276"/>
        <w:rPr>
          <w:rFonts w:ascii="Arial" w:eastAsia="Times New Roman" w:hAnsi="Arial" w:cs="Times New Roman"/>
          <w:b/>
          <w:noProof/>
          <w:sz w:val="28"/>
          <w:szCs w:val="28"/>
          <w:lang w:eastAsia="en-GB"/>
        </w:rPr>
      </w:pPr>
      <w:r w:rsidRPr="005E6721">
        <w:rPr>
          <w:noProof/>
          <w:lang w:eastAsia="en-GB"/>
        </w:rPr>
        <w:lastRenderedPageBreak/>
        <w:drawing>
          <wp:inline distT="0" distB="0" distL="0" distR="0" wp14:anchorId="0898077D" wp14:editId="4B63F2D8">
            <wp:extent cx="9749893" cy="643890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56140" cy="6443026"/>
                    </a:xfrm>
                    <a:prstGeom prst="rect">
                      <a:avLst/>
                    </a:prstGeom>
                    <a:noFill/>
                    <a:ln>
                      <a:noFill/>
                    </a:ln>
                  </pic:spPr>
                </pic:pic>
              </a:graphicData>
            </a:graphic>
          </wp:inline>
        </w:drawing>
      </w:r>
    </w:p>
    <w:p w:rsidR="00E33F73" w:rsidRDefault="008E7DD8"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r w:rsidRPr="008E7DD8">
        <w:rPr>
          <w:rFonts w:ascii="Arial" w:eastAsia="Times New Roman" w:hAnsi="Arial" w:cs="Times New Roman"/>
          <w:b/>
          <w:noProof/>
          <w:sz w:val="28"/>
          <w:szCs w:val="28"/>
          <w:lang w:eastAsia="en-GB"/>
        </w:rPr>
        <w:lastRenderedPageBreak/>
        <w:t xml:space="preserve">Explanation of Variances  Reported this Period - Capital </w:t>
      </w:r>
      <w:r w:rsidRPr="008E7DD8">
        <w:rPr>
          <w:rFonts w:ascii="Arial" w:eastAsia="Times New Roman" w:hAnsi="Arial" w:cs="Times New Roman"/>
          <w:b/>
          <w:noProof/>
          <w:sz w:val="28"/>
          <w:szCs w:val="28"/>
          <w:lang w:eastAsia="en-GB"/>
        </w:rPr>
        <w:tab/>
      </w:r>
      <w:r w:rsidRPr="008E7DD8">
        <w:rPr>
          <w:rFonts w:ascii="Arial" w:eastAsia="Times New Roman" w:hAnsi="Arial" w:cs="Times New Roman"/>
          <w:b/>
          <w:noProof/>
          <w:sz w:val="28"/>
          <w:szCs w:val="28"/>
          <w:lang w:eastAsia="en-GB"/>
        </w:rPr>
        <w:tab/>
      </w:r>
      <w:r w:rsidRPr="008E7DD8">
        <w:rPr>
          <w:rFonts w:ascii="Arial" w:eastAsia="Times New Roman" w:hAnsi="Arial" w:cs="Times New Roman"/>
          <w:b/>
          <w:noProof/>
          <w:sz w:val="28"/>
          <w:szCs w:val="28"/>
          <w:lang w:eastAsia="en-GB"/>
        </w:rPr>
        <w:tab/>
      </w:r>
      <w:r w:rsidRPr="008E7DD8">
        <w:rPr>
          <w:rFonts w:ascii="Arial" w:eastAsia="Times New Roman" w:hAnsi="Arial" w:cs="Times New Roman"/>
          <w:b/>
          <w:noProof/>
          <w:sz w:val="28"/>
          <w:szCs w:val="28"/>
          <w:lang w:eastAsia="en-GB"/>
        </w:rPr>
        <w:tab/>
      </w:r>
      <w:r w:rsidRPr="008E7DD8">
        <w:rPr>
          <w:rFonts w:ascii="Arial" w:eastAsia="Times New Roman" w:hAnsi="Arial" w:cs="Times New Roman"/>
          <w:b/>
          <w:noProof/>
          <w:sz w:val="28"/>
          <w:szCs w:val="28"/>
          <w:lang w:eastAsia="en-GB"/>
        </w:rPr>
        <w:tab/>
      </w:r>
      <w:r w:rsidRPr="008E7DD8">
        <w:rPr>
          <w:rFonts w:ascii="Arial" w:eastAsia="Times New Roman" w:hAnsi="Arial" w:cs="Times New Roman"/>
          <w:b/>
          <w:noProof/>
          <w:sz w:val="28"/>
          <w:szCs w:val="28"/>
          <w:lang w:eastAsia="en-GB"/>
        </w:rPr>
        <w:tab/>
      </w:r>
      <w:r w:rsidRPr="008E7DD8">
        <w:rPr>
          <w:rFonts w:ascii="Arial" w:eastAsia="Times New Roman" w:hAnsi="Arial" w:cs="Times New Roman"/>
          <w:b/>
          <w:noProof/>
          <w:sz w:val="28"/>
          <w:szCs w:val="28"/>
          <w:lang w:eastAsia="en-GB"/>
        </w:rPr>
        <w:tab/>
      </w:r>
      <w:r w:rsidRPr="008E7DD8">
        <w:rPr>
          <w:rFonts w:ascii="Arial" w:eastAsia="Times New Roman" w:hAnsi="Arial" w:cs="Times New Roman"/>
          <w:b/>
          <w:noProof/>
          <w:sz w:val="28"/>
          <w:szCs w:val="28"/>
          <w:lang w:eastAsia="en-GB"/>
        </w:rPr>
        <w:tab/>
        <w:t xml:space="preserve">  APPENDIX </w:t>
      </w:r>
      <w:r>
        <w:rPr>
          <w:rFonts w:ascii="Arial" w:eastAsia="Times New Roman" w:hAnsi="Arial" w:cs="Times New Roman"/>
          <w:b/>
          <w:noProof/>
          <w:sz w:val="28"/>
          <w:szCs w:val="28"/>
          <w:lang w:eastAsia="en-GB"/>
        </w:rPr>
        <w:t>4</w:t>
      </w:r>
    </w:p>
    <w:p w:rsidR="00102DFC" w:rsidRDefault="00102DFC"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912C5C" w:rsidRDefault="00EF60EF"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r w:rsidRPr="00EF60EF">
        <w:rPr>
          <w:noProof/>
          <w:lang w:eastAsia="en-GB"/>
        </w:rPr>
        <w:drawing>
          <wp:inline distT="0" distB="0" distL="0" distR="0" wp14:anchorId="333B5351" wp14:editId="05F81894">
            <wp:extent cx="9751102" cy="6153462"/>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56140" cy="6156641"/>
                    </a:xfrm>
                    <a:prstGeom prst="rect">
                      <a:avLst/>
                    </a:prstGeom>
                    <a:noFill/>
                    <a:ln>
                      <a:noFill/>
                    </a:ln>
                  </pic:spPr>
                </pic:pic>
              </a:graphicData>
            </a:graphic>
          </wp:inline>
        </w:drawing>
      </w:r>
    </w:p>
    <w:p w:rsidR="00912C5C" w:rsidRDefault="00912C5C"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8E7DD8" w:rsidRDefault="00EF60EF"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r w:rsidRPr="00EF60EF">
        <w:rPr>
          <w:noProof/>
          <w:lang w:eastAsia="en-GB"/>
        </w:rPr>
        <w:drawing>
          <wp:inline distT="0" distB="0" distL="0" distR="0" wp14:anchorId="146A538D" wp14:editId="4E141613">
            <wp:extent cx="9753600" cy="4191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56140" cy="4192091"/>
                    </a:xfrm>
                    <a:prstGeom prst="rect">
                      <a:avLst/>
                    </a:prstGeom>
                    <a:noFill/>
                    <a:ln>
                      <a:noFill/>
                    </a:ln>
                  </pic:spPr>
                </pic:pic>
              </a:graphicData>
            </a:graphic>
          </wp:inline>
        </w:drawing>
      </w:r>
      <w:r w:rsidR="008E7DD8" w:rsidRPr="008E7DD8">
        <w:rPr>
          <w:rFonts w:ascii="Arial" w:eastAsia="Times New Roman" w:hAnsi="Arial" w:cs="Times New Roman"/>
          <w:b/>
          <w:noProof/>
          <w:sz w:val="28"/>
          <w:szCs w:val="28"/>
          <w:lang w:eastAsia="en-GB"/>
        </w:rPr>
        <w:tab/>
      </w:r>
    </w:p>
    <w:p w:rsidR="00674DA4"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674DA4"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674DA4" w:rsidRPr="008E7DD8" w:rsidRDefault="00674DA4" w:rsidP="008E7DD8">
      <w:pPr>
        <w:tabs>
          <w:tab w:val="left" w:pos="1260"/>
          <w:tab w:val="left" w:pos="1980"/>
          <w:tab w:val="left" w:pos="2700"/>
          <w:tab w:val="left" w:pos="3420"/>
        </w:tabs>
        <w:spacing w:after="0" w:line="240" w:lineRule="auto"/>
        <w:rPr>
          <w:rFonts w:ascii="Arial" w:eastAsia="Times New Roman" w:hAnsi="Arial" w:cs="Times New Roman"/>
          <w:b/>
          <w:noProof/>
          <w:sz w:val="28"/>
          <w:szCs w:val="28"/>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b/>
          <w:noProof/>
          <w:color w:val="365F91" w:themeColor="accent1" w:themeShade="BF"/>
          <w:sz w:val="28"/>
          <w:szCs w:val="28"/>
          <w:lang w:eastAsia="en-GB"/>
        </w:rPr>
      </w:pPr>
    </w:p>
    <w:p w:rsidR="008E7DD8" w:rsidRPr="008E7DD8" w:rsidRDefault="008E7DD8" w:rsidP="008E7DD8">
      <w:pPr>
        <w:tabs>
          <w:tab w:val="left" w:pos="1260"/>
          <w:tab w:val="left" w:pos="1980"/>
          <w:tab w:val="left" w:pos="2700"/>
          <w:tab w:val="left" w:pos="3420"/>
        </w:tabs>
        <w:spacing w:after="0" w:line="240" w:lineRule="auto"/>
        <w:ind w:left="1276" w:hanging="1276"/>
        <w:rPr>
          <w:rFonts w:ascii="Arial" w:eastAsia="Times New Roman" w:hAnsi="Arial" w:cs="Times New Roman"/>
          <w:noProof/>
          <w:szCs w:val="20"/>
          <w:lang w:eastAsia="en-GB"/>
        </w:rPr>
      </w:pPr>
    </w:p>
    <w:p w:rsidR="00865C88" w:rsidRDefault="00865C88" w:rsidP="002F38ED">
      <w:pPr>
        <w:tabs>
          <w:tab w:val="left" w:pos="3765"/>
        </w:tabs>
        <w:rPr>
          <w:rFonts w:ascii="Arial" w:hAnsi="Arial" w:cs="Arial"/>
        </w:rPr>
        <w:sectPr w:rsidR="00865C88" w:rsidSect="004330C4">
          <w:pgSz w:w="16838" w:h="11906" w:orient="landscape"/>
          <w:pgMar w:top="284" w:right="737" w:bottom="142" w:left="737" w:header="567" w:footer="709" w:gutter="0"/>
          <w:cols w:space="708"/>
          <w:docGrid w:linePitch="360"/>
        </w:sectPr>
      </w:pPr>
    </w:p>
    <w:p w:rsidR="008E7DD8" w:rsidRDefault="008E7DD8" w:rsidP="007014DA">
      <w:pPr>
        <w:pStyle w:val="BodyTextIndent"/>
        <w:ind w:left="0"/>
        <w:jc w:val="both"/>
        <w:rPr>
          <w:rFonts w:ascii="Arial" w:eastAsia="Times New Roman" w:hAnsi="Arial" w:cs="Times New Roman"/>
          <w:b/>
          <w:noProof/>
          <w:sz w:val="28"/>
          <w:szCs w:val="28"/>
          <w:lang w:eastAsia="en-G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7DD8">
        <w:rPr>
          <w:rFonts w:ascii="Arial" w:eastAsia="Times New Roman" w:hAnsi="Arial" w:cs="Times New Roman"/>
          <w:b/>
          <w:noProof/>
          <w:sz w:val="28"/>
          <w:szCs w:val="28"/>
          <w:lang w:eastAsia="en-GB"/>
        </w:rPr>
        <w:t xml:space="preserve">APPENDIX </w:t>
      </w:r>
      <w:r>
        <w:rPr>
          <w:rFonts w:ascii="Arial" w:eastAsia="Times New Roman" w:hAnsi="Arial" w:cs="Times New Roman"/>
          <w:b/>
          <w:noProof/>
          <w:sz w:val="28"/>
          <w:szCs w:val="28"/>
          <w:lang w:eastAsia="en-GB"/>
        </w:rPr>
        <w:t>5</w:t>
      </w:r>
      <w:r w:rsidRPr="008E7DD8">
        <w:rPr>
          <w:rFonts w:ascii="Arial" w:eastAsia="Times New Roman" w:hAnsi="Arial" w:cs="Times New Roman"/>
          <w:b/>
          <w:sz w:val="28"/>
          <w:szCs w:val="28"/>
          <w:lang w:eastAsia="en-GB"/>
        </w:rPr>
        <w:t xml:space="preserve"> Funding the Capital Investment Programme 2017-2020</w:t>
      </w:r>
    </w:p>
    <w:p w:rsidR="008473B8" w:rsidRDefault="008473B8" w:rsidP="002F38ED">
      <w:pPr>
        <w:tabs>
          <w:tab w:val="left" w:pos="3765"/>
        </w:tabs>
        <w:rPr>
          <w:rFonts w:ascii="Arial" w:eastAsia="Times New Roman" w:hAnsi="Arial" w:cs="Times New Roman"/>
          <w:b/>
          <w:noProof/>
          <w:sz w:val="28"/>
          <w:szCs w:val="28"/>
          <w:lang w:eastAsia="en-GB"/>
        </w:rPr>
        <w:sectPr w:rsidR="008473B8" w:rsidSect="008E7DD8">
          <w:pgSz w:w="11906" w:h="16838"/>
          <w:pgMar w:top="737" w:right="566" w:bottom="737" w:left="964" w:header="709" w:footer="709" w:gutter="0"/>
          <w:cols w:space="708"/>
          <w:docGrid w:linePitch="360"/>
        </w:sectPr>
      </w:pPr>
      <w:r w:rsidRPr="008473B8">
        <w:rPr>
          <w:noProof/>
          <w:lang w:eastAsia="en-GB"/>
        </w:rPr>
        <w:drawing>
          <wp:inline distT="0" distB="0" distL="0" distR="0" wp14:anchorId="279165A7" wp14:editId="0FF57FFA">
            <wp:extent cx="6588177" cy="886668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8760" cy="8867467"/>
                    </a:xfrm>
                    <a:prstGeom prst="rect">
                      <a:avLst/>
                    </a:prstGeom>
                    <a:noFill/>
                    <a:ln>
                      <a:noFill/>
                    </a:ln>
                  </pic:spPr>
                </pic:pic>
              </a:graphicData>
            </a:graphic>
          </wp:inline>
        </w:drawing>
      </w:r>
    </w:p>
    <w:p w:rsidR="008E7DD8" w:rsidRDefault="008E7DD8" w:rsidP="008E7DD8">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r w:rsidRPr="008E7DD8">
        <w:rPr>
          <w:rFonts w:ascii="Arial" w:eastAsia="Times New Roman" w:hAnsi="Arial" w:cs="Times New Roman"/>
          <w:b/>
          <w:sz w:val="28"/>
          <w:szCs w:val="20"/>
          <w:lang w:eastAsia="en-GB"/>
        </w:rPr>
        <w:lastRenderedPageBreak/>
        <w:t>Key Budget Indicators – Income Streams</w:t>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Pr="008E7DD8">
        <w:rPr>
          <w:rFonts w:ascii="Arial" w:eastAsia="Times New Roman" w:hAnsi="Arial" w:cs="Times New Roman"/>
          <w:noProof/>
          <w:szCs w:val="20"/>
          <w:lang w:eastAsia="en-GB"/>
        </w:rPr>
        <w:tab/>
      </w:r>
      <w:r w:rsidR="00465C2A">
        <w:rPr>
          <w:rFonts w:ascii="Arial" w:eastAsia="Times New Roman" w:hAnsi="Arial" w:cs="Times New Roman"/>
          <w:b/>
          <w:sz w:val="28"/>
          <w:szCs w:val="20"/>
          <w:lang w:eastAsia="en-GB"/>
        </w:rPr>
        <w:t>APPENDIX</w:t>
      </w:r>
      <w:r w:rsidRPr="008E7DD8">
        <w:rPr>
          <w:rFonts w:ascii="Arial" w:eastAsia="Times New Roman" w:hAnsi="Arial" w:cs="Times New Roman"/>
          <w:b/>
          <w:sz w:val="28"/>
          <w:szCs w:val="20"/>
          <w:lang w:eastAsia="en-GB"/>
        </w:rPr>
        <w:t xml:space="preserve"> </w:t>
      </w:r>
      <w:r>
        <w:rPr>
          <w:rFonts w:ascii="Arial" w:eastAsia="Times New Roman" w:hAnsi="Arial" w:cs="Times New Roman"/>
          <w:b/>
          <w:sz w:val="28"/>
          <w:szCs w:val="20"/>
          <w:lang w:eastAsia="en-GB"/>
        </w:rPr>
        <w:t>6</w:t>
      </w:r>
    </w:p>
    <w:p w:rsidR="00102DFC" w:rsidRDefault="00102DFC" w:rsidP="008E7DD8">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p>
    <w:p w:rsidR="00657DDA" w:rsidRDefault="005F19FC" w:rsidP="005F19FC">
      <w:pPr>
        <w:tabs>
          <w:tab w:val="left" w:pos="578"/>
          <w:tab w:val="left" w:pos="1260"/>
          <w:tab w:val="left" w:pos="1980"/>
          <w:tab w:val="left" w:pos="2700"/>
          <w:tab w:val="left" w:pos="3420"/>
        </w:tabs>
        <w:spacing w:after="0" w:line="240" w:lineRule="auto"/>
        <w:rPr>
          <w:rFonts w:ascii="Arial" w:eastAsia="Times New Roman" w:hAnsi="Arial" w:cs="Times New Roman"/>
          <w:b/>
          <w:sz w:val="28"/>
          <w:szCs w:val="20"/>
          <w:lang w:eastAsia="en-GB"/>
        </w:rPr>
      </w:pPr>
      <w:r>
        <w:rPr>
          <w:rFonts w:ascii="Arial" w:eastAsia="Times New Roman" w:hAnsi="Arial" w:cs="Times New Roman"/>
          <w:b/>
          <w:sz w:val="28"/>
          <w:szCs w:val="20"/>
          <w:lang w:eastAsia="en-GB"/>
        </w:rPr>
        <w:tab/>
      </w:r>
      <w:r w:rsidRPr="005F19FC">
        <w:rPr>
          <w:noProof/>
          <w:lang w:eastAsia="en-GB"/>
        </w:rPr>
        <w:drawing>
          <wp:inline distT="0" distB="0" distL="0" distR="0">
            <wp:extent cx="8244590" cy="529902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44651" cy="5299062"/>
                    </a:xfrm>
                    <a:prstGeom prst="rect">
                      <a:avLst/>
                    </a:prstGeom>
                    <a:noFill/>
                    <a:ln>
                      <a:noFill/>
                    </a:ln>
                  </pic:spPr>
                </pic:pic>
              </a:graphicData>
            </a:graphic>
          </wp:inline>
        </w:drawing>
      </w:r>
      <w:r>
        <w:rPr>
          <w:rFonts w:ascii="Arial" w:eastAsia="Times New Roman" w:hAnsi="Arial" w:cs="Times New Roman"/>
          <w:b/>
          <w:sz w:val="28"/>
          <w:szCs w:val="20"/>
          <w:lang w:eastAsia="en-GB"/>
        </w:rPr>
        <w:tab/>
      </w:r>
      <w:r>
        <w:rPr>
          <w:rFonts w:ascii="Arial" w:eastAsia="Times New Roman" w:hAnsi="Arial" w:cs="Times New Roman"/>
          <w:b/>
          <w:sz w:val="28"/>
          <w:szCs w:val="20"/>
          <w:lang w:eastAsia="en-GB"/>
        </w:rPr>
        <w:tab/>
      </w:r>
      <w:r>
        <w:rPr>
          <w:rFonts w:ascii="Arial" w:eastAsia="Times New Roman" w:hAnsi="Arial" w:cs="Times New Roman"/>
          <w:b/>
          <w:sz w:val="28"/>
          <w:szCs w:val="20"/>
          <w:lang w:eastAsia="en-GB"/>
        </w:rPr>
        <w:tab/>
      </w:r>
      <w:r>
        <w:rPr>
          <w:rFonts w:ascii="Arial" w:eastAsia="Times New Roman" w:hAnsi="Arial" w:cs="Times New Roman"/>
          <w:b/>
          <w:sz w:val="28"/>
          <w:szCs w:val="20"/>
          <w:lang w:eastAsia="en-GB"/>
        </w:rPr>
        <w:tab/>
      </w:r>
    </w:p>
    <w:p w:rsidR="00657DDA" w:rsidRDefault="005F19FC" w:rsidP="005F19FC">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r w:rsidRPr="005F19FC">
        <w:rPr>
          <w:noProof/>
          <w:lang w:eastAsia="en-GB"/>
        </w:rPr>
        <w:lastRenderedPageBreak/>
        <w:drawing>
          <wp:inline distT="0" distB="0" distL="0" distR="0">
            <wp:extent cx="8641830" cy="5703757"/>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1968" cy="5703848"/>
                    </a:xfrm>
                    <a:prstGeom prst="rect">
                      <a:avLst/>
                    </a:prstGeom>
                    <a:noFill/>
                    <a:ln>
                      <a:noFill/>
                    </a:ln>
                  </pic:spPr>
                </pic:pic>
              </a:graphicData>
            </a:graphic>
          </wp:inline>
        </w:drawing>
      </w:r>
    </w:p>
    <w:p w:rsidR="00657DDA" w:rsidRDefault="00657DDA" w:rsidP="008E7DD8">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p>
    <w:p w:rsidR="00657DDA" w:rsidRDefault="00657DDA" w:rsidP="008E7DD8">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p>
    <w:p w:rsidR="00657DDA" w:rsidRDefault="00657DDA" w:rsidP="008E7DD8">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p>
    <w:p w:rsidR="00657DDA" w:rsidRDefault="00545E67" w:rsidP="008E7DD8">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r w:rsidRPr="00545E67">
        <w:rPr>
          <w:noProof/>
          <w:lang w:eastAsia="en-GB"/>
        </w:rPr>
        <w:lastRenderedPageBreak/>
        <w:drawing>
          <wp:inline distT="0" distB="0" distL="0" distR="0">
            <wp:extent cx="8364397" cy="5523876"/>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64220" cy="5523759"/>
                    </a:xfrm>
                    <a:prstGeom prst="rect">
                      <a:avLst/>
                    </a:prstGeom>
                    <a:noFill/>
                    <a:ln>
                      <a:noFill/>
                    </a:ln>
                  </pic:spPr>
                </pic:pic>
              </a:graphicData>
            </a:graphic>
          </wp:inline>
        </w:drawing>
      </w:r>
    </w:p>
    <w:p w:rsidR="00657DDA" w:rsidRDefault="00657DDA" w:rsidP="008E7DD8">
      <w:pPr>
        <w:tabs>
          <w:tab w:val="left" w:pos="1260"/>
          <w:tab w:val="left" w:pos="1980"/>
          <w:tab w:val="left" w:pos="2700"/>
          <w:tab w:val="left" w:pos="3420"/>
        </w:tabs>
        <w:spacing w:after="0" w:line="240" w:lineRule="auto"/>
        <w:jc w:val="center"/>
        <w:rPr>
          <w:rFonts w:ascii="Arial" w:eastAsia="Times New Roman" w:hAnsi="Arial" w:cs="Times New Roman"/>
          <w:b/>
          <w:sz w:val="28"/>
          <w:szCs w:val="20"/>
          <w:lang w:eastAsia="en-GB"/>
        </w:rPr>
      </w:pPr>
    </w:p>
    <w:p w:rsidR="00FD594F" w:rsidRDefault="00FD594F" w:rsidP="008E7DD8">
      <w:pPr>
        <w:tabs>
          <w:tab w:val="left" w:pos="1260"/>
          <w:tab w:val="left" w:pos="1980"/>
          <w:tab w:val="left" w:pos="2700"/>
          <w:tab w:val="left" w:pos="3420"/>
        </w:tabs>
        <w:spacing w:after="0" w:line="240" w:lineRule="auto"/>
        <w:jc w:val="center"/>
      </w:pPr>
    </w:p>
    <w:p w:rsidR="00FD594F" w:rsidRDefault="00FD594F" w:rsidP="00FD594F">
      <w:pPr>
        <w:tabs>
          <w:tab w:val="left" w:pos="1260"/>
          <w:tab w:val="left" w:pos="1980"/>
          <w:tab w:val="left" w:pos="2700"/>
          <w:tab w:val="left" w:pos="3420"/>
        </w:tabs>
        <w:spacing w:after="0" w:line="240" w:lineRule="auto"/>
        <w:jc w:val="center"/>
        <w:rPr>
          <w:noProof/>
          <w:lang w:eastAsia="en-GB"/>
        </w:rPr>
      </w:pPr>
    </w:p>
    <w:p w:rsidR="00326B4D" w:rsidRDefault="00326B4D" w:rsidP="00FD594F">
      <w:pPr>
        <w:tabs>
          <w:tab w:val="left" w:pos="1260"/>
          <w:tab w:val="left" w:pos="1980"/>
          <w:tab w:val="left" w:pos="2700"/>
          <w:tab w:val="left" w:pos="3420"/>
        </w:tabs>
        <w:spacing w:after="0" w:line="240" w:lineRule="auto"/>
        <w:jc w:val="center"/>
        <w:rPr>
          <w:noProof/>
          <w:lang w:eastAsia="en-GB"/>
        </w:rPr>
      </w:pPr>
    </w:p>
    <w:p w:rsidR="00326B4D" w:rsidRDefault="00326B4D" w:rsidP="00326B4D">
      <w:pPr>
        <w:tabs>
          <w:tab w:val="left" w:pos="1260"/>
          <w:tab w:val="left" w:pos="1980"/>
          <w:tab w:val="left" w:pos="2700"/>
          <w:tab w:val="left" w:pos="3420"/>
        </w:tabs>
        <w:spacing w:after="0" w:line="240" w:lineRule="auto"/>
        <w:rPr>
          <w:noProof/>
          <w:lang w:eastAsia="en-GB"/>
        </w:rPr>
      </w:pPr>
      <w:r w:rsidRPr="00326B4D">
        <w:rPr>
          <w:noProof/>
          <w:lang w:eastAsia="en-GB"/>
        </w:rPr>
        <w:lastRenderedPageBreak/>
        <w:drawing>
          <wp:inline distT="0" distB="0" distL="0" distR="0">
            <wp:extent cx="8848725" cy="6181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48725" cy="6181725"/>
                    </a:xfrm>
                    <a:prstGeom prst="rect">
                      <a:avLst/>
                    </a:prstGeom>
                    <a:noFill/>
                    <a:ln>
                      <a:noFill/>
                    </a:ln>
                  </pic:spPr>
                </pic:pic>
              </a:graphicData>
            </a:graphic>
          </wp:inline>
        </w:drawing>
      </w:r>
    </w:p>
    <w:p w:rsidR="008E7DD8" w:rsidRPr="00326B4D" w:rsidRDefault="008E7DD8" w:rsidP="00326B4D">
      <w:pPr>
        <w:tabs>
          <w:tab w:val="left" w:pos="1260"/>
          <w:tab w:val="left" w:pos="1980"/>
          <w:tab w:val="left" w:pos="2700"/>
          <w:tab w:val="left" w:pos="3420"/>
        </w:tabs>
        <w:spacing w:after="0" w:line="240" w:lineRule="auto"/>
        <w:rPr>
          <w:noProof/>
          <w:lang w:eastAsia="en-GB"/>
        </w:rPr>
      </w:pPr>
      <w:r w:rsidRPr="008E7DD8">
        <w:rPr>
          <w:rFonts w:ascii="Arial" w:eastAsia="Times New Roman" w:hAnsi="Arial" w:cs="Times New Roman"/>
          <w:b/>
          <w:sz w:val="28"/>
          <w:szCs w:val="28"/>
          <w:lang w:eastAsia="en-GB"/>
        </w:rPr>
        <w:lastRenderedPageBreak/>
        <w:t>Budgetary Risk</w:t>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sidRPr="008E7DD8">
        <w:rPr>
          <w:rFonts w:ascii="Arial" w:eastAsia="Times New Roman" w:hAnsi="Arial" w:cs="Times New Roman"/>
          <w:b/>
          <w:sz w:val="28"/>
          <w:szCs w:val="28"/>
          <w:lang w:eastAsia="en-GB"/>
        </w:rPr>
        <w:t xml:space="preserve">APPENDIX </w:t>
      </w:r>
      <w:r>
        <w:rPr>
          <w:rFonts w:ascii="Arial" w:eastAsia="Times New Roman" w:hAnsi="Arial" w:cs="Times New Roman"/>
          <w:b/>
          <w:sz w:val="28"/>
          <w:szCs w:val="28"/>
          <w:lang w:eastAsia="en-GB"/>
        </w:rPr>
        <w:t>7</w:t>
      </w:r>
    </w:p>
    <w:p w:rsidR="008E7DD8" w:rsidRPr="008E7DD8" w:rsidRDefault="008E7DD8" w:rsidP="008E7DD8">
      <w:pPr>
        <w:tabs>
          <w:tab w:val="left" w:pos="426"/>
          <w:tab w:val="left" w:pos="1980"/>
          <w:tab w:val="left" w:pos="13485"/>
        </w:tabs>
        <w:spacing w:after="0" w:line="240" w:lineRule="auto"/>
        <w:rPr>
          <w:rFonts w:ascii="Arial" w:eastAsia="Times New Roman" w:hAnsi="Arial" w:cs="Times New Roman"/>
          <w:b/>
          <w:sz w:val="28"/>
          <w:szCs w:val="28"/>
          <w:lang w:eastAsia="en-GB"/>
        </w:rPr>
      </w:pPr>
    </w:p>
    <w:tbl>
      <w:tblPr>
        <w:tblpPr w:leftFromText="180" w:rightFromText="180" w:vertAnchor="text" w:horzAnchor="page" w:tblpX="1258" w:tblpY="71"/>
        <w:tblW w:w="15166"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1716"/>
        <w:gridCol w:w="3010"/>
        <w:gridCol w:w="8299"/>
        <w:gridCol w:w="925"/>
        <w:gridCol w:w="1216"/>
      </w:tblGrid>
      <w:tr w:rsidR="008E7DD8" w:rsidRPr="008E7DD8" w:rsidTr="00F66820">
        <w:trPr>
          <w:trHeight w:val="690"/>
          <w:tblHeader/>
        </w:trPr>
        <w:tc>
          <w:tcPr>
            <w:tcW w:w="1716" w:type="dxa"/>
            <w:shd w:val="clear" w:color="auto" w:fill="auto"/>
            <w:noWrap/>
            <w:vAlign w:val="center"/>
            <w:hideMark/>
          </w:tcPr>
          <w:p w:rsidR="008E7DD8" w:rsidRPr="008E7DD8" w:rsidRDefault="008E7DD8" w:rsidP="008E7DD8">
            <w:pPr>
              <w:spacing w:after="0" w:line="240" w:lineRule="auto"/>
              <w:jc w:val="both"/>
              <w:rPr>
                <w:rFonts w:ascii="Arial" w:eastAsia="Times New Roman" w:hAnsi="Arial" w:cs="Arial"/>
                <w:b/>
                <w:bCs/>
                <w:lang w:eastAsia="en-GB"/>
              </w:rPr>
            </w:pPr>
            <w:r w:rsidRPr="008E7DD8">
              <w:rPr>
                <w:rFonts w:ascii="Arial" w:eastAsia="Times New Roman" w:hAnsi="Arial" w:cs="Arial"/>
                <w:b/>
                <w:bCs/>
                <w:lang w:eastAsia="en-GB"/>
              </w:rPr>
              <w:t>Risk No.</w:t>
            </w:r>
          </w:p>
        </w:tc>
        <w:tc>
          <w:tcPr>
            <w:tcW w:w="3010" w:type="dxa"/>
            <w:shd w:val="clear" w:color="auto" w:fill="auto"/>
            <w:vAlign w:val="center"/>
            <w:hideMark/>
          </w:tcPr>
          <w:p w:rsidR="008E7DD8" w:rsidRPr="008E7DD8" w:rsidRDefault="008E7DD8" w:rsidP="008E7DD8">
            <w:pPr>
              <w:spacing w:after="0" w:line="240" w:lineRule="auto"/>
              <w:jc w:val="center"/>
              <w:rPr>
                <w:rFonts w:ascii="Arial" w:eastAsia="Times New Roman" w:hAnsi="Arial" w:cs="Arial"/>
                <w:b/>
                <w:bCs/>
                <w:lang w:eastAsia="en-GB"/>
              </w:rPr>
            </w:pPr>
            <w:r w:rsidRPr="008E7DD8">
              <w:rPr>
                <w:rFonts w:ascii="Arial" w:eastAsia="Times New Roman" w:hAnsi="Arial" w:cs="Arial"/>
                <w:b/>
                <w:bCs/>
                <w:lang w:eastAsia="en-GB"/>
              </w:rPr>
              <w:t>Type of Risk</w:t>
            </w:r>
          </w:p>
        </w:tc>
        <w:tc>
          <w:tcPr>
            <w:tcW w:w="8299" w:type="dxa"/>
            <w:shd w:val="clear" w:color="auto" w:fill="auto"/>
            <w:noWrap/>
            <w:vAlign w:val="center"/>
            <w:hideMark/>
          </w:tcPr>
          <w:p w:rsidR="008E7DD8" w:rsidRPr="008E7DD8" w:rsidRDefault="008E7DD8" w:rsidP="008E7DD8">
            <w:pPr>
              <w:spacing w:after="0" w:line="240" w:lineRule="auto"/>
              <w:ind w:right="5281"/>
              <w:jc w:val="center"/>
              <w:rPr>
                <w:rFonts w:ascii="Arial" w:eastAsia="Times New Roman" w:hAnsi="Arial" w:cs="Arial"/>
                <w:b/>
                <w:bCs/>
                <w:lang w:eastAsia="en-GB"/>
              </w:rPr>
            </w:pPr>
            <w:r w:rsidRPr="008E7DD8">
              <w:rPr>
                <w:rFonts w:ascii="Arial" w:eastAsia="Times New Roman" w:hAnsi="Arial" w:cs="Arial"/>
                <w:b/>
                <w:bCs/>
                <w:lang w:eastAsia="en-GB"/>
              </w:rPr>
              <w:t>Comment</w:t>
            </w:r>
          </w:p>
        </w:tc>
        <w:tc>
          <w:tcPr>
            <w:tcW w:w="925" w:type="dxa"/>
            <w:shd w:val="clear" w:color="auto" w:fill="auto"/>
            <w:vAlign w:val="center"/>
            <w:hideMark/>
          </w:tcPr>
          <w:p w:rsidR="008E7DD8" w:rsidRPr="008E7DD8" w:rsidRDefault="008E7DD8" w:rsidP="008E7DD8">
            <w:pPr>
              <w:spacing w:after="0" w:line="240" w:lineRule="auto"/>
              <w:jc w:val="center"/>
              <w:rPr>
                <w:rFonts w:ascii="Arial" w:eastAsia="Times New Roman" w:hAnsi="Arial" w:cs="Arial"/>
                <w:b/>
                <w:bCs/>
                <w:sz w:val="20"/>
                <w:szCs w:val="20"/>
                <w:lang w:eastAsia="en-GB"/>
              </w:rPr>
            </w:pPr>
            <w:r w:rsidRPr="008E7DD8">
              <w:rPr>
                <w:rFonts w:ascii="Arial" w:eastAsia="Times New Roman" w:hAnsi="Arial" w:cs="Arial"/>
                <w:b/>
                <w:bCs/>
                <w:sz w:val="20"/>
                <w:szCs w:val="20"/>
                <w:lang w:eastAsia="en-GB"/>
              </w:rPr>
              <w:t>Risk Impact</w:t>
            </w:r>
          </w:p>
        </w:tc>
        <w:tc>
          <w:tcPr>
            <w:tcW w:w="1216" w:type="dxa"/>
            <w:shd w:val="clear" w:color="auto" w:fill="auto"/>
            <w:vAlign w:val="center"/>
            <w:hideMark/>
          </w:tcPr>
          <w:p w:rsidR="008E7DD8" w:rsidRPr="008E7DD8" w:rsidRDefault="008E7DD8" w:rsidP="008E7DD8">
            <w:pPr>
              <w:spacing w:after="0" w:line="240" w:lineRule="auto"/>
              <w:jc w:val="center"/>
              <w:rPr>
                <w:rFonts w:ascii="Arial" w:eastAsia="Times New Roman" w:hAnsi="Arial" w:cs="Arial"/>
                <w:b/>
                <w:bCs/>
                <w:sz w:val="20"/>
                <w:szCs w:val="20"/>
                <w:lang w:eastAsia="en-GB"/>
              </w:rPr>
            </w:pPr>
            <w:r w:rsidRPr="008E7DD8">
              <w:rPr>
                <w:rFonts w:ascii="Arial" w:eastAsia="Times New Roman" w:hAnsi="Arial" w:cs="Arial"/>
                <w:b/>
                <w:bCs/>
                <w:sz w:val="20"/>
                <w:szCs w:val="20"/>
                <w:lang w:eastAsia="en-GB"/>
              </w:rPr>
              <w:t xml:space="preserve"> Risk Likelihood</w:t>
            </w:r>
          </w:p>
        </w:tc>
      </w:tr>
      <w:tr w:rsidR="008E7DD8" w:rsidRPr="008E7DD8" w:rsidTr="00F66820">
        <w:trPr>
          <w:trHeight w:val="1005"/>
        </w:trPr>
        <w:tc>
          <w:tcPr>
            <w:tcW w:w="17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7</w:t>
            </w:r>
          </w:p>
        </w:tc>
        <w:tc>
          <w:tcPr>
            <w:tcW w:w="3010" w:type="dxa"/>
            <w:shd w:val="clear" w:color="auto" w:fill="auto"/>
            <w:vAlign w:val="center"/>
            <w:hideMark/>
          </w:tcPr>
          <w:p w:rsidR="008E7DD8" w:rsidRPr="008E7DD8" w:rsidRDefault="008E7DD8"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 xml:space="preserve">The Medium term financial position worsens. </w:t>
            </w:r>
          </w:p>
        </w:tc>
        <w:tc>
          <w:tcPr>
            <w:tcW w:w="8299" w:type="dxa"/>
            <w:shd w:val="clear" w:color="auto" w:fill="auto"/>
            <w:vAlign w:val="center"/>
            <w:hideMark/>
          </w:tcPr>
          <w:p w:rsidR="008E7DD8" w:rsidRPr="008E7DD8" w:rsidRDefault="008E7DD8" w:rsidP="008E7DD8">
            <w:pPr>
              <w:tabs>
                <w:tab w:val="left" w:pos="7483"/>
              </w:tabs>
              <w:spacing w:after="0" w:line="240" w:lineRule="auto"/>
              <w:ind w:right="742"/>
              <w:rPr>
                <w:rFonts w:ascii="Arial" w:eastAsia="Times New Roman" w:hAnsi="Arial" w:cs="Arial"/>
                <w:lang w:eastAsia="en-GB"/>
              </w:rPr>
            </w:pPr>
            <w:r w:rsidRPr="008E7DD8">
              <w:rPr>
                <w:rFonts w:ascii="Arial" w:eastAsia="Times New Roman" w:hAnsi="Arial" w:cs="Arial"/>
                <w:lang w:eastAsia="en-GB"/>
              </w:rPr>
              <w:t>In that the general fund balance falls below the minimum prudent threshold and capital funding is insufficient to meet the capital programme. This appears as item no.8 in the Council's strategic risk register.</w:t>
            </w:r>
          </w:p>
        </w:tc>
        <w:tc>
          <w:tcPr>
            <w:tcW w:w="925"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sz w:val="20"/>
                <w:szCs w:val="20"/>
                <w:lang w:eastAsia="en-GB"/>
              </w:rPr>
            </w:pPr>
            <w:r w:rsidRPr="008E7DD8">
              <w:rPr>
                <w:rFonts w:ascii="Arial" w:eastAsia="Times New Roman" w:hAnsi="Arial" w:cs="Arial"/>
                <w:sz w:val="20"/>
                <w:szCs w:val="20"/>
                <w:lang w:eastAsia="en-GB"/>
              </w:rPr>
              <w:t>IV</w:t>
            </w:r>
          </w:p>
        </w:tc>
        <w:tc>
          <w:tcPr>
            <w:tcW w:w="12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D</w:t>
            </w:r>
          </w:p>
        </w:tc>
      </w:tr>
      <w:tr w:rsidR="008E7DD8" w:rsidRPr="008E7DD8" w:rsidTr="00F66820">
        <w:trPr>
          <w:trHeight w:val="1005"/>
        </w:trPr>
        <w:tc>
          <w:tcPr>
            <w:tcW w:w="17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8</w:t>
            </w:r>
          </w:p>
        </w:tc>
        <w:tc>
          <w:tcPr>
            <w:tcW w:w="3010" w:type="dxa"/>
            <w:shd w:val="clear" w:color="auto" w:fill="auto"/>
            <w:vAlign w:val="center"/>
            <w:hideMark/>
          </w:tcPr>
          <w:p w:rsidR="008E7DD8" w:rsidRPr="008E7DD8" w:rsidRDefault="008E7DD8"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Revenue balances insufficient to meet estimate pay award increases</w:t>
            </w:r>
          </w:p>
        </w:tc>
        <w:tc>
          <w:tcPr>
            <w:tcW w:w="8299" w:type="dxa"/>
            <w:shd w:val="clear" w:color="auto" w:fill="auto"/>
            <w:vAlign w:val="center"/>
            <w:hideMark/>
          </w:tcPr>
          <w:p w:rsidR="008E7DD8" w:rsidRPr="008E7DD8" w:rsidRDefault="008E7DD8" w:rsidP="008473B8">
            <w:pPr>
              <w:spacing w:after="0" w:line="240" w:lineRule="auto"/>
              <w:ind w:right="459"/>
              <w:rPr>
                <w:rFonts w:ascii="Arial" w:eastAsia="Times New Roman" w:hAnsi="Arial" w:cs="Arial"/>
                <w:lang w:eastAsia="en-GB"/>
              </w:rPr>
            </w:pPr>
            <w:r w:rsidRPr="008E7DD8">
              <w:rPr>
                <w:rFonts w:ascii="Arial" w:eastAsia="Times New Roman" w:hAnsi="Arial" w:cs="Arial"/>
                <w:lang w:eastAsia="en-GB"/>
              </w:rPr>
              <w:t xml:space="preserve">The medium term planning period takes into account a </w:t>
            </w:r>
            <w:r w:rsidR="008473B8">
              <w:rPr>
                <w:rFonts w:ascii="Arial" w:eastAsia="Times New Roman" w:hAnsi="Arial" w:cs="Arial"/>
                <w:lang w:eastAsia="en-GB"/>
              </w:rPr>
              <w:t>2</w:t>
            </w:r>
            <w:r w:rsidRPr="008E7DD8">
              <w:rPr>
                <w:rFonts w:ascii="Arial" w:eastAsia="Times New Roman" w:hAnsi="Arial" w:cs="Arial"/>
                <w:lang w:eastAsia="en-GB"/>
              </w:rPr>
              <w:t xml:space="preserve">% increase for the period 2017/18 to </w:t>
            </w:r>
            <w:r w:rsidR="008473B8">
              <w:rPr>
                <w:rFonts w:ascii="Arial" w:eastAsia="Times New Roman" w:hAnsi="Arial" w:cs="Arial"/>
                <w:lang w:eastAsia="en-GB"/>
              </w:rPr>
              <w:t>2020/21</w:t>
            </w:r>
          </w:p>
        </w:tc>
        <w:tc>
          <w:tcPr>
            <w:tcW w:w="925"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III</w:t>
            </w:r>
          </w:p>
        </w:tc>
        <w:tc>
          <w:tcPr>
            <w:tcW w:w="12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D</w:t>
            </w:r>
          </w:p>
        </w:tc>
      </w:tr>
      <w:tr w:rsidR="008E7DD8" w:rsidRPr="008E7DD8" w:rsidTr="00F66820">
        <w:trPr>
          <w:trHeight w:val="1005"/>
        </w:trPr>
        <w:tc>
          <w:tcPr>
            <w:tcW w:w="17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9</w:t>
            </w:r>
          </w:p>
        </w:tc>
        <w:tc>
          <w:tcPr>
            <w:tcW w:w="3010" w:type="dxa"/>
            <w:shd w:val="clear" w:color="auto" w:fill="auto"/>
            <w:vAlign w:val="center"/>
            <w:hideMark/>
          </w:tcPr>
          <w:p w:rsidR="008E7DD8" w:rsidRPr="008E7DD8" w:rsidRDefault="008E7DD8"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Revenue balances insufficient to meet other inflationary increases</w:t>
            </w:r>
          </w:p>
        </w:tc>
        <w:tc>
          <w:tcPr>
            <w:tcW w:w="8299" w:type="dxa"/>
            <w:shd w:val="clear" w:color="auto" w:fill="auto"/>
            <w:vAlign w:val="center"/>
            <w:hideMark/>
          </w:tcPr>
          <w:p w:rsidR="008E7DD8" w:rsidRPr="008E7DD8" w:rsidRDefault="008E7DD8" w:rsidP="008E7DD8">
            <w:pPr>
              <w:spacing w:after="0" w:line="240" w:lineRule="auto"/>
              <w:ind w:right="742"/>
              <w:rPr>
                <w:rFonts w:ascii="Arial" w:eastAsia="Times New Roman" w:hAnsi="Arial" w:cs="Arial"/>
                <w:lang w:eastAsia="en-GB"/>
              </w:rPr>
            </w:pPr>
            <w:r w:rsidRPr="008E7DD8">
              <w:rPr>
                <w:rFonts w:ascii="Arial" w:eastAsia="Times New Roman" w:hAnsi="Arial" w:cs="Arial"/>
                <w:lang w:eastAsia="en-GB"/>
              </w:rPr>
              <w:t xml:space="preserve">Other than contractual agreements, budgets have been cash limited where possible. </w:t>
            </w:r>
          </w:p>
        </w:tc>
        <w:tc>
          <w:tcPr>
            <w:tcW w:w="925"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sz w:val="20"/>
                <w:szCs w:val="20"/>
                <w:lang w:eastAsia="en-GB"/>
              </w:rPr>
            </w:pPr>
            <w:r w:rsidRPr="008E7DD8">
              <w:rPr>
                <w:rFonts w:ascii="Arial" w:eastAsia="Times New Roman" w:hAnsi="Arial" w:cs="Arial"/>
                <w:sz w:val="20"/>
                <w:szCs w:val="20"/>
                <w:lang w:eastAsia="en-GB"/>
              </w:rPr>
              <w:t>II</w:t>
            </w:r>
          </w:p>
        </w:tc>
        <w:tc>
          <w:tcPr>
            <w:tcW w:w="12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D</w:t>
            </w:r>
          </w:p>
        </w:tc>
      </w:tr>
      <w:tr w:rsidR="008E7DD8" w:rsidRPr="008E7DD8" w:rsidTr="00F66820">
        <w:trPr>
          <w:trHeight w:val="1005"/>
        </w:trPr>
        <w:tc>
          <w:tcPr>
            <w:tcW w:w="17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10</w:t>
            </w:r>
          </w:p>
        </w:tc>
        <w:tc>
          <w:tcPr>
            <w:tcW w:w="3010" w:type="dxa"/>
            <w:shd w:val="clear" w:color="auto" w:fill="auto"/>
            <w:vAlign w:val="center"/>
            <w:hideMark/>
          </w:tcPr>
          <w:p w:rsidR="008E7DD8" w:rsidRPr="008E7DD8" w:rsidRDefault="008E7DD8"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Interest rates resulting in significant variations in estimated interest income</w:t>
            </w:r>
          </w:p>
        </w:tc>
        <w:tc>
          <w:tcPr>
            <w:tcW w:w="8299" w:type="dxa"/>
            <w:shd w:val="clear" w:color="auto" w:fill="auto"/>
            <w:vAlign w:val="center"/>
            <w:hideMark/>
          </w:tcPr>
          <w:p w:rsidR="008E7DD8" w:rsidRPr="008E7DD8" w:rsidRDefault="008E7DD8" w:rsidP="008E7DD8">
            <w:pPr>
              <w:spacing w:after="0" w:line="240" w:lineRule="auto"/>
              <w:ind w:right="742"/>
              <w:rPr>
                <w:rFonts w:ascii="Arial" w:eastAsia="Times New Roman" w:hAnsi="Arial" w:cs="Arial"/>
                <w:lang w:eastAsia="en-GB"/>
              </w:rPr>
            </w:pPr>
            <w:r w:rsidRPr="008E7DD8">
              <w:rPr>
                <w:rFonts w:ascii="Arial" w:eastAsia="Times New Roman" w:hAnsi="Arial" w:cs="Arial"/>
                <w:lang w:eastAsia="en-GB"/>
              </w:rPr>
              <w:t>The interest rate has a significant impact on the proceeds from capital receipts that are invested in the money market. The volatility of the global economy continues to place uncer</w:t>
            </w:r>
            <w:r w:rsidRPr="008E7DD8">
              <w:rPr>
                <w:rFonts w:ascii="Arial" w:eastAsia="Times New Roman" w:hAnsi="Arial" w:cs="Arial"/>
                <w:b/>
                <w:lang w:eastAsia="en-GB"/>
              </w:rPr>
              <w:t>t</w:t>
            </w:r>
            <w:r w:rsidRPr="008E7DD8">
              <w:rPr>
                <w:rFonts w:ascii="Arial" w:eastAsia="Times New Roman" w:hAnsi="Arial" w:cs="Arial"/>
                <w:lang w:eastAsia="en-GB"/>
              </w:rPr>
              <w:t xml:space="preserve">ainty on the investment strategy.   </w:t>
            </w:r>
          </w:p>
        </w:tc>
        <w:tc>
          <w:tcPr>
            <w:tcW w:w="925"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sz w:val="20"/>
                <w:szCs w:val="20"/>
                <w:lang w:eastAsia="en-GB"/>
              </w:rPr>
            </w:pPr>
            <w:r w:rsidRPr="008E7DD8">
              <w:rPr>
                <w:rFonts w:ascii="Arial" w:eastAsia="Times New Roman" w:hAnsi="Arial" w:cs="Arial"/>
                <w:sz w:val="20"/>
                <w:szCs w:val="20"/>
                <w:lang w:eastAsia="en-GB"/>
              </w:rPr>
              <w:t>III</w:t>
            </w:r>
          </w:p>
        </w:tc>
        <w:tc>
          <w:tcPr>
            <w:tcW w:w="12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C</w:t>
            </w:r>
          </w:p>
        </w:tc>
      </w:tr>
      <w:tr w:rsidR="008E7DD8" w:rsidRPr="008E7DD8" w:rsidTr="00F66820">
        <w:trPr>
          <w:trHeight w:val="1005"/>
        </w:trPr>
        <w:tc>
          <w:tcPr>
            <w:tcW w:w="17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11</w:t>
            </w:r>
          </w:p>
        </w:tc>
        <w:tc>
          <w:tcPr>
            <w:tcW w:w="3010" w:type="dxa"/>
            <w:shd w:val="clear" w:color="auto" w:fill="auto"/>
            <w:vAlign w:val="center"/>
            <w:hideMark/>
          </w:tcPr>
          <w:p w:rsidR="008E7DD8" w:rsidRPr="008E7DD8" w:rsidRDefault="008E7DD8"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Inaccurate estimates of fees and charges income</w:t>
            </w:r>
          </w:p>
        </w:tc>
        <w:tc>
          <w:tcPr>
            <w:tcW w:w="8299" w:type="dxa"/>
            <w:shd w:val="clear" w:color="auto" w:fill="auto"/>
            <w:vAlign w:val="center"/>
            <w:hideMark/>
          </w:tcPr>
          <w:p w:rsidR="008E7DD8" w:rsidRPr="008E7DD8" w:rsidRDefault="008E7DD8" w:rsidP="008E7DD8">
            <w:pPr>
              <w:spacing w:after="0" w:line="240" w:lineRule="auto"/>
              <w:ind w:right="742"/>
              <w:rPr>
                <w:rFonts w:ascii="Arial" w:eastAsia="Times New Roman" w:hAnsi="Arial" w:cs="Arial"/>
                <w:lang w:eastAsia="en-GB"/>
              </w:rPr>
            </w:pPr>
            <w:r w:rsidRPr="008E7DD8">
              <w:rPr>
                <w:rFonts w:ascii="Arial" w:eastAsia="Times New Roman" w:hAnsi="Arial" w:cs="Arial"/>
                <w:lang w:eastAsia="en-GB"/>
              </w:rPr>
              <w:t xml:space="preserve">See Key Budget Indicators shown in the latest Budget Monitoring report </w:t>
            </w:r>
          </w:p>
        </w:tc>
        <w:tc>
          <w:tcPr>
            <w:tcW w:w="925"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V</w:t>
            </w:r>
          </w:p>
        </w:tc>
        <w:tc>
          <w:tcPr>
            <w:tcW w:w="1216" w:type="dxa"/>
            <w:shd w:val="clear" w:color="auto" w:fill="auto"/>
            <w:noWrap/>
            <w:vAlign w:val="center"/>
            <w:hideMark/>
          </w:tcPr>
          <w:p w:rsidR="008E7DD8" w:rsidRPr="008E7DD8" w:rsidRDefault="008E7DD8" w:rsidP="008E7DD8">
            <w:pPr>
              <w:spacing w:after="0" w:line="240" w:lineRule="auto"/>
              <w:jc w:val="center"/>
              <w:rPr>
                <w:rFonts w:ascii="Arial" w:eastAsia="Times New Roman" w:hAnsi="Arial" w:cs="Arial"/>
                <w:sz w:val="20"/>
                <w:szCs w:val="20"/>
                <w:lang w:eastAsia="en-GB"/>
              </w:rPr>
            </w:pPr>
            <w:r w:rsidRPr="008E7DD8">
              <w:rPr>
                <w:rFonts w:ascii="Arial" w:eastAsia="Times New Roman" w:hAnsi="Arial" w:cs="Arial"/>
                <w:sz w:val="20"/>
                <w:szCs w:val="20"/>
                <w:lang w:eastAsia="en-GB"/>
              </w:rPr>
              <w:t>E</w:t>
            </w:r>
          </w:p>
        </w:tc>
      </w:tr>
      <w:tr w:rsidR="004B2B4F" w:rsidRPr="008E7DD8" w:rsidTr="00F66820">
        <w:trPr>
          <w:trHeight w:val="1005"/>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12</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Revenue balances insufficient to meet loss of partial exemption for VAT</w:t>
            </w:r>
          </w:p>
        </w:tc>
        <w:tc>
          <w:tcPr>
            <w:tcW w:w="8299" w:type="dxa"/>
            <w:shd w:val="clear" w:color="auto" w:fill="auto"/>
            <w:vAlign w:val="center"/>
            <w:hideMark/>
          </w:tcPr>
          <w:p w:rsidR="004B2B4F" w:rsidRPr="004B2B4F" w:rsidRDefault="004B2B4F" w:rsidP="00102DFC">
            <w:pPr>
              <w:ind w:right="742"/>
              <w:rPr>
                <w:rFonts w:ascii="Arial" w:hAnsi="Arial" w:cs="Arial"/>
                <w:b/>
              </w:rPr>
            </w:pPr>
            <w:r w:rsidRPr="004B2B4F">
              <w:rPr>
                <w:rFonts w:ascii="Arial" w:hAnsi="Arial" w:cs="Arial"/>
              </w:rPr>
              <w:t>If the council's expenditure on functions for which it receives income that is exempt for VAT purposes exceeds 5% of its total vat able expenditure, then the Council may lose its ability to recover VAT on all of its exempt inputs</w:t>
            </w:r>
            <w:r w:rsidRPr="004B2B4F">
              <w:rPr>
                <w:rFonts w:ascii="Arial" w:hAnsi="Arial" w:cs="Arial"/>
                <w:i/>
              </w:rPr>
              <w:t xml:space="preserve">. Three Rivers House has now been given </w:t>
            </w:r>
            <w:proofErr w:type="gramStart"/>
            <w:r w:rsidRPr="004B2B4F">
              <w:rPr>
                <w:rFonts w:ascii="Arial" w:hAnsi="Arial" w:cs="Arial"/>
                <w:i/>
              </w:rPr>
              <w:t>the opt</w:t>
            </w:r>
            <w:proofErr w:type="gramEnd"/>
            <w:r w:rsidRPr="004B2B4F">
              <w:rPr>
                <w:rFonts w:ascii="Arial" w:hAnsi="Arial" w:cs="Arial"/>
                <w:i/>
              </w:rPr>
              <w:t xml:space="preserve"> to tax status which reduces this risk and means all lettings are now subject to VAT. </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sz w:val="20"/>
                <w:szCs w:val="20"/>
                <w:lang w:eastAsia="en-GB"/>
              </w:rPr>
            </w:pPr>
            <w:r w:rsidRPr="008E7DD8">
              <w:rPr>
                <w:rFonts w:ascii="Arial" w:eastAsia="Times New Roman" w:hAnsi="Arial" w:cs="Arial"/>
                <w:sz w:val="20"/>
                <w:szCs w:val="20"/>
                <w:lang w:eastAsia="en-GB"/>
              </w:rPr>
              <w:t>II</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E</w:t>
            </w:r>
          </w:p>
        </w:tc>
      </w:tr>
      <w:tr w:rsidR="004B2B4F" w:rsidRPr="008E7DD8" w:rsidTr="00F66820">
        <w:trPr>
          <w:trHeight w:val="1005"/>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13</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The estimated cost reductions and additional income gains are not achieved</w:t>
            </w:r>
          </w:p>
        </w:tc>
        <w:tc>
          <w:tcPr>
            <w:tcW w:w="8299" w:type="dxa"/>
            <w:shd w:val="clear" w:color="auto" w:fill="auto"/>
            <w:vAlign w:val="center"/>
            <w:hideMark/>
          </w:tcPr>
          <w:p w:rsidR="004B2B4F" w:rsidRPr="008E7DD8" w:rsidRDefault="004B2B4F" w:rsidP="008E7DD8">
            <w:pPr>
              <w:tabs>
                <w:tab w:val="left" w:pos="6632"/>
                <w:tab w:val="left" w:pos="7341"/>
                <w:tab w:val="left" w:pos="7483"/>
              </w:tabs>
              <w:spacing w:after="0" w:line="240" w:lineRule="auto"/>
              <w:ind w:right="742"/>
              <w:rPr>
                <w:rFonts w:ascii="Arial" w:eastAsia="Times New Roman" w:hAnsi="Arial" w:cs="Arial"/>
                <w:lang w:eastAsia="en-GB"/>
              </w:rPr>
            </w:pPr>
            <w:r w:rsidRPr="008E7DD8">
              <w:rPr>
                <w:rFonts w:ascii="Arial" w:eastAsia="Times New Roman" w:hAnsi="Arial" w:cs="Arial"/>
                <w:lang w:eastAsia="en-GB"/>
              </w:rPr>
              <w:t>Savings identified and included in the budget will be monitored as part of the budget monitoring process</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IV</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E</w:t>
            </w:r>
          </w:p>
        </w:tc>
      </w:tr>
      <w:tr w:rsidR="004B2B4F" w:rsidRPr="008E7DD8" w:rsidTr="004B2B4F">
        <w:trPr>
          <w:trHeight w:val="842"/>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lastRenderedPageBreak/>
              <w:t>14</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The Council is faced with potential litigation and other employment related risks</w:t>
            </w:r>
          </w:p>
        </w:tc>
        <w:tc>
          <w:tcPr>
            <w:tcW w:w="8299" w:type="dxa"/>
            <w:shd w:val="clear" w:color="auto" w:fill="auto"/>
            <w:vAlign w:val="center"/>
            <w:hideMark/>
          </w:tcPr>
          <w:p w:rsidR="004B2B4F" w:rsidRPr="008E7DD8" w:rsidRDefault="004B2B4F" w:rsidP="008E7DD8">
            <w:pPr>
              <w:tabs>
                <w:tab w:val="left" w:pos="6632"/>
                <w:tab w:val="left" w:pos="7341"/>
                <w:tab w:val="left" w:pos="7483"/>
              </w:tabs>
              <w:spacing w:after="0" w:line="240" w:lineRule="auto"/>
              <w:ind w:right="1167"/>
              <w:rPr>
                <w:rFonts w:ascii="Arial" w:eastAsia="Times New Roman" w:hAnsi="Arial" w:cs="Arial"/>
                <w:lang w:eastAsia="en-GB"/>
              </w:rPr>
            </w:pPr>
            <w:r w:rsidRPr="008E7DD8">
              <w:rPr>
                <w:rFonts w:ascii="Arial" w:eastAsia="Times New Roman" w:hAnsi="Arial" w:cs="Arial"/>
                <w:lang w:eastAsia="en-GB"/>
              </w:rPr>
              <w:t xml:space="preserve">The Council has no outstanding litigation cases. </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III</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E</w:t>
            </w:r>
          </w:p>
        </w:tc>
      </w:tr>
      <w:tr w:rsidR="004B2B4F" w:rsidRPr="008E7DD8" w:rsidTr="00F66820">
        <w:trPr>
          <w:trHeight w:val="831"/>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15</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The amount of government grant is adversely affected</w:t>
            </w:r>
          </w:p>
        </w:tc>
        <w:tc>
          <w:tcPr>
            <w:tcW w:w="8299" w:type="dxa"/>
            <w:shd w:val="clear" w:color="auto" w:fill="auto"/>
            <w:noWrap/>
            <w:vAlign w:val="center"/>
            <w:hideMark/>
          </w:tcPr>
          <w:p w:rsidR="004B2B4F" w:rsidRPr="008E7DD8" w:rsidRDefault="008473B8" w:rsidP="008473B8">
            <w:pPr>
              <w:tabs>
                <w:tab w:val="left" w:pos="6632"/>
                <w:tab w:val="left" w:pos="7781"/>
                <w:tab w:val="left" w:pos="7923"/>
              </w:tabs>
              <w:spacing w:after="0" w:line="240" w:lineRule="auto"/>
              <w:ind w:right="302"/>
              <w:rPr>
                <w:rFonts w:ascii="Arial" w:eastAsia="Times New Roman" w:hAnsi="Arial" w:cs="Arial"/>
                <w:lang w:eastAsia="en-GB"/>
              </w:rPr>
            </w:pPr>
            <w:r>
              <w:rPr>
                <w:rFonts w:ascii="Arial" w:eastAsia="Times New Roman" w:hAnsi="Arial" w:cs="Arial"/>
                <w:lang w:eastAsia="en-GB"/>
              </w:rPr>
              <w:t>The grant settlement has</w:t>
            </w:r>
            <w:r w:rsidR="004B2B4F" w:rsidRPr="008E7DD8">
              <w:rPr>
                <w:rFonts w:ascii="Arial" w:eastAsia="Times New Roman" w:hAnsi="Arial" w:cs="Arial"/>
                <w:lang w:eastAsia="en-GB"/>
              </w:rPr>
              <w:t xml:space="preserve"> been factored into the MTFP. The Council decided to accept the Government’s offer of a four year settlement.</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II</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E</w:t>
            </w:r>
          </w:p>
        </w:tc>
      </w:tr>
      <w:tr w:rsidR="004B2B4F" w:rsidRPr="008E7DD8" w:rsidTr="004B2B4F">
        <w:trPr>
          <w:trHeight w:val="967"/>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16</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Localising support for council tax</w:t>
            </w:r>
          </w:p>
        </w:tc>
        <w:tc>
          <w:tcPr>
            <w:tcW w:w="8299" w:type="dxa"/>
            <w:shd w:val="clear" w:color="auto" w:fill="auto"/>
            <w:noWrap/>
            <w:vAlign w:val="center"/>
            <w:hideMark/>
          </w:tcPr>
          <w:p w:rsidR="004B2B4F" w:rsidRPr="008E7DD8" w:rsidRDefault="004B2B4F" w:rsidP="008E7DD8">
            <w:pPr>
              <w:tabs>
                <w:tab w:val="left" w:pos="6632"/>
                <w:tab w:val="left" w:pos="7341"/>
                <w:tab w:val="left" w:pos="7483"/>
              </w:tabs>
              <w:spacing w:after="0" w:line="240" w:lineRule="auto"/>
              <w:ind w:right="742"/>
              <w:jc w:val="both"/>
              <w:rPr>
                <w:rFonts w:ascii="Arial" w:eastAsia="Times New Roman" w:hAnsi="Arial" w:cs="Arial"/>
                <w:lang w:eastAsia="en-GB"/>
              </w:rPr>
            </w:pPr>
            <w:r w:rsidRPr="008E7DD8">
              <w:rPr>
                <w:rFonts w:ascii="Arial" w:eastAsia="Times New Roman" w:hAnsi="Arial" w:cs="Arial"/>
                <w:lang w:eastAsia="en-GB"/>
              </w:rPr>
              <w:t>The introduction of universal credits and the localising of support for Council Tax will substantially alter the administering of Housing and Council Tax Benefits</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II</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E</w:t>
            </w:r>
          </w:p>
        </w:tc>
      </w:tr>
      <w:tr w:rsidR="004B2B4F" w:rsidRPr="008E7DD8" w:rsidTr="00F66820">
        <w:trPr>
          <w:trHeight w:val="1112"/>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17</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Right to Buy Receipts &amp; VAT Shelter Receipts</w:t>
            </w:r>
          </w:p>
        </w:tc>
        <w:tc>
          <w:tcPr>
            <w:tcW w:w="8299" w:type="dxa"/>
            <w:shd w:val="clear" w:color="auto" w:fill="auto"/>
            <w:vAlign w:val="center"/>
            <w:hideMark/>
          </w:tcPr>
          <w:p w:rsidR="004B2B4F" w:rsidRPr="008E7DD8" w:rsidRDefault="004B2B4F" w:rsidP="008E7DD8">
            <w:pPr>
              <w:tabs>
                <w:tab w:val="left" w:pos="6632"/>
                <w:tab w:val="left" w:pos="7341"/>
                <w:tab w:val="left" w:pos="7483"/>
              </w:tabs>
              <w:spacing w:after="0" w:line="240" w:lineRule="auto"/>
              <w:ind w:right="742"/>
              <w:rPr>
                <w:rFonts w:ascii="Arial" w:eastAsia="Times New Roman" w:hAnsi="Arial" w:cs="Arial"/>
                <w:lang w:eastAsia="en-GB"/>
              </w:rPr>
            </w:pPr>
            <w:r w:rsidRPr="008E7DD8">
              <w:rPr>
                <w:rFonts w:ascii="Arial" w:eastAsia="Times New Roman" w:hAnsi="Arial" w:cs="Arial"/>
                <w:lang w:eastAsia="en-GB"/>
              </w:rPr>
              <w:t xml:space="preserve">Under the housing stock transfer with Thrive Homes Limited (THL) the Council is entitled to use its share of the proceeds to fund the capital programme. The level of activity on these income streams are outside the Council's control. </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IV</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E</w:t>
            </w:r>
          </w:p>
        </w:tc>
      </w:tr>
      <w:tr w:rsidR="004B2B4F" w:rsidRPr="008E7DD8" w:rsidTr="00F66820">
        <w:trPr>
          <w:trHeight w:val="659"/>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18</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Fluctuations in Business Rates Retention</w:t>
            </w:r>
          </w:p>
        </w:tc>
        <w:tc>
          <w:tcPr>
            <w:tcW w:w="8299" w:type="dxa"/>
            <w:shd w:val="clear" w:color="auto" w:fill="auto"/>
            <w:noWrap/>
            <w:vAlign w:val="center"/>
            <w:hideMark/>
          </w:tcPr>
          <w:p w:rsidR="004B2B4F" w:rsidRPr="008E7DD8" w:rsidRDefault="004B2B4F" w:rsidP="008E7DD8">
            <w:pPr>
              <w:tabs>
                <w:tab w:val="left" w:pos="7483"/>
                <w:tab w:val="left" w:pos="7766"/>
              </w:tabs>
              <w:spacing w:after="0" w:line="240" w:lineRule="auto"/>
              <w:ind w:right="459"/>
              <w:rPr>
                <w:rFonts w:ascii="Arial" w:eastAsia="Times New Roman" w:hAnsi="Arial" w:cs="Arial"/>
                <w:lang w:eastAsia="en-GB"/>
              </w:rPr>
            </w:pPr>
            <w:r w:rsidRPr="008E7DD8">
              <w:rPr>
                <w:rFonts w:ascii="Arial" w:eastAsia="Times New Roman" w:hAnsi="Arial" w:cs="Arial"/>
                <w:lang w:eastAsia="en-GB"/>
              </w:rPr>
              <w:t xml:space="preserve">The Council is legally obliged to cover the first 7.5% loss on its pre- determined baseline level. </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IV</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C</w:t>
            </w:r>
          </w:p>
        </w:tc>
      </w:tr>
      <w:tr w:rsidR="004B2B4F" w:rsidRPr="008E7DD8" w:rsidTr="00F66820">
        <w:trPr>
          <w:trHeight w:val="882"/>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19</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 xml:space="preserve">Failure to deliver the South </w:t>
            </w:r>
            <w:proofErr w:type="spellStart"/>
            <w:r w:rsidRPr="008E7DD8">
              <w:rPr>
                <w:rFonts w:ascii="Arial" w:eastAsia="Times New Roman" w:hAnsi="Arial" w:cs="Arial"/>
                <w:lang w:eastAsia="en-GB"/>
              </w:rPr>
              <w:t>Oxhey</w:t>
            </w:r>
            <w:proofErr w:type="spellEnd"/>
            <w:r w:rsidRPr="008E7DD8">
              <w:rPr>
                <w:rFonts w:ascii="Arial" w:eastAsia="Times New Roman" w:hAnsi="Arial" w:cs="Arial"/>
                <w:lang w:eastAsia="en-GB"/>
              </w:rPr>
              <w:t xml:space="preserve"> Initiative to desired outcomes and objectives</w:t>
            </w:r>
          </w:p>
        </w:tc>
        <w:tc>
          <w:tcPr>
            <w:tcW w:w="8299" w:type="dxa"/>
            <w:shd w:val="clear" w:color="auto" w:fill="auto"/>
            <w:noWrap/>
            <w:vAlign w:val="center"/>
            <w:hideMark/>
          </w:tcPr>
          <w:p w:rsidR="004B2B4F" w:rsidRPr="008E7DD8" w:rsidRDefault="004B2B4F" w:rsidP="008E7DD8">
            <w:pPr>
              <w:tabs>
                <w:tab w:val="left" w:pos="6632"/>
                <w:tab w:val="left" w:pos="7341"/>
                <w:tab w:val="left" w:pos="7483"/>
              </w:tabs>
              <w:spacing w:after="0" w:line="240" w:lineRule="auto"/>
              <w:ind w:right="317"/>
              <w:rPr>
                <w:rFonts w:ascii="Arial" w:eastAsia="Times New Roman" w:hAnsi="Arial" w:cs="Arial"/>
                <w:lang w:eastAsia="en-GB"/>
              </w:rPr>
            </w:pPr>
            <w:r w:rsidRPr="008E7DD8">
              <w:rPr>
                <w:rFonts w:ascii="Arial" w:eastAsia="Times New Roman" w:hAnsi="Arial" w:cs="Arial"/>
                <w:lang w:eastAsia="en-GB"/>
              </w:rPr>
              <w:t>This is a key project. This appears as item no.7 in the Council's strategic risk register.</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IV</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D</w:t>
            </w:r>
          </w:p>
        </w:tc>
      </w:tr>
      <w:tr w:rsidR="004B2B4F" w:rsidRPr="008E7DD8" w:rsidTr="00F66820">
        <w:trPr>
          <w:trHeight w:val="981"/>
        </w:trPr>
        <w:tc>
          <w:tcPr>
            <w:tcW w:w="17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20</w:t>
            </w:r>
          </w:p>
        </w:tc>
        <w:tc>
          <w:tcPr>
            <w:tcW w:w="3010" w:type="dxa"/>
            <w:shd w:val="clear" w:color="auto" w:fill="auto"/>
            <w:vAlign w:val="center"/>
            <w:hideMark/>
          </w:tcPr>
          <w:p w:rsidR="004B2B4F" w:rsidRPr="008E7DD8" w:rsidRDefault="004B2B4F" w:rsidP="008E7DD8">
            <w:pPr>
              <w:spacing w:after="0" w:line="240" w:lineRule="auto"/>
              <w:rPr>
                <w:rFonts w:ascii="Arial" w:eastAsia="Times New Roman" w:hAnsi="Arial" w:cs="Arial"/>
                <w:lang w:eastAsia="en-GB"/>
              </w:rPr>
            </w:pPr>
            <w:r w:rsidRPr="008E7DD8">
              <w:rPr>
                <w:rFonts w:ascii="Arial" w:eastAsia="Times New Roman" w:hAnsi="Arial" w:cs="Arial"/>
                <w:lang w:eastAsia="en-GB"/>
              </w:rPr>
              <w:t>Failure of ICT systems</w:t>
            </w:r>
          </w:p>
        </w:tc>
        <w:tc>
          <w:tcPr>
            <w:tcW w:w="8299" w:type="dxa"/>
            <w:shd w:val="clear" w:color="auto" w:fill="auto"/>
            <w:vAlign w:val="center"/>
            <w:hideMark/>
          </w:tcPr>
          <w:p w:rsidR="004B2B4F" w:rsidRPr="008E7DD8" w:rsidRDefault="004B2B4F" w:rsidP="008E7DD8">
            <w:pPr>
              <w:tabs>
                <w:tab w:val="left" w:pos="6632"/>
                <w:tab w:val="left" w:pos="7341"/>
                <w:tab w:val="left" w:pos="7483"/>
              </w:tabs>
              <w:spacing w:after="0" w:line="240" w:lineRule="auto"/>
              <w:ind w:right="459"/>
              <w:rPr>
                <w:rFonts w:ascii="Arial" w:eastAsia="Times New Roman" w:hAnsi="Arial" w:cs="Arial"/>
                <w:lang w:eastAsia="en-GB"/>
              </w:rPr>
            </w:pPr>
            <w:r w:rsidRPr="008E7DD8">
              <w:rPr>
                <w:rFonts w:ascii="Arial" w:eastAsia="Times New Roman" w:hAnsi="Arial" w:cs="Arial"/>
                <w:lang w:eastAsia="en-GB"/>
              </w:rPr>
              <w:t xml:space="preserve">The Council's integrated Financial Management System (FMS) is held on an ICT platform. If this were to fail then potentially there will be a loss of functionality occurring during any downtime. </w:t>
            </w:r>
          </w:p>
        </w:tc>
        <w:tc>
          <w:tcPr>
            <w:tcW w:w="925"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III</w:t>
            </w:r>
          </w:p>
        </w:tc>
        <w:tc>
          <w:tcPr>
            <w:tcW w:w="1216" w:type="dxa"/>
            <w:shd w:val="clear" w:color="auto" w:fill="auto"/>
            <w:noWrap/>
            <w:vAlign w:val="center"/>
            <w:hideMark/>
          </w:tcPr>
          <w:p w:rsidR="004B2B4F" w:rsidRPr="008E7DD8" w:rsidRDefault="004B2B4F" w:rsidP="008E7DD8">
            <w:pPr>
              <w:spacing w:after="0" w:line="240" w:lineRule="auto"/>
              <w:jc w:val="center"/>
              <w:rPr>
                <w:rFonts w:ascii="Arial" w:eastAsia="Times New Roman" w:hAnsi="Arial" w:cs="Arial"/>
                <w:lang w:eastAsia="en-GB"/>
              </w:rPr>
            </w:pPr>
            <w:r w:rsidRPr="008E7DD8">
              <w:rPr>
                <w:rFonts w:ascii="Arial" w:eastAsia="Times New Roman" w:hAnsi="Arial" w:cs="Arial"/>
                <w:lang w:eastAsia="en-GB"/>
              </w:rPr>
              <w:t>E</w:t>
            </w:r>
          </w:p>
        </w:tc>
      </w:tr>
      <w:tr w:rsidR="008473B8" w:rsidRPr="008E7DD8" w:rsidTr="00F66820">
        <w:trPr>
          <w:trHeight w:val="981"/>
        </w:trPr>
        <w:tc>
          <w:tcPr>
            <w:tcW w:w="1716" w:type="dxa"/>
            <w:shd w:val="clear" w:color="auto" w:fill="auto"/>
            <w:noWrap/>
            <w:vAlign w:val="center"/>
          </w:tcPr>
          <w:p w:rsidR="008473B8" w:rsidRPr="008E7DD8" w:rsidRDefault="008473B8" w:rsidP="008E7DD8">
            <w:pPr>
              <w:spacing w:after="0" w:line="240" w:lineRule="auto"/>
              <w:jc w:val="center"/>
              <w:rPr>
                <w:rFonts w:ascii="Arial" w:eastAsia="Times New Roman" w:hAnsi="Arial" w:cs="Arial"/>
                <w:lang w:eastAsia="en-GB"/>
              </w:rPr>
            </w:pPr>
            <w:r>
              <w:rPr>
                <w:rFonts w:ascii="Arial" w:eastAsia="Times New Roman" w:hAnsi="Arial" w:cs="Arial"/>
                <w:lang w:eastAsia="en-GB"/>
              </w:rPr>
              <w:t>21</w:t>
            </w:r>
          </w:p>
        </w:tc>
        <w:tc>
          <w:tcPr>
            <w:tcW w:w="3010" w:type="dxa"/>
            <w:shd w:val="clear" w:color="auto" w:fill="auto"/>
            <w:vAlign w:val="center"/>
          </w:tcPr>
          <w:p w:rsidR="008473B8" w:rsidRPr="008E7DD8" w:rsidRDefault="008473B8" w:rsidP="008E7DD8">
            <w:pPr>
              <w:spacing w:after="0" w:line="240" w:lineRule="auto"/>
              <w:rPr>
                <w:rFonts w:ascii="Arial" w:eastAsia="Times New Roman" w:hAnsi="Arial" w:cs="Arial"/>
                <w:lang w:eastAsia="en-GB"/>
              </w:rPr>
            </w:pPr>
            <w:r>
              <w:rPr>
                <w:rFonts w:ascii="Arial" w:eastAsia="Times New Roman" w:hAnsi="Arial" w:cs="Arial"/>
                <w:lang w:eastAsia="en-GB"/>
              </w:rPr>
              <w:t>Property Investment</w:t>
            </w:r>
          </w:p>
        </w:tc>
        <w:tc>
          <w:tcPr>
            <w:tcW w:w="8299" w:type="dxa"/>
            <w:shd w:val="clear" w:color="auto" w:fill="auto"/>
            <w:vAlign w:val="center"/>
          </w:tcPr>
          <w:p w:rsidR="008473B8" w:rsidRPr="008E7DD8" w:rsidRDefault="008473B8" w:rsidP="008473B8">
            <w:pPr>
              <w:tabs>
                <w:tab w:val="left" w:pos="6632"/>
                <w:tab w:val="left" w:pos="7341"/>
                <w:tab w:val="left" w:pos="7890"/>
              </w:tabs>
              <w:spacing w:after="0" w:line="240" w:lineRule="auto"/>
              <w:ind w:right="193"/>
              <w:rPr>
                <w:rFonts w:ascii="Arial" w:eastAsia="Times New Roman" w:hAnsi="Arial" w:cs="Arial"/>
                <w:lang w:eastAsia="en-GB"/>
              </w:rPr>
            </w:pPr>
            <w:r>
              <w:rPr>
                <w:rFonts w:ascii="Arial" w:eastAsia="Times New Roman" w:hAnsi="Arial" w:cs="Arial"/>
                <w:lang w:eastAsia="en-GB"/>
              </w:rPr>
              <w:t>The Council set up a Property Investment Board in 2017 to manage its property portfolio in order to secure additional income of £1 million to support its general fund. Depending on  the availability of sites,</w:t>
            </w:r>
            <w:r w:rsidR="00D76DCB">
              <w:rPr>
                <w:rFonts w:ascii="Arial" w:eastAsia="Times New Roman" w:hAnsi="Arial" w:cs="Arial"/>
                <w:lang w:eastAsia="en-GB"/>
              </w:rPr>
              <w:t xml:space="preserve"> </w:t>
            </w:r>
            <w:r>
              <w:rPr>
                <w:rFonts w:ascii="Arial" w:eastAsia="Times New Roman" w:hAnsi="Arial" w:cs="Arial"/>
                <w:lang w:eastAsia="en-GB"/>
              </w:rPr>
              <w:t>successful  bids and Government legislation on property investments, it presents a risk to achieving this target</w:t>
            </w:r>
          </w:p>
        </w:tc>
        <w:tc>
          <w:tcPr>
            <w:tcW w:w="925" w:type="dxa"/>
            <w:shd w:val="clear" w:color="auto" w:fill="auto"/>
            <w:noWrap/>
            <w:vAlign w:val="center"/>
          </w:tcPr>
          <w:p w:rsidR="008473B8" w:rsidRPr="008E7DD8" w:rsidRDefault="008473B8" w:rsidP="008E7DD8">
            <w:pPr>
              <w:spacing w:after="0" w:line="240" w:lineRule="auto"/>
              <w:jc w:val="center"/>
              <w:rPr>
                <w:rFonts w:ascii="Arial" w:eastAsia="Times New Roman" w:hAnsi="Arial" w:cs="Arial"/>
                <w:lang w:eastAsia="en-GB"/>
              </w:rPr>
            </w:pPr>
            <w:r>
              <w:rPr>
                <w:rFonts w:ascii="Arial" w:eastAsia="Times New Roman" w:hAnsi="Arial" w:cs="Arial"/>
                <w:lang w:eastAsia="en-GB"/>
              </w:rPr>
              <w:t>IV</w:t>
            </w:r>
          </w:p>
        </w:tc>
        <w:tc>
          <w:tcPr>
            <w:tcW w:w="1216" w:type="dxa"/>
            <w:shd w:val="clear" w:color="auto" w:fill="auto"/>
            <w:noWrap/>
            <w:vAlign w:val="center"/>
          </w:tcPr>
          <w:p w:rsidR="008473B8" w:rsidRPr="008E7DD8" w:rsidRDefault="008473B8" w:rsidP="008E7DD8">
            <w:pPr>
              <w:spacing w:after="0" w:line="240" w:lineRule="auto"/>
              <w:jc w:val="center"/>
              <w:rPr>
                <w:rFonts w:ascii="Arial" w:eastAsia="Times New Roman" w:hAnsi="Arial" w:cs="Arial"/>
                <w:lang w:eastAsia="en-GB"/>
              </w:rPr>
            </w:pPr>
            <w:r>
              <w:rPr>
                <w:rFonts w:ascii="Arial" w:eastAsia="Times New Roman" w:hAnsi="Arial" w:cs="Arial"/>
                <w:lang w:eastAsia="en-GB"/>
              </w:rPr>
              <w:t>D</w:t>
            </w:r>
          </w:p>
        </w:tc>
      </w:tr>
    </w:tbl>
    <w:p w:rsidR="00A746B9" w:rsidRPr="00D14AB4" w:rsidRDefault="008E7DD8" w:rsidP="00D14AB4">
      <w:pPr>
        <w:pStyle w:val="NoSpacing"/>
        <w:ind w:firstLine="720"/>
        <w:rPr>
          <w:rFonts w:ascii="Arial" w:hAnsi="Arial" w:cs="Arial"/>
          <w:i/>
        </w:rPr>
      </w:pPr>
      <w:r w:rsidRPr="00D14AB4">
        <w:rPr>
          <w:rFonts w:ascii="Arial" w:hAnsi="Arial" w:cs="Arial"/>
          <w:i/>
        </w:rPr>
        <w:t>Note:  The risk numbers relate to the Council’s risk register. Risk numbers 1-6 do not relate to finance or budgetary risks.</w:t>
      </w:r>
    </w:p>
    <w:p w:rsidR="00D14AB4" w:rsidRPr="001E4D0A" w:rsidRDefault="008E7DD8" w:rsidP="00D14AB4">
      <w:pPr>
        <w:pStyle w:val="NoSpacing"/>
        <w:rPr>
          <w:rFonts w:ascii="Arial" w:hAnsi="Arial" w:cs="Arial"/>
          <w:b/>
          <w:i/>
          <w:sz w:val="16"/>
          <w:szCs w:val="16"/>
        </w:rPr>
      </w:pPr>
      <w:r w:rsidRPr="00D14AB4">
        <w:rPr>
          <w:rFonts w:ascii="Arial" w:hAnsi="Arial" w:cs="Arial"/>
          <w:b/>
          <w:i/>
          <w:sz w:val="24"/>
          <w:szCs w:val="24"/>
        </w:rPr>
        <w:tab/>
      </w:r>
    </w:p>
    <w:p w:rsidR="008E7DD8" w:rsidRPr="001E4D0A" w:rsidRDefault="008E7DD8" w:rsidP="00D14AB4">
      <w:pPr>
        <w:pStyle w:val="NoSpacing"/>
        <w:ind w:left="1440" w:firstLine="720"/>
        <w:rPr>
          <w:rFonts w:ascii="Arial" w:hAnsi="Arial" w:cs="Arial"/>
          <w:b/>
          <w:sz w:val="16"/>
          <w:szCs w:val="16"/>
        </w:rPr>
      </w:pPr>
      <w:r w:rsidRPr="001E4D0A">
        <w:rPr>
          <w:rFonts w:ascii="Arial" w:hAnsi="Arial" w:cs="Arial"/>
          <w:b/>
          <w:sz w:val="16"/>
          <w:szCs w:val="16"/>
        </w:rPr>
        <w:t>Matrix Key</w:t>
      </w:r>
    </w:p>
    <w:tbl>
      <w:tblPr>
        <w:tblW w:w="9578" w:type="dxa"/>
        <w:tblInd w:w="1809" w:type="dxa"/>
        <w:tblLook w:val="04A0" w:firstRow="1" w:lastRow="0" w:firstColumn="1" w:lastColumn="0" w:noHBand="0" w:noVBand="1"/>
      </w:tblPr>
      <w:tblGrid>
        <w:gridCol w:w="514"/>
        <w:gridCol w:w="479"/>
        <w:gridCol w:w="850"/>
        <w:gridCol w:w="1073"/>
        <w:gridCol w:w="1275"/>
        <w:gridCol w:w="993"/>
        <w:gridCol w:w="850"/>
        <w:gridCol w:w="1985"/>
        <w:gridCol w:w="1559"/>
      </w:tblGrid>
      <w:tr w:rsidR="008E7DD8" w:rsidRPr="001E4D0A" w:rsidTr="0026219B">
        <w:trPr>
          <w:trHeight w:val="256"/>
        </w:trPr>
        <w:tc>
          <w:tcPr>
            <w:tcW w:w="514" w:type="dxa"/>
            <w:tcBorders>
              <w:top w:val="nil"/>
              <w:left w:val="nil"/>
              <w:bottom w:val="nil"/>
              <w:right w:val="nil"/>
            </w:tcBorders>
            <w:shd w:val="clear" w:color="auto" w:fill="auto"/>
            <w:noWrap/>
            <w:vAlign w:val="bottom"/>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479" w:type="dxa"/>
            <w:tcBorders>
              <w:top w:val="nil"/>
              <w:left w:val="nil"/>
              <w:bottom w:val="nil"/>
              <w:right w:val="nil"/>
            </w:tcBorders>
            <w:shd w:val="clear" w:color="auto" w:fill="auto"/>
            <w:noWrap/>
            <w:vAlign w:val="bottom"/>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50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Impact</w:t>
            </w:r>
          </w:p>
        </w:tc>
        <w:tc>
          <w:tcPr>
            <w:tcW w:w="1985" w:type="dxa"/>
            <w:tcBorders>
              <w:top w:val="nil"/>
              <w:left w:val="nil"/>
              <w:bottom w:val="nil"/>
              <w:right w:val="nil"/>
            </w:tcBorders>
            <w:shd w:val="clear" w:color="auto" w:fill="auto"/>
            <w:noWrap/>
            <w:vAlign w:val="bottom"/>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559" w:type="dxa"/>
            <w:tcBorders>
              <w:top w:val="nil"/>
              <w:left w:val="nil"/>
              <w:bottom w:val="nil"/>
              <w:right w:val="nil"/>
            </w:tcBorders>
            <w:shd w:val="clear" w:color="auto" w:fill="auto"/>
            <w:noWrap/>
            <w:vAlign w:val="bottom"/>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r>
      <w:tr w:rsidR="008E7DD8" w:rsidRPr="001E4D0A" w:rsidTr="0026219B">
        <w:trPr>
          <w:trHeight w:val="274"/>
        </w:trPr>
        <w:tc>
          <w:tcPr>
            <w:tcW w:w="514" w:type="dxa"/>
            <w:tcBorders>
              <w:top w:val="nil"/>
              <w:left w:val="nil"/>
              <w:bottom w:val="nil"/>
              <w:right w:val="nil"/>
            </w:tcBorders>
            <w:shd w:val="clear" w:color="auto" w:fill="auto"/>
            <w:noWrap/>
            <w:vAlign w:val="bottom"/>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850" w:type="dxa"/>
            <w:tcBorders>
              <w:top w:val="nil"/>
              <w:left w:val="nil"/>
              <w:bottom w:val="single" w:sz="8" w:space="0" w:color="auto"/>
              <w:right w:val="single" w:sz="8" w:space="0" w:color="auto"/>
            </w:tcBorders>
            <w:shd w:val="clear" w:color="auto" w:fill="auto"/>
            <w:noWrap/>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I</w:t>
            </w:r>
          </w:p>
        </w:tc>
        <w:tc>
          <w:tcPr>
            <w:tcW w:w="1073" w:type="dxa"/>
            <w:tcBorders>
              <w:top w:val="nil"/>
              <w:left w:val="nil"/>
              <w:bottom w:val="single" w:sz="8" w:space="0" w:color="auto"/>
              <w:right w:val="single" w:sz="8" w:space="0" w:color="auto"/>
            </w:tcBorders>
            <w:shd w:val="clear" w:color="auto" w:fill="auto"/>
            <w:noWrap/>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II</w:t>
            </w:r>
          </w:p>
        </w:tc>
        <w:tc>
          <w:tcPr>
            <w:tcW w:w="1275" w:type="dxa"/>
            <w:tcBorders>
              <w:top w:val="nil"/>
              <w:left w:val="nil"/>
              <w:bottom w:val="single" w:sz="8" w:space="0" w:color="auto"/>
              <w:right w:val="single" w:sz="8" w:space="0" w:color="auto"/>
            </w:tcBorders>
            <w:shd w:val="clear" w:color="auto" w:fill="auto"/>
            <w:noWrap/>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III</w:t>
            </w:r>
          </w:p>
        </w:tc>
        <w:tc>
          <w:tcPr>
            <w:tcW w:w="993" w:type="dxa"/>
            <w:tcBorders>
              <w:top w:val="nil"/>
              <w:left w:val="nil"/>
              <w:bottom w:val="single" w:sz="8" w:space="0" w:color="auto"/>
              <w:right w:val="single" w:sz="8" w:space="0" w:color="auto"/>
            </w:tcBorders>
            <w:shd w:val="clear" w:color="auto" w:fill="auto"/>
            <w:noWrap/>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IV</w:t>
            </w:r>
          </w:p>
        </w:tc>
        <w:tc>
          <w:tcPr>
            <w:tcW w:w="850" w:type="dxa"/>
            <w:tcBorders>
              <w:top w:val="nil"/>
              <w:left w:val="nil"/>
              <w:bottom w:val="single" w:sz="8" w:space="0" w:color="auto"/>
              <w:right w:val="single" w:sz="8" w:space="0" w:color="auto"/>
            </w:tcBorders>
            <w:shd w:val="clear" w:color="auto" w:fill="auto"/>
            <w:noWrap/>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V</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Likelihood</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Impact</w:t>
            </w:r>
          </w:p>
        </w:tc>
      </w:tr>
      <w:tr w:rsidR="008E7DD8" w:rsidRPr="001E4D0A" w:rsidTr="0026219B">
        <w:trPr>
          <w:trHeight w:val="276"/>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Likelihood</w:t>
            </w:r>
          </w:p>
        </w:tc>
        <w:tc>
          <w:tcPr>
            <w:tcW w:w="479"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A</w:t>
            </w:r>
          </w:p>
        </w:tc>
        <w:tc>
          <w:tcPr>
            <w:tcW w:w="850"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073"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275"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993"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850"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985"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A equal to/or &gt; 98%</w:t>
            </w:r>
          </w:p>
        </w:tc>
        <w:tc>
          <w:tcPr>
            <w:tcW w:w="1559"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V = Catastrophic</w:t>
            </w:r>
          </w:p>
        </w:tc>
      </w:tr>
      <w:tr w:rsidR="008E7DD8" w:rsidRPr="001E4D0A" w:rsidTr="0026219B">
        <w:trPr>
          <w:trHeight w:val="26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B</w:t>
            </w:r>
          </w:p>
        </w:tc>
        <w:tc>
          <w:tcPr>
            <w:tcW w:w="850"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073"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1275"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993"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850"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1985"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B = 75% - 97%</w:t>
            </w:r>
          </w:p>
        </w:tc>
        <w:tc>
          <w:tcPr>
            <w:tcW w:w="1559"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IV = Critical</w:t>
            </w:r>
          </w:p>
        </w:tc>
      </w:tr>
      <w:tr w:rsidR="008E7DD8" w:rsidRPr="001E4D0A" w:rsidTr="0026219B">
        <w:trPr>
          <w:trHeight w:val="259"/>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C</w:t>
            </w:r>
          </w:p>
        </w:tc>
        <w:tc>
          <w:tcPr>
            <w:tcW w:w="850"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073"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1275"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10</w:t>
            </w:r>
          </w:p>
        </w:tc>
        <w:tc>
          <w:tcPr>
            <w:tcW w:w="993"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18</w:t>
            </w:r>
          </w:p>
        </w:tc>
        <w:tc>
          <w:tcPr>
            <w:tcW w:w="850"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1985"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C = 50% - 74%</w:t>
            </w:r>
          </w:p>
        </w:tc>
        <w:tc>
          <w:tcPr>
            <w:tcW w:w="1559"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III = Significant</w:t>
            </w:r>
          </w:p>
        </w:tc>
      </w:tr>
      <w:tr w:rsidR="008E7DD8" w:rsidRPr="001E4D0A" w:rsidTr="0026219B">
        <w:trPr>
          <w:trHeight w:val="118"/>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D</w:t>
            </w:r>
          </w:p>
        </w:tc>
        <w:tc>
          <w:tcPr>
            <w:tcW w:w="850"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073"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9</w:t>
            </w:r>
          </w:p>
        </w:tc>
        <w:tc>
          <w:tcPr>
            <w:tcW w:w="1275"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8</w:t>
            </w:r>
          </w:p>
        </w:tc>
        <w:tc>
          <w:tcPr>
            <w:tcW w:w="993"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7,19</w:t>
            </w:r>
            <w:r w:rsidR="008473B8" w:rsidRPr="001E4D0A">
              <w:rPr>
                <w:rFonts w:ascii="Arial" w:eastAsia="Times New Roman" w:hAnsi="Arial" w:cs="Arial"/>
                <w:b/>
                <w:bCs/>
                <w:sz w:val="16"/>
                <w:szCs w:val="16"/>
                <w:lang w:eastAsia="en-GB"/>
              </w:rPr>
              <w:t>,21</w:t>
            </w:r>
          </w:p>
        </w:tc>
        <w:tc>
          <w:tcPr>
            <w:tcW w:w="850"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1985"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D = 25% - 49%</w:t>
            </w:r>
          </w:p>
        </w:tc>
        <w:tc>
          <w:tcPr>
            <w:tcW w:w="1559"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II = Marginal</w:t>
            </w:r>
          </w:p>
        </w:tc>
      </w:tr>
      <w:tr w:rsidR="008E7DD8" w:rsidRPr="001E4D0A" w:rsidTr="0026219B">
        <w:trPr>
          <w:trHeight w:val="250"/>
        </w:trPr>
        <w:tc>
          <w:tcPr>
            <w:tcW w:w="514" w:type="dxa"/>
            <w:vMerge/>
            <w:tcBorders>
              <w:top w:val="single" w:sz="8" w:space="0" w:color="auto"/>
              <w:left w:val="single" w:sz="8" w:space="0" w:color="auto"/>
              <w:bottom w:val="single" w:sz="8" w:space="0" w:color="000000"/>
              <w:right w:val="single" w:sz="8" w:space="0" w:color="auto"/>
            </w:tcBorders>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E</w:t>
            </w:r>
          </w:p>
        </w:tc>
        <w:tc>
          <w:tcPr>
            <w:tcW w:w="850"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sz w:val="16"/>
                <w:szCs w:val="16"/>
                <w:lang w:eastAsia="en-GB"/>
              </w:rPr>
            </w:pPr>
          </w:p>
        </w:tc>
        <w:tc>
          <w:tcPr>
            <w:tcW w:w="1073" w:type="dxa"/>
            <w:tcBorders>
              <w:top w:val="nil"/>
              <w:left w:val="nil"/>
              <w:bottom w:val="single" w:sz="8" w:space="0" w:color="auto"/>
              <w:right w:val="single" w:sz="8" w:space="0" w:color="auto"/>
            </w:tcBorders>
            <w:shd w:val="pct12" w:color="000000" w:fill="F2F2F2"/>
            <w:vAlign w:val="center"/>
            <w:hideMark/>
          </w:tcPr>
          <w:p w:rsidR="008E7DD8" w:rsidRPr="001E4D0A" w:rsidRDefault="004B2B4F"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12,</w:t>
            </w:r>
            <w:r w:rsidR="008E7DD8" w:rsidRPr="001E4D0A">
              <w:rPr>
                <w:rFonts w:ascii="Arial" w:eastAsia="Times New Roman" w:hAnsi="Arial" w:cs="Arial"/>
                <w:b/>
                <w:bCs/>
                <w:sz w:val="16"/>
                <w:szCs w:val="16"/>
                <w:lang w:eastAsia="en-GB"/>
              </w:rPr>
              <w:t>15,16</w:t>
            </w:r>
          </w:p>
        </w:tc>
        <w:tc>
          <w:tcPr>
            <w:tcW w:w="1275" w:type="dxa"/>
            <w:tcBorders>
              <w:top w:val="nil"/>
              <w:left w:val="nil"/>
              <w:bottom w:val="single" w:sz="8" w:space="0" w:color="auto"/>
              <w:right w:val="single" w:sz="8" w:space="0" w:color="auto"/>
            </w:tcBorders>
            <w:shd w:val="pct12" w:color="000000" w:fill="F2F2F2"/>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 xml:space="preserve"> 14, 20</w:t>
            </w:r>
          </w:p>
        </w:tc>
        <w:tc>
          <w:tcPr>
            <w:tcW w:w="993"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13,17</w:t>
            </w:r>
          </w:p>
        </w:tc>
        <w:tc>
          <w:tcPr>
            <w:tcW w:w="850" w:type="dxa"/>
            <w:tcBorders>
              <w:top w:val="nil"/>
              <w:left w:val="nil"/>
              <w:bottom w:val="single" w:sz="8" w:space="0" w:color="auto"/>
              <w:right w:val="single" w:sz="8" w:space="0" w:color="auto"/>
            </w:tcBorders>
            <w:shd w:val="clear" w:color="auto" w:fill="auto"/>
            <w:vAlign w:val="center"/>
            <w:hideMark/>
          </w:tcPr>
          <w:p w:rsidR="008E7DD8" w:rsidRPr="001E4D0A" w:rsidRDefault="008E7DD8" w:rsidP="008E7DD8">
            <w:pPr>
              <w:spacing w:after="0" w:line="240" w:lineRule="auto"/>
              <w:jc w:val="center"/>
              <w:rPr>
                <w:rFonts w:ascii="Arial" w:eastAsia="Times New Roman" w:hAnsi="Arial" w:cs="Arial"/>
                <w:b/>
                <w:bCs/>
                <w:sz w:val="16"/>
                <w:szCs w:val="16"/>
                <w:lang w:eastAsia="en-GB"/>
              </w:rPr>
            </w:pPr>
            <w:r w:rsidRPr="001E4D0A">
              <w:rPr>
                <w:rFonts w:ascii="Arial" w:eastAsia="Times New Roman" w:hAnsi="Arial" w:cs="Arial"/>
                <w:b/>
                <w:bCs/>
                <w:sz w:val="16"/>
                <w:szCs w:val="16"/>
                <w:lang w:eastAsia="en-GB"/>
              </w:rPr>
              <w:t>11</w:t>
            </w:r>
          </w:p>
        </w:tc>
        <w:tc>
          <w:tcPr>
            <w:tcW w:w="1985"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E = 3% - 24%</w:t>
            </w:r>
          </w:p>
        </w:tc>
        <w:tc>
          <w:tcPr>
            <w:tcW w:w="1559" w:type="dxa"/>
            <w:tcBorders>
              <w:top w:val="nil"/>
              <w:left w:val="nil"/>
              <w:bottom w:val="single" w:sz="8" w:space="0" w:color="auto"/>
              <w:right w:val="single" w:sz="8" w:space="0" w:color="auto"/>
            </w:tcBorders>
            <w:shd w:val="clear" w:color="auto" w:fill="auto"/>
            <w:hideMark/>
          </w:tcPr>
          <w:p w:rsidR="008E7DD8" w:rsidRPr="001E4D0A" w:rsidRDefault="008E7DD8" w:rsidP="008E7DD8">
            <w:pPr>
              <w:spacing w:after="0" w:line="240" w:lineRule="auto"/>
              <w:rPr>
                <w:rFonts w:ascii="Arial" w:eastAsia="Times New Roman" w:hAnsi="Arial" w:cs="Arial"/>
                <w:sz w:val="16"/>
                <w:szCs w:val="16"/>
                <w:lang w:eastAsia="en-GB"/>
              </w:rPr>
            </w:pPr>
            <w:r w:rsidRPr="001E4D0A">
              <w:rPr>
                <w:rFonts w:ascii="Arial" w:eastAsia="Times New Roman" w:hAnsi="Arial" w:cs="Arial"/>
                <w:sz w:val="16"/>
                <w:szCs w:val="16"/>
                <w:lang w:eastAsia="en-GB"/>
              </w:rPr>
              <w:t>I = Negligible</w:t>
            </w:r>
          </w:p>
        </w:tc>
      </w:tr>
    </w:tbl>
    <w:p w:rsidR="00D05252" w:rsidRPr="00D14AB4" w:rsidRDefault="00D05252" w:rsidP="001E4D0A">
      <w:pPr>
        <w:tabs>
          <w:tab w:val="left" w:pos="3765"/>
        </w:tabs>
        <w:rPr>
          <w:rFonts w:ascii="Arial" w:hAnsi="Arial" w:cs="Arial"/>
        </w:rPr>
      </w:pPr>
    </w:p>
    <w:sectPr w:rsidR="00D05252" w:rsidRPr="00D14AB4" w:rsidSect="00FD594F">
      <w:pgSz w:w="16838" w:h="11906" w:orient="landscape"/>
      <w:pgMar w:top="709" w:right="737" w:bottom="566"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C1" w:rsidRDefault="005662C1" w:rsidP="002F38ED">
      <w:pPr>
        <w:spacing w:after="0" w:line="240" w:lineRule="auto"/>
      </w:pPr>
      <w:r>
        <w:separator/>
      </w:r>
    </w:p>
  </w:endnote>
  <w:endnote w:type="continuationSeparator" w:id="0">
    <w:p w:rsidR="005662C1" w:rsidRDefault="005662C1" w:rsidP="002F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641896"/>
      <w:docPartObj>
        <w:docPartGallery w:val="Page Numbers (Bottom of Page)"/>
        <w:docPartUnique/>
      </w:docPartObj>
    </w:sdtPr>
    <w:sdtEndPr>
      <w:rPr>
        <w:noProof/>
      </w:rPr>
    </w:sdtEndPr>
    <w:sdtContent>
      <w:p w:rsidR="005662C1" w:rsidRDefault="005662C1">
        <w:pPr>
          <w:pStyle w:val="Footer"/>
          <w:jc w:val="center"/>
        </w:pPr>
        <w:r>
          <w:fldChar w:fldCharType="begin"/>
        </w:r>
        <w:r>
          <w:instrText xml:space="preserve"> PAGE   \* MERGEFORMAT </w:instrText>
        </w:r>
        <w:r>
          <w:fldChar w:fldCharType="separate"/>
        </w:r>
        <w:r w:rsidR="00385AD5">
          <w:rPr>
            <w:noProof/>
          </w:rPr>
          <w:t>3</w:t>
        </w:r>
        <w:r>
          <w:rPr>
            <w:noProof/>
          </w:rPr>
          <w:fldChar w:fldCharType="end"/>
        </w:r>
      </w:p>
    </w:sdtContent>
  </w:sdt>
  <w:p w:rsidR="005662C1" w:rsidRDefault="005662C1" w:rsidP="005C590D">
    <w:pPr>
      <w:pStyle w:val="Footer"/>
      <w:ind w:firstLine="3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C1" w:rsidRDefault="005662C1" w:rsidP="002F38ED">
      <w:pPr>
        <w:spacing w:after="0" w:line="240" w:lineRule="auto"/>
      </w:pPr>
      <w:r>
        <w:separator/>
      </w:r>
    </w:p>
  </w:footnote>
  <w:footnote w:type="continuationSeparator" w:id="0">
    <w:p w:rsidR="005662C1" w:rsidRDefault="005662C1" w:rsidP="002F3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44C"/>
    <w:multiLevelType w:val="hybridMultilevel"/>
    <w:tmpl w:val="83FA84CA"/>
    <w:lvl w:ilvl="0" w:tplc="5AFE5348">
      <w:start w:val="1"/>
      <w:numFmt w:val="lowerLetter"/>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516D8A"/>
    <w:multiLevelType w:val="hybridMultilevel"/>
    <w:tmpl w:val="46F47AA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nsid w:val="08E90788"/>
    <w:multiLevelType w:val="hybridMultilevel"/>
    <w:tmpl w:val="2BE0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32D30"/>
    <w:multiLevelType w:val="hybridMultilevel"/>
    <w:tmpl w:val="2B164D9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nsid w:val="193D6AD7"/>
    <w:multiLevelType w:val="hybridMultilevel"/>
    <w:tmpl w:val="329C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379A7"/>
    <w:multiLevelType w:val="hybridMultilevel"/>
    <w:tmpl w:val="329C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C16D5"/>
    <w:multiLevelType w:val="hybridMultilevel"/>
    <w:tmpl w:val="8E20CECC"/>
    <w:lvl w:ilvl="0" w:tplc="18804FB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B4592E"/>
    <w:multiLevelType w:val="hybridMultilevel"/>
    <w:tmpl w:val="F236A34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8">
    <w:nsid w:val="28B144B2"/>
    <w:multiLevelType w:val="hybridMultilevel"/>
    <w:tmpl w:val="AE0C8C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7B66F8"/>
    <w:multiLevelType w:val="hybridMultilevel"/>
    <w:tmpl w:val="25D0ED9E"/>
    <w:lvl w:ilvl="0" w:tplc="389C25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EB736A"/>
    <w:multiLevelType w:val="hybridMultilevel"/>
    <w:tmpl w:val="AE0C8C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947C2C"/>
    <w:multiLevelType w:val="hybridMultilevel"/>
    <w:tmpl w:val="AE0C8C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A015BF"/>
    <w:multiLevelType w:val="hybridMultilevel"/>
    <w:tmpl w:val="744286EC"/>
    <w:lvl w:ilvl="0" w:tplc="08090001">
      <w:start w:val="1"/>
      <w:numFmt w:val="bullet"/>
      <w:lvlText w:val=""/>
      <w:lvlJc w:val="left"/>
      <w:pPr>
        <w:ind w:left="2574" w:hanging="360"/>
      </w:pPr>
      <w:rPr>
        <w:rFonts w:ascii="Symbol" w:hAnsi="Symbol" w:hint="default"/>
      </w:rPr>
    </w:lvl>
    <w:lvl w:ilvl="1" w:tplc="08090003">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3">
    <w:nsid w:val="31E844E5"/>
    <w:multiLevelType w:val="hybridMultilevel"/>
    <w:tmpl w:val="AE0C8C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F179E"/>
    <w:multiLevelType w:val="hybridMultilevel"/>
    <w:tmpl w:val="8A30EDC2"/>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nsid w:val="33E0440A"/>
    <w:multiLevelType w:val="hybridMultilevel"/>
    <w:tmpl w:val="AE0C8C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AE532F"/>
    <w:multiLevelType w:val="hybridMultilevel"/>
    <w:tmpl w:val="AE0C8C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F6068E"/>
    <w:multiLevelType w:val="hybridMultilevel"/>
    <w:tmpl w:val="84AC1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3B128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DF7D1F"/>
    <w:multiLevelType w:val="hybridMultilevel"/>
    <w:tmpl w:val="5A54E2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1B04409"/>
    <w:multiLevelType w:val="hybridMultilevel"/>
    <w:tmpl w:val="329C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9F31F8"/>
    <w:multiLevelType w:val="hybridMultilevel"/>
    <w:tmpl w:val="74FE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E80212"/>
    <w:multiLevelType w:val="hybridMultilevel"/>
    <w:tmpl w:val="AE0C8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FE2196"/>
    <w:multiLevelType w:val="hybridMultilevel"/>
    <w:tmpl w:val="329C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A4664B"/>
    <w:multiLevelType w:val="hybridMultilevel"/>
    <w:tmpl w:val="AE0C8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97160F"/>
    <w:multiLevelType w:val="hybridMultilevel"/>
    <w:tmpl w:val="AE0C8C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95800"/>
    <w:multiLevelType w:val="hybridMultilevel"/>
    <w:tmpl w:val="A580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BE370D"/>
    <w:multiLevelType w:val="hybridMultilevel"/>
    <w:tmpl w:val="ABF6AB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7F2DA0"/>
    <w:multiLevelType w:val="hybridMultilevel"/>
    <w:tmpl w:val="0AE441A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9">
    <w:nsid w:val="63602C87"/>
    <w:multiLevelType w:val="hybridMultilevel"/>
    <w:tmpl w:val="329C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CA607D"/>
    <w:multiLevelType w:val="hybridMultilevel"/>
    <w:tmpl w:val="329C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F405FA"/>
    <w:multiLevelType w:val="multilevel"/>
    <w:tmpl w:val="131A4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1936AF"/>
    <w:multiLevelType w:val="hybridMultilevel"/>
    <w:tmpl w:val="B8949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3D2A17"/>
    <w:multiLevelType w:val="hybridMultilevel"/>
    <w:tmpl w:val="CCC091C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5">
    <w:nsid w:val="71866C09"/>
    <w:multiLevelType w:val="hybridMultilevel"/>
    <w:tmpl w:val="A82A0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4467118"/>
    <w:multiLevelType w:val="hybridMultilevel"/>
    <w:tmpl w:val="08B8C56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7">
    <w:nsid w:val="76796112"/>
    <w:multiLevelType w:val="multilevel"/>
    <w:tmpl w:val="710A16B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E4EF5"/>
    <w:multiLevelType w:val="hybridMultilevel"/>
    <w:tmpl w:val="57F83B56"/>
    <w:lvl w:ilvl="0" w:tplc="8BFCB578">
      <w:start w:val="1"/>
      <w:numFmt w:val="decimal"/>
      <w:lvlText w:val="%1."/>
      <w:lvlJc w:val="left"/>
      <w:pPr>
        <w:ind w:left="3076" w:hanging="360"/>
      </w:pPr>
      <w:rPr>
        <w:rFonts w:hint="default"/>
      </w:rPr>
    </w:lvl>
    <w:lvl w:ilvl="1" w:tplc="08090019" w:tentative="1">
      <w:start w:val="1"/>
      <w:numFmt w:val="lowerLetter"/>
      <w:lvlText w:val="%2."/>
      <w:lvlJc w:val="left"/>
      <w:pPr>
        <w:ind w:left="3796" w:hanging="360"/>
      </w:pPr>
    </w:lvl>
    <w:lvl w:ilvl="2" w:tplc="0809001B" w:tentative="1">
      <w:start w:val="1"/>
      <w:numFmt w:val="lowerRoman"/>
      <w:lvlText w:val="%3."/>
      <w:lvlJc w:val="right"/>
      <w:pPr>
        <w:ind w:left="4516" w:hanging="180"/>
      </w:pPr>
    </w:lvl>
    <w:lvl w:ilvl="3" w:tplc="0809000F" w:tentative="1">
      <w:start w:val="1"/>
      <w:numFmt w:val="decimal"/>
      <w:lvlText w:val="%4."/>
      <w:lvlJc w:val="left"/>
      <w:pPr>
        <w:ind w:left="5236" w:hanging="360"/>
      </w:pPr>
    </w:lvl>
    <w:lvl w:ilvl="4" w:tplc="08090019" w:tentative="1">
      <w:start w:val="1"/>
      <w:numFmt w:val="lowerLetter"/>
      <w:lvlText w:val="%5."/>
      <w:lvlJc w:val="left"/>
      <w:pPr>
        <w:ind w:left="5956" w:hanging="360"/>
      </w:pPr>
    </w:lvl>
    <w:lvl w:ilvl="5" w:tplc="0809001B" w:tentative="1">
      <w:start w:val="1"/>
      <w:numFmt w:val="lowerRoman"/>
      <w:lvlText w:val="%6."/>
      <w:lvlJc w:val="right"/>
      <w:pPr>
        <w:ind w:left="6676" w:hanging="180"/>
      </w:pPr>
    </w:lvl>
    <w:lvl w:ilvl="6" w:tplc="0809000F" w:tentative="1">
      <w:start w:val="1"/>
      <w:numFmt w:val="decimal"/>
      <w:lvlText w:val="%7."/>
      <w:lvlJc w:val="left"/>
      <w:pPr>
        <w:ind w:left="7396" w:hanging="360"/>
      </w:pPr>
    </w:lvl>
    <w:lvl w:ilvl="7" w:tplc="08090019" w:tentative="1">
      <w:start w:val="1"/>
      <w:numFmt w:val="lowerLetter"/>
      <w:lvlText w:val="%8."/>
      <w:lvlJc w:val="left"/>
      <w:pPr>
        <w:ind w:left="8116" w:hanging="360"/>
      </w:pPr>
    </w:lvl>
    <w:lvl w:ilvl="8" w:tplc="0809001B" w:tentative="1">
      <w:start w:val="1"/>
      <w:numFmt w:val="lowerRoman"/>
      <w:lvlText w:val="%9."/>
      <w:lvlJc w:val="right"/>
      <w:pPr>
        <w:ind w:left="8836" w:hanging="180"/>
      </w:pPr>
    </w:lvl>
  </w:abstractNum>
  <w:abstractNum w:abstractNumId="39">
    <w:nsid w:val="7F5F2938"/>
    <w:multiLevelType w:val="hybridMultilevel"/>
    <w:tmpl w:val="DA0E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37"/>
  </w:num>
  <w:num w:numId="4">
    <w:abstractNumId w:val="34"/>
  </w:num>
  <w:num w:numId="5">
    <w:abstractNumId w:val="32"/>
  </w:num>
  <w:num w:numId="6">
    <w:abstractNumId w:val="30"/>
  </w:num>
  <w:num w:numId="7">
    <w:abstractNumId w:val="39"/>
  </w:num>
  <w:num w:numId="8">
    <w:abstractNumId w:val="26"/>
  </w:num>
  <w:num w:numId="9">
    <w:abstractNumId w:val="17"/>
  </w:num>
  <w:num w:numId="10">
    <w:abstractNumId w:val="19"/>
  </w:num>
  <w:num w:numId="11">
    <w:abstractNumId w:val="6"/>
  </w:num>
  <w:num w:numId="12">
    <w:abstractNumId w:val="15"/>
  </w:num>
  <w:num w:numId="13">
    <w:abstractNumId w:val="4"/>
  </w:num>
  <w:num w:numId="14">
    <w:abstractNumId w:val="1"/>
  </w:num>
  <w:num w:numId="15">
    <w:abstractNumId w:val="9"/>
  </w:num>
  <w:num w:numId="16">
    <w:abstractNumId w:val="36"/>
  </w:num>
  <w:num w:numId="17">
    <w:abstractNumId w:val="24"/>
  </w:num>
  <w:num w:numId="18">
    <w:abstractNumId w:val="22"/>
  </w:num>
  <w:num w:numId="19">
    <w:abstractNumId w:val="10"/>
  </w:num>
  <w:num w:numId="20">
    <w:abstractNumId w:val="16"/>
  </w:num>
  <w:num w:numId="21">
    <w:abstractNumId w:val="13"/>
  </w:num>
  <w:num w:numId="22">
    <w:abstractNumId w:val="8"/>
  </w:num>
  <w:num w:numId="23">
    <w:abstractNumId w:val="25"/>
  </w:num>
  <w:num w:numId="24">
    <w:abstractNumId w:val="28"/>
  </w:num>
  <w:num w:numId="25">
    <w:abstractNumId w:val="18"/>
  </w:num>
  <w:num w:numId="26">
    <w:abstractNumId w:val="11"/>
  </w:num>
  <w:num w:numId="27">
    <w:abstractNumId w:val="20"/>
  </w:num>
  <w:num w:numId="28">
    <w:abstractNumId w:val="5"/>
  </w:num>
  <w:num w:numId="29">
    <w:abstractNumId w:val="31"/>
  </w:num>
  <w:num w:numId="30">
    <w:abstractNumId w:val="29"/>
  </w:num>
  <w:num w:numId="31">
    <w:abstractNumId w:val="23"/>
  </w:num>
  <w:num w:numId="32">
    <w:abstractNumId w:val="7"/>
  </w:num>
  <w:num w:numId="33">
    <w:abstractNumId w:val="21"/>
  </w:num>
  <w:num w:numId="34">
    <w:abstractNumId w:val="2"/>
  </w:num>
  <w:num w:numId="35">
    <w:abstractNumId w:val="0"/>
  </w:num>
  <w:num w:numId="36">
    <w:abstractNumId w:val="27"/>
  </w:num>
  <w:num w:numId="37">
    <w:abstractNumId w:val="12"/>
  </w:num>
  <w:num w:numId="38">
    <w:abstractNumId w:val="35"/>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E2"/>
    <w:rsid w:val="0000040F"/>
    <w:rsid w:val="00003E9D"/>
    <w:rsid w:val="0000747C"/>
    <w:rsid w:val="000143FA"/>
    <w:rsid w:val="00016E99"/>
    <w:rsid w:val="00023FEE"/>
    <w:rsid w:val="00024073"/>
    <w:rsid w:val="0003354B"/>
    <w:rsid w:val="00033FC1"/>
    <w:rsid w:val="00034C55"/>
    <w:rsid w:val="00042933"/>
    <w:rsid w:val="00045F05"/>
    <w:rsid w:val="000526BD"/>
    <w:rsid w:val="0005638D"/>
    <w:rsid w:val="0005690C"/>
    <w:rsid w:val="00061AAF"/>
    <w:rsid w:val="00067073"/>
    <w:rsid w:val="000700E4"/>
    <w:rsid w:val="0007038F"/>
    <w:rsid w:val="00071554"/>
    <w:rsid w:val="000731AC"/>
    <w:rsid w:val="00077DD3"/>
    <w:rsid w:val="000818DA"/>
    <w:rsid w:val="000819E9"/>
    <w:rsid w:val="000833F1"/>
    <w:rsid w:val="00086746"/>
    <w:rsid w:val="000875CB"/>
    <w:rsid w:val="00090771"/>
    <w:rsid w:val="00092524"/>
    <w:rsid w:val="00094279"/>
    <w:rsid w:val="0009720D"/>
    <w:rsid w:val="000A22DB"/>
    <w:rsid w:val="000A248E"/>
    <w:rsid w:val="000A3BF0"/>
    <w:rsid w:val="000A4F03"/>
    <w:rsid w:val="000A54A2"/>
    <w:rsid w:val="000A7E35"/>
    <w:rsid w:val="000B7C9E"/>
    <w:rsid w:val="000C1E34"/>
    <w:rsid w:val="000C547C"/>
    <w:rsid w:val="000D048F"/>
    <w:rsid w:val="000D416C"/>
    <w:rsid w:val="000D7414"/>
    <w:rsid w:val="000F1ADA"/>
    <w:rsid w:val="000F4FE2"/>
    <w:rsid w:val="000F69C2"/>
    <w:rsid w:val="00102DFC"/>
    <w:rsid w:val="0010671E"/>
    <w:rsid w:val="00116A3F"/>
    <w:rsid w:val="00122FF2"/>
    <w:rsid w:val="00126A95"/>
    <w:rsid w:val="00126ADE"/>
    <w:rsid w:val="00132D86"/>
    <w:rsid w:val="00133206"/>
    <w:rsid w:val="001348BD"/>
    <w:rsid w:val="0014254A"/>
    <w:rsid w:val="00143469"/>
    <w:rsid w:val="00143816"/>
    <w:rsid w:val="0015218B"/>
    <w:rsid w:val="001630AE"/>
    <w:rsid w:val="00164057"/>
    <w:rsid w:val="00185B99"/>
    <w:rsid w:val="001946A0"/>
    <w:rsid w:val="00195D5D"/>
    <w:rsid w:val="001961C3"/>
    <w:rsid w:val="001A34CF"/>
    <w:rsid w:val="001C2B18"/>
    <w:rsid w:val="001D4D8B"/>
    <w:rsid w:val="001D7FEB"/>
    <w:rsid w:val="001E13D2"/>
    <w:rsid w:val="001E2D2A"/>
    <w:rsid w:val="001E35D8"/>
    <w:rsid w:val="001E3FD5"/>
    <w:rsid w:val="001E3FD8"/>
    <w:rsid w:val="001E44F9"/>
    <w:rsid w:val="001E4D0A"/>
    <w:rsid w:val="001F1018"/>
    <w:rsid w:val="001F1BD5"/>
    <w:rsid w:val="001F5EDF"/>
    <w:rsid w:val="00204386"/>
    <w:rsid w:val="0020514D"/>
    <w:rsid w:val="002169DC"/>
    <w:rsid w:val="00225D16"/>
    <w:rsid w:val="00227541"/>
    <w:rsid w:val="00237A1A"/>
    <w:rsid w:val="00242F77"/>
    <w:rsid w:val="002444E3"/>
    <w:rsid w:val="00251A79"/>
    <w:rsid w:val="0026219B"/>
    <w:rsid w:val="0026439D"/>
    <w:rsid w:val="0026762C"/>
    <w:rsid w:val="00271745"/>
    <w:rsid w:val="00286032"/>
    <w:rsid w:val="00291164"/>
    <w:rsid w:val="00292F03"/>
    <w:rsid w:val="002A3AF6"/>
    <w:rsid w:val="002A46D6"/>
    <w:rsid w:val="002B5710"/>
    <w:rsid w:val="002C19E2"/>
    <w:rsid w:val="002C1D7C"/>
    <w:rsid w:val="002F1FA8"/>
    <w:rsid w:val="002F38ED"/>
    <w:rsid w:val="002F5052"/>
    <w:rsid w:val="002F6E20"/>
    <w:rsid w:val="002F75B4"/>
    <w:rsid w:val="00307F37"/>
    <w:rsid w:val="00310600"/>
    <w:rsid w:val="00310978"/>
    <w:rsid w:val="00311200"/>
    <w:rsid w:val="003219A5"/>
    <w:rsid w:val="0032269A"/>
    <w:rsid w:val="00326B4D"/>
    <w:rsid w:val="003305FF"/>
    <w:rsid w:val="00331E9D"/>
    <w:rsid w:val="003374A4"/>
    <w:rsid w:val="0033799B"/>
    <w:rsid w:val="0034135E"/>
    <w:rsid w:val="00376A4B"/>
    <w:rsid w:val="003818CA"/>
    <w:rsid w:val="00381C2D"/>
    <w:rsid w:val="00385AD5"/>
    <w:rsid w:val="003871D4"/>
    <w:rsid w:val="003929D4"/>
    <w:rsid w:val="0039449C"/>
    <w:rsid w:val="00394782"/>
    <w:rsid w:val="003A3647"/>
    <w:rsid w:val="003A3AE7"/>
    <w:rsid w:val="003B2C92"/>
    <w:rsid w:val="003B4666"/>
    <w:rsid w:val="003C3378"/>
    <w:rsid w:val="003C4C7C"/>
    <w:rsid w:val="003C756C"/>
    <w:rsid w:val="003D5FF5"/>
    <w:rsid w:val="003E1B97"/>
    <w:rsid w:val="003E1C7C"/>
    <w:rsid w:val="003E36FB"/>
    <w:rsid w:val="003E6666"/>
    <w:rsid w:val="003F0CA4"/>
    <w:rsid w:val="003F251B"/>
    <w:rsid w:val="003F3624"/>
    <w:rsid w:val="003F4BF7"/>
    <w:rsid w:val="003F5B21"/>
    <w:rsid w:val="00401B13"/>
    <w:rsid w:val="00405C89"/>
    <w:rsid w:val="004069CA"/>
    <w:rsid w:val="00406DF6"/>
    <w:rsid w:val="00412532"/>
    <w:rsid w:val="004330C4"/>
    <w:rsid w:val="004361FD"/>
    <w:rsid w:val="00437522"/>
    <w:rsid w:val="004377E3"/>
    <w:rsid w:val="00451668"/>
    <w:rsid w:val="004522A1"/>
    <w:rsid w:val="00465C2A"/>
    <w:rsid w:val="00465F6D"/>
    <w:rsid w:val="004705B7"/>
    <w:rsid w:val="00471B8B"/>
    <w:rsid w:val="00473046"/>
    <w:rsid w:val="00477462"/>
    <w:rsid w:val="00484385"/>
    <w:rsid w:val="004843D1"/>
    <w:rsid w:val="00487F33"/>
    <w:rsid w:val="004A512E"/>
    <w:rsid w:val="004A7DFE"/>
    <w:rsid w:val="004B2B4F"/>
    <w:rsid w:val="004B4CA0"/>
    <w:rsid w:val="004B7970"/>
    <w:rsid w:val="004C1022"/>
    <w:rsid w:val="004C591C"/>
    <w:rsid w:val="004C6B9D"/>
    <w:rsid w:val="004C70E8"/>
    <w:rsid w:val="004D3124"/>
    <w:rsid w:val="004D3539"/>
    <w:rsid w:val="004D403D"/>
    <w:rsid w:val="004D40CA"/>
    <w:rsid w:val="004E263F"/>
    <w:rsid w:val="004F1012"/>
    <w:rsid w:val="004F1F4B"/>
    <w:rsid w:val="004F6ADE"/>
    <w:rsid w:val="005053C6"/>
    <w:rsid w:val="00510BE1"/>
    <w:rsid w:val="00521973"/>
    <w:rsid w:val="00521BBB"/>
    <w:rsid w:val="00522AAE"/>
    <w:rsid w:val="005249E2"/>
    <w:rsid w:val="0052678C"/>
    <w:rsid w:val="005333EB"/>
    <w:rsid w:val="00536A12"/>
    <w:rsid w:val="00537DBA"/>
    <w:rsid w:val="00545E67"/>
    <w:rsid w:val="00547B5D"/>
    <w:rsid w:val="005662C1"/>
    <w:rsid w:val="005720E2"/>
    <w:rsid w:val="00576AF0"/>
    <w:rsid w:val="0058242F"/>
    <w:rsid w:val="005934BB"/>
    <w:rsid w:val="00593A8B"/>
    <w:rsid w:val="00593DE2"/>
    <w:rsid w:val="005A4171"/>
    <w:rsid w:val="005B1568"/>
    <w:rsid w:val="005B2E75"/>
    <w:rsid w:val="005B37CC"/>
    <w:rsid w:val="005C073D"/>
    <w:rsid w:val="005C4CD2"/>
    <w:rsid w:val="005C50EA"/>
    <w:rsid w:val="005C590D"/>
    <w:rsid w:val="005C5A2E"/>
    <w:rsid w:val="005D127A"/>
    <w:rsid w:val="005D268A"/>
    <w:rsid w:val="005D3B8A"/>
    <w:rsid w:val="005D76B6"/>
    <w:rsid w:val="005E514F"/>
    <w:rsid w:val="005E5EED"/>
    <w:rsid w:val="005E6721"/>
    <w:rsid w:val="005F0CCD"/>
    <w:rsid w:val="005F19FC"/>
    <w:rsid w:val="005F1EA9"/>
    <w:rsid w:val="005F25B2"/>
    <w:rsid w:val="00616004"/>
    <w:rsid w:val="00616FF0"/>
    <w:rsid w:val="00626FEF"/>
    <w:rsid w:val="00627222"/>
    <w:rsid w:val="0063048C"/>
    <w:rsid w:val="00642A42"/>
    <w:rsid w:val="00643EC3"/>
    <w:rsid w:val="00650E8D"/>
    <w:rsid w:val="006578A3"/>
    <w:rsid w:val="00657DDA"/>
    <w:rsid w:val="00664ED8"/>
    <w:rsid w:val="00667E7A"/>
    <w:rsid w:val="00674DA4"/>
    <w:rsid w:val="0068083E"/>
    <w:rsid w:val="006813EF"/>
    <w:rsid w:val="00684F3F"/>
    <w:rsid w:val="00687F9B"/>
    <w:rsid w:val="00693B3B"/>
    <w:rsid w:val="00693C1D"/>
    <w:rsid w:val="006A2CE2"/>
    <w:rsid w:val="006B2110"/>
    <w:rsid w:val="006B5A7A"/>
    <w:rsid w:val="006D02CD"/>
    <w:rsid w:val="006D2CEC"/>
    <w:rsid w:val="006D6E73"/>
    <w:rsid w:val="006E30A0"/>
    <w:rsid w:val="006F164C"/>
    <w:rsid w:val="006F6C60"/>
    <w:rsid w:val="007014DA"/>
    <w:rsid w:val="00703D00"/>
    <w:rsid w:val="00726F90"/>
    <w:rsid w:val="00727A10"/>
    <w:rsid w:val="00731972"/>
    <w:rsid w:val="00734ED0"/>
    <w:rsid w:val="00753F30"/>
    <w:rsid w:val="00756872"/>
    <w:rsid w:val="00773D8B"/>
    <w:rsid w:val="00774B5E"/>
    <w:rsid w:val="00780B33"/>
    <w:rsid w:val="0078234B"/>
    <w:rsid w:val="00783522"/>
    <w:rsid w:val="00786BFE"/>
    <w:rsid w:val="0079622B"/>
    <w:rsid w:val="0079750F"/>
    <w:rsid w:val="007A276F"/>
    <w:rsid w:val="007B1754"/>
    <w:rsid w:val="007C3765"/>
    <w:rsid w:val="007C6430"/>
    <w:rsid w:val="007C736A"/>
    <w:rsid w:val="007D5D8F"/>
    <w:rsid w:val="007E0F02"/>
    <w:rsid w:val="007F007B"/>
    <w:rsid w:val="007F2676"/>
    <w:rsid w:val="007F6CF6"/>
    <w:rsid w:val="007F7F9F"/>
    <w:rsid w:val="00802150"/>
    <w:rsid w:val="00812997"/>
    <w:rsid w:val="00817023"/>
    <w:rsid w:val="00823985"/>
    <w:rsid w:val="00845A97"/>
    <w:rsid w:val="008473B8"/>
    <w:rsid w:val="0085134A"/>
    <w:rsid w:val="00855DBB"/>
    <w:rsid w:val="00863725"/>
    <w:rsid w:val="00865C88"/>
    <w:rsid w:val="0086728E"/>
    <w:rsid w:val="0087396A"/>
    <w:rsid w:val="008757E6"/>
    <w:rsid w:val="008764B1"/>
    <w:rsid w:val="00887850"/>
    <w:rsid w:val="00891A71"/>
    <w:rsid w:val="00892150"/>
    <w:rsid w:val="00895CA1"/>
    <w:rsid w:val="008A2383"/>
    <w:rsid w:val="008C1F8F"/>
    <w:rsid w:val="008C30EE"/>
    <w:rsid w:val="008C3109"/>
    <w:rsid w:val="008C46E8"/>
    <w:rsid w:val="008C49A0"/>
    <w:rsid w:val="008D3A53"/>
    <w:rsid w:val="008D45A2"/>
    <w:rsid w:val="008E4E06"/>
    <w:rsid w:val="008E7DD8"/>
    <w:rsid w:val="008F2762"/>
    <w:rsid w:val="008F449C"/>
    <w:rsid w:val="008F5B39"/>
    <w:rsid w:val="00902771"/>
    <w:rsid w:val="00905D96"/>
    <w:rsid w:val="00906150"/>
    <w:rsid w:val="00912C5C"/>
    <w:rsid w:val="009240D2"/>
    <w:rsid w:val="009319BC"/>
    <w:rsid w:val="00934095"/>
    <w:rsid w:val="00943F64"/>
    <w:rsid w:val="00944A0C"/>
    <w:rsid w:val="00945714"/>
    <w:rsid w:val="00946968"/>
    <w:rsid w:val="00950318"/>
    <w:rsid w:val="00953D38"/>
    <w:rsid w:val="0095765C"/>
    <w:rsid w:val="00960A2E"/>
    <w:rsid w:val="009632B9"/>
    <w:rsid w:val="00963F38"/>
    <w:rsid w:val="00964B17"/>
    <w:rsid w:val="00967C6E"/>
    <w:rsid w:val="0097597D"/>
    <w:rsid w:val="00981396"/>
    <w:rsid w:val="009823D3"/>
    <w:rsid w:val="00982BE0"/>
    <w:rsid w:val="009830A0"/>
    <w:rsid w:val="00983A17"/>
    <w:rsid w:val="00986CC0"/>
    <w:rsid w:val="00986D6C"/>
    <w:rsid w:val="009901B6"/>
    <w:rsid w:val="009A43AA"/>
    <w:rsid w:val="009B0180"/>
    <w:rsid w:val="009B0662"/>
    <w:rsid w:val="009B5E51"/>
    <w:rsid w:val="009B7E08"/>
    <w:rsid w:val="009C0FA6"/>
    <w:rsid w:val="009C35B4"/>
    <w:rsid w:val="009C6B44"/>
    <w:rsid w:val="009D4AD6"/>
    <w:rsid w:val="009E3B29"/>
    <w:rsid w:val="009F1703"/>
    <w:rsid w:val="00A079A4"/>
    <w:rsid w:val="00A10076"/>
    <w:rsid w:val="00A21DB1"/>
    <w:rsid w:val="00A23EEA"/>
    <w:rsid w:val="00A23F0B"/>
    <w:rsid w:val="00A344C8"/>
    <w:rsid w:val="00A346B8"/>
    <w:rsid w:val="00A4033C"/>
    <w:rsid w:val="00A440FA"/>
    <w:rsid w:val="00A451A0"/>
    <w:rsid w:val="00A50270"/>
    <w:rsid w:val="00A50FD9"/>
    <w:rsid w:val="00A518DE"/>
    <w:rsid w:val="00A612CE"/>
    <w:rsid w:val="00A71693"/>
    <w:rsid w:val="00A746B9"/>
    <w:rsid w:val="00A74E63"/>
    <w:rsid w:val="00A757EA"/>
    <w:rsid w:val="00A81AD9"/>
    <w:rsid w:val="00A81C9E"/>
    <w:rsid w:val="00A92487"/>
    <w:rsid w:val="00A968B3"/>
    <w:rsid w:val="00AA1843"/>
    <w:rsid w:val="00AB2ADD"/>
    <w:rsid w:val="00AC2BB4"/>
    <w:rsid w:val="00AC2DD2"/>
    <w:rsid w:val="00AC5D06"/>
    <w:rsid w:val="00AD1DCA"/>
    <w:rsid w:val="00AD2C95"/>
    <w:rsid w:val="00AD3C0B"/>
    <w:rsid w:val="00AD451D"/>
    <w:rsid w:val="00AE0EF0"/>
    <w:rsid w:val="00AF0A43"/>
    <w:rsid w:val="00AF5921"/>
    <w:rsid w:val="00AF7EA5"/>
    <w:rsid w:val="00B11460"/>
    <w:rsid w:val="00B121CB"/>
    <w:rsid w:val="00B15F9D"/>
    <w:rsid w:val="00B179FE"/>
    <w:rsid w:val="00B2046F"/>
    <w:rsid w:val="00B208F3"/>
    <w:rsid w:val="00B23533"/>
    <w:rsid w:val="00B274CD"/>
    <w:rsid w:val="00B30CE5"/>
    <w:rsid w:val="00B30F48"/>
    <w:rsid w:val="00B37A65"/>
    <w:rsid w:val="00B50196"/>
    <w:rsid w:val="00B52061"/>
    <w:rsid w:val="00B52C22"/>
    <w:rsid w:val="00B52D1E"/>
    <w:rsid w:val="00B5365B"/>
    <w:rsid w:val="00B57EBB"/>
    <w:rsid w:val="00B641EB"/>
    <w:rsid w:val="00B66D04"/>
    <w:rsid w:val="00B719C7"/>
    <w:rsid w:val="00B76C2C"/>
    <w:rsid w:val="00B76E31"/>
    <w:rsid w:val="00B77955"/>
    <w:rsid w:val="00B77DE9"/>
    <w:rsid w:val="00B802C2"/>
    <w:rsid w:val="00B80F6F"/>
    <w:rsid w:val="00B81E71"/>
    <w:rsid w:val="00B82994"/>
    <w:rsid w:val="00B84BC2"/>
    <w:rsid w:val="00B908D2"/>
    <w:rsid w:val="00B91820"/>
    <w:rsid w:val="00B92B7C"/>
    <w:rsid w:val="00B947F8"/>
    <w:rsid w:val="00B94EA7"/>
    <w:rsid w:val="00BA0688"/>
    <w:rsid w:val="00BB3415"/>
    <w:rsid w:val="00BB3E47"/>
    <w:rsid w:val="00BB4954"/>
    <w:rsid w:val="00BC1C2E"/>
    <w:rsid w:val="00BC3034"/>
    <w:rsid w:val="00BD55B0"/>
    <w:rsid w:val="00BE56B1"/>
    <w:rsid w:val="00BE6847"/>
    <w:rsid w:val="00BE6A97"/>
    <w:rsid w:val="00BE7448"/>
    <w:rsid w:val="00C01DD3"/>
    <w:rsid w:val="00C053A2"/>
    <w:rsid w:val="00C073CB"/>
    <w:rsid w:val="00C10389"/>
    <w:rsid w:val="00C156B0"/>
    <w:rsid w:val="00C157C4"/>
    <w:rsid w:val="00C20F39"/>
    <w:rsid w:val="00C22608"/>
    <w:rsid w:val="00C22D13"/>
    <w:rsid w:val="00C23694"/>
    <w:rsid w:val="00C32642"/>
    <w:rsid w:val="00C32CFA"/>
    <w:rsid w:val="00C3408D"/>
    <w:rsid w:val="00C36799"/>
    <w:rsid w:val="00C42C91"/>
    <w:rsid w:val="00C44006"/>
    <w:rsid w:val="00C57257"/>
    <w:rsid w:val="00C81AEC"/>
    <w:rsid w:val="00C82562"/>
    <w:rsid w:val="00C86B1B"/>
    <w:rsid w:val="00C901F8"/>
    <w:rsid w:val="00C9117A"/>
    <w:rsid w:val="00C95B67"/>
    <w:rsid w:val="00CA7315"/>
    <w:rsid w:val="00CA7E47"/>
    <w:rsid w:val="00CB0F9B"/>
    <w:rsid w:val="00CB275D"/>
    <w:rsid w:val="00CB4DD4"/>
    <w:rsid w:val="00CD43D8"/>
    <w:rsid w:val="00CD5AA8"/>
    <w:rsid w:val="00CE0EC1"/>
    <w:rsid w:val="00CE1656"/>
    <w:rsid w:val="00CF1312"/>
    <w:rsid w:val="00CF5A48"/>
    <w:rsid w:val="00D0232D"/>
    <w:rsid w:val="00D05252"/>
    <w:rsid w:val="00D052F7"/>
    <w:rsid w:val="00D0563A"/>
    <w:rsid w:val="00D13962"/>
    <w:rsid w:val="00D14A01"/>
    <w:rsid w:val="00D14AB4"/>
    <w:rsid w:val="00D14EF7"/>
    <w:rsid w:val="00D20CDD"/>
    <w:rsid w:val="00D25B66"/>
    <w:rsid w:val="00D368C4"/>
    <w:rsid w:val="00D51126"/>
    <w:rsid w:val="00D522CF"/>
    <w:rsid w:val="00D602FC"/>
    <w:rsid w:val="00D61B4E"/>
    <w:rsid w:val="00D76DCB"/>
    <w:rsid w:val="00D812B0"/>
    <w:rsid w:val="00D81BF0"/>
    <w:rsid w:val="00D97D7A"/>
    <w:rsid w:val="00DA0028"/>
    <w:rsid w:val="00DA1152"/>
    <w:rsid w:val="00DA276E"/>
    <w:rsid w:val="00DA3278"/>
    <w:rsid w:val="00DA40E1"/>
    <w:rsid w:val="00DC3828"/>
    <w:rsid w:val="00DC5899"/>
    <w:rsid w:val="00DD04CE"/>
    <w:rsid w:val="00DD5E82"/>
    <w:rsid w:val="00DE1E04"/>
    <w:rsid w:val="00DE494D"/>
    <w:rsid w:val="00DE5EC9"/>
    <w:rsid w:val="00DF53C5"/>
    <w:rsid w:val="00DF7F87"/>
    <w:rsid w:val="00E01E82"/>
    <w:rsid w:val="00E04017"/>
    <w:rsid w:val="00E04358"/>
    <w:rsid w:val="00E10026"/>
    <w:rsid w:val="00E14A2F"/>
    <w:rsid w:val="00E204AF"/>
    <w:rsid w:val="00E215D3"/>
    <w:rsid w:val="00E303B0"/>
    <w:rsid w:val="00E33F73"/>
    <w:rsid w:val="00E36578"/>
    <w:rsid w:val="00E40A65"/>
    <w:rsid w:val="00E41045"/>
    <w:rsid w:val="00E46365"/>
    <w:rsid w:val="00E5600C"/>
    <w:rsid w:val="00E572B1"/>
    <w:rsid w:val="00E71D00"/>
    <w:rsid w:val="00E7781F"/>
    <w:rsid w:val="00E8072B"/>
    <w:rsid w:val="00E80773"/>
    <w:rsid w:val="00E818A6"/>
    <w:rsid w:val="00E940DB"/>
    <w:rsid w:val="00EA3A78"/>
    <w:rsid w:val="00EB18F2"/>
    <w:rsid w:val="00EB37BD"/>
    <w:rsid w:val="00EB3B9F"/>
    <w:rsid w:val="00EB4238"/>
    <w:rsid w:val="00EB50B3"/>
    <w:rsid w:val="00ED5A1D"/>
    <w:rsid w:val="00EF60EF"/>
    <w:rsid w:val="00EF60F5"/>
    <w:rsid w:val="00F02942"/>
    <w:rsid w:val="00F065B2"/>
    <w:rsid w:val="00F11259"/>
    <w:rsid w:val="00F13EC6"/>
    <w:rsid w:val="00F14D7A"/>
    <w:rsid w:val="00F21432"/>
    <w:rsid w:val="00F21835"/>
    <w:rsid w:val="00F264C0"/>
    <w:rsid w:val="00F312B1"/>
    <w:rsid w:val="00F32074"/>
    <w:rsid w:val="00F379AD"/>
    <w:rsid w:val="00F409A8"/>
    <w:rsid w:val="00F40B40"/>
    <w:rsid w:val="00F413F8"/>
    <w:rsid w:val="00F44581"/>
    <w:rsid w:val="00F54810"/>
    <w:rsid w:val="00F55998"/>
    <w:rsid w:val="00F56400"/>
    <w:rsid w:val="00F5724A"/>
    <w:rsid w:val="00F63C6B"/>
    <w:rsid w:val="00F63F0C"/>
    <w:rsid w:val="00F66820"/>
    <w:rsid w:val="00F7282B"/>
    <w:rsid w:val="00F8636B"/>
    <w:rsid w:val="00F932ED"/>
    <w:rsid w:val="00F94F0F"/>
    <w:rsid w:val="00FA7509"/>
    <w:rsid w:val="00FB22BB"/>
    <w:rsid w:val="00FB420F"/>
    <w:rsid w:val="00FC0FA0"/>
    <w:rsid w:val="00FC32CC"/>
    <w:rsid w:val="00FD1AE0"/>
    <w:rsid w:val="00FD2FC7"/>
    <w:rsid w:val="00FD594F"/>
    <w:rsid w:val="00FD5B34"/>
    <w:rsid w:val="00FE4EA6"/>
    <w:rsid w:val="00FF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E2"/>
    <w:rPr>
      <w:rFonts w:ascii="Tahoma" w:hAnsi="Tahoma" w:cs="Tahoma"/>
      <w:sz w:val="16"/>
      <w:szCs w:val="16"/>
    </w:rPr>
  </w:style>
  <w:style w:type="paragraph" w:styleId="Header">
    <w:name w:val="header"/>
    <w:basedOn w:val="Normal"/>
    <w:link w:val="HeaderChar"/>
    <w:uiPriority w:val="99"/>
    <w:unhideWhenUsed/>
    <w:rsid w:val="002F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ED"/>
  </w:style>
  <w:style w:type="paragraph" w:styleId="Footer">
    <w:name w:val="footer"/>
    <w:basedOn w:val="Normal"/>
    <w:link w:val="FooterChar"/>
    <w:uiPriority w:val="99"/>
    <w:unhideWhenUsed/>
    <w:rsid w:val="002F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ED"/>
  </w:style>
  <w:style w:type="paragraph" w:styleId="ListParagraph">
    <w:name w:val="List Paragraph"/>
    <w:basedOn w:val="Normal"/>
    <w:uiPriority w:val="34"/>
    <w:qFormat/>
    <w:rsid w:val="005C5A2E"/>
    <w:pPr>
      <w:tabs>
        <w:tab w:val="left" w:pos="1260"/>
        <w:tab w:val="left" w:pos="1980"/>
        <w:tab w:val="left" w:pos="2700"/>
        <w:tab w:val="left" w:pos="3420"/>
      </w:tabs>
      <w:spacing w:after="0" w:line="240" w:lineRule="auto"/>
      <w:ind w:left="720"/>
      <w:contextualSpacing/>
      <w:jc w:val="both"/>
    </w:pPr>
    <w:rPr>
      <w:rFonts w:ascii="Arial" w:eastAsia="Times New Roman" w:hAnsi="Arial" w:cs="Times New Roman"/>
      <w:szCs w:val="20"/>
      <w:lang w:eastAsia="en-GB"/>
    </w:rPr>
  </w:style>
  <w:style w:type="table" w:styleId="TableGrid">
    <w:name w:val="Table Grid"/>
    <w:basedOn w:val="TableNormal"/>
    <w:rsid w:val="002169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37A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E7DD8"/>
    <w:pPr>
      <w:spacing w:after="120"/>
      <w:ind w:left="283"/>
    </w:pPr>
  </w:style>
  <w:style w:type="character" w:customStyle="1" w:styleId="BodyTextIndentChar">
    <w:name w:val="Body Text Indent Char"/>
    <w:basedOn w:val="DefaultParagraphFont"/>
    <w:link w:val="BodyTextIndent"/>
    <w:uiPriority w:val="99"/>
    <w:rsid w:val="008E7DD8"/>
  </w:style>
  <w:style w:type="character" w:styleId="CommentReference">
    <w:name w:val="annotation reference"/>
    <w:basedOn w:val="DefaultParagraphFont"/>
    <w:uiPriority w:val="99"/>
    <w:semiHidden/>
    <w:unhideWhenUsed/>
    <w:rsid w:val="001F5EDF"/>
    <w:rPr>
      <w:sz w:val="16"/>
      <w:szCs w:val="16"/>
    </w:rPr>
  </w:style>
  <w:style w:type="paragraph" w:styleId="CommentText">
    <w:name w:val="annotation text"/>
    <w:basedOn w:val="Normal"/>
    <w:link w:val="CommentTextChar"/>
    <w:uiPriority w:val="99"/>
    <w:semiHidden/>
    <w:unhideWhenUsed/>
    <w:rsid w:val="001F5EDF"/>
    <w:pPr>
      <w:spacing w:line="240" w:lineRule="auto"/>
    </w:pPr>
    <w:rPr>
      <w:sz w:val="20"/>
      <w:szCs w:val="20"/>
    </w:rPr>
  </w:style>
  <w:style w:type="character" w:customStyle="1" w:styleId="CommentTextChar">
    <w:name w:val="Comment Text Char"/>
    <w:basedOn w:val="DefaultParagraphFont"/>
    <w:link w:val="CommentText"/>
    <w:uiPriority w:val="99"/>
    <w:semiHidden/>
    <w:rsid w:val="001F5EDF"/>
    <w:rPr>
      <w:sz w:val="20"/>
      <w:szCs w:val="20"/>
    </w:rPr>
  </w:style>
  <w:style w:type="paragraph" w:styleId="CommentSubject">
    <w:name w:val="annotation subject"/>
    <w:basedOn w:val="CommentText"/>
    <w:next w:val="CommentText"/>
    <w:link w:val="CommentSubjectChar"/>
    <w:uiPriority w:val="99"/>
    <w:semiHidden/>
    <w:unhideWhenUsed/>
    <w:rsid w:val="001F5EDF"/>
    <w:rPr>
      <w:b/>
      <w:bCs/>
    </w:rPr>
  </w:style>
  <w:style w:type="character" w:customStyle="1" w:styleId="CommentSubjectChar">
    <w:name w:val="Comment Subject Char"/>
    <w:basedOn w:val="CommentTextChar"/>
    <w:link w:val="CommentSubject"/>
    <w:uiPriority w:val="99"/>
    <w:semiHidden/>
    <w:rsid w:val="001F5EDF"/>
    <w:rPr>
      <w:b/>
      <w:bCs/>
      <w:sz w:val="20"/>
      <w:szCs w:val="20"/>
    </w:rPr>
  </w:style>
  <w:style w:type="paragraph" w:styleId="NoSpacing">
    <w:name w:val="No Spacing"/>
    <w:uiPriority w:val="1"/>
    <w:qFormat/>
    <w:rsid w:val="00D14A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E2"/>
    <w:rPr>
      <w:rFonts w:ascii="Tahoma" w:hAnsi="Tahoma" w:cs="Tahoma"/>
      <w:sz w:val="16"/>
      <w:szCs w:val="16"/>
    </w:rPr>
  </w:style>
  <w:style w:type="paragraph" w:styleId="Header">
    <w:name w:val="header"/>
    <w:basedOn w:val="Normal"/>
    <w:link w:val="HeaderChar"/>
    <w:uiPriority w:val="99"/>
    <w:unhideWhenUsed/>
    <w:rsid w:val="002F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ED"/>
  </w:style>
  <w:style w:type="paragraph" w:styleId="Footer">
    <w:name w:val="footer"/>
    <w:basedOn w:val="Normal"/>
    <w:link w:val="FooterChar"/>
    <w:uiPriority w:val="99"/>
    <w:unhideWhenUsed/>
    <w:rsid w:val="002F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ED"/>
  </w:style>
  <w:style w:type="paragraph" w:styleId="ListParagraph">
    <w:name w:val="List Paragraph"/>
    <w:basedOn w:val="Normal"/>
    <w:uiPriority w:val="34"/>
    <w:qFormat/>
    <w:rsid w:val="005C5A2E"/>
    <w:pPr>
      <w:tabs>
        <w:tab w:val="left" w:pos="1260"/>
        <w:tab w:val="left" w:pos="1980"/>
        <w:tab w:val="left" w:pos="2700"/>
        <w:tab w:val="left" w:pos="3420"/>
      </w:tabs>
      <w:spacing w:after="0" w:line="240" w:lineRule="auto"/>
      <w:ind w:left="720"/>
      <w:contextualSpacing/>
      <w:jc w:val="both"/>
    </w:pPr>
    <w:rPr>
      <w:rFonts w:ascii="Arial" w:eastAsia="Times New Roman" w:hAnsi="Arial" w:cs="Times New Roman"/>
      <w:szCs w:val="20"/>
      <w:lang w:eastAsia="en-GB"/>
    </w:rPr>
  </w:style>
  <w:style w:type="table" w:styleId="TableGrid">
    <w:name w:val="Table Grid"/>
    <w:basedOn w:val="TableNormal"/>
    <w:rsid w:val="002169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37A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E7DD8"/>
    <w:pPr>
      <w:spacing w:after="120"/>
      <w:ind w:left="283"/>
    </w:pPr>
  </w:style>
  <w:style w:type="character" w:customStyle="1" w:styleId="BodyTextIndentChar">
    <w:name w:val="Body Text Indent Char"/>
    <w:basedOn w:val="DefaultParagraphFont"/>
    <w:link w:val="BodyTextIndent"/>
    <w:uiPriority w:val="99"/>
    <w:rsid w:val="008E7DD8"/>
  </w:style>
  <w:style w:type="character" w:styleId="CommentReference">
    <w:name w:val="annotation reference"/>
    <w:basedOn w:val="DefaultParagraphFont"/>
    <w:uiPriority w:val="99"/>
    <w:semiHidden/>
    <w:unhideWhenUsed/>
    <w:rsid w:val="001F5EDF"/>
    <w:rPr>
      <w:sz w:val="16"/>
      <w:szCs w:val="16"/>
    </w:rPr>
  </w:style>
  <w:style w:type="paragraph" w:styleId="CommentText">
    <w:name w:val="annotation text"/>
    <w:basedOn w:val="Normal"/>
    <w:link w:val="CommentTextChar"/>
    <w:uiPriority w:val="99"/>
    <w:semiHidden/>
    <w:unhideWhenUsed/>
    <w:rsid w:val="001F5EDF"/>
    <w:pPr>
      <w:spacing w:line="240" w:lineRule="auto"/>
    </w:pPr>
    <w:rPr>
      <w:sz w:val="20"/>
      <w:szCs w:val="20"/>
    </w:rPr>
  </w:style>
  <w:style w:type="character" w:customStyle="1" w:styleId="CommentTextChar">
    <w:name w:val="Comment Text Char"/>
    <w:basedOn w:val="DefaultParagraphFont"/>
    <w:link w:val="CommentText"/>
    <w:uiPriority w:val="99"/>
    <w:semiHidden/>
    <w:rsid w:val="001F5EDF"/>
    <w:rPr>
      <w:sz w:val="20"/>
      <w:szCs w:val="20"/>
    </w:rPr>
  </w:style>
  <w:style w:type="paragraph" w:styleId="CommentSubject">
    <w:name w:val="annotation subject"/>
    <w:basedOn w:val="CommentText"/>
    <w:next w:val="CommentText"/>
    <w:link w:val="CommentSubjectChar"/>
    <w:uiPriority w:val="99"/>
    <w:semiHidden/>
    <w:unhideWhenUsed/>
    <w:rsid w:val="001F5EDF"/>
    <w:rPr>
      <w:b/>
      <w:bCs/>
    </w:rPr>
  </w:style>
  <w:style w:type="character" w:customStyle="1" w:styleId="CommentSubjectChar">
    <w:name w:val="Comment Subject Char"/>
    <w:basedOn w:val="CommentTextChar"/>
    <w:link w:val="CommentSubject"/>
    <w:uiPriority w:val="99"/>
    <w:semiHidden/>
    <w:rsid w:val="001F5EDF"/>
    <w:rPr>
      <w:b/>
      <w:bCs/>
      <w:sz w:val="20"/>
      <w:szCs w:val="20"/>
    </w:rPr>
  </w:style>
  <w:style w:type="paragraph" w:styleId="NoSpacing">
    <w:name w:val="No Spacing"/>
    <w:uiPriority w:val="1"/>
    <w:qFormat/>
    <w:rsid w:val="00D1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727">
      <w:bodyDiv w:val="1"/>
      <w:marLeft w:val="0"/>
      <w:marRight w:val="0"/>
      <w:marTop w:val="0"/>
      <w:marBottom w:val="0"/>
      <w:divBdr>
        <w:top w:val="none" w:sz="0" w:space="0" w:color="auto"/>
        <w:left w:val="none" w:sz="0" w:space="0" w:color="auto"/>
        <w:bottom w:val="none" w:sz="0" w:space="0" w:color="auto"/>
        <w:right w:val="none" w:sz="0" w:space="0" w:color="auto"/>
      </w:divBdr>
    </w:div>
    <w:div w:id="137916652">
      <w:bodyDiv w:val="1"/>
      <w:marLeft w:val="0"/>
      <w:marRight w:val="0"/>
      <w:marTop w:val="0"/>
      <w:marBottom w:val="0"/>
      <w:divBdr>
        <w:top w:val="none" w:sz="0" w:space="0" w:color="auto"/>
        <w:left w:val="none" w:sz="0" w:space="0" w:color="auto"/>
        <w:bottom w:val="none" w:sz="0" w:space="0" w:color="auto"/>
        <w:right w:val="none" w:sz="0" w:space="0" w:color="auto"/>
      </w:divBdr>
    </w:div>
    <w:div w:id="304821293">
      <w:bodyDiv w:val="1"/>
      <w:marLeft w:val="0"/>
      <w:marRight w:val="0"/>
      <w:marTop w:val="0"/>
      <w:marBottom w:val="0"/>
      <w:divBdr>
        <w:top w:val="none" w:sz="0" w:space="0" w:color="auto"/>
        <w:left w:val="none" w:sz="0" w:space="0" w:color="auto"/>
        <w:bottom w:val="none" w:sz="0" w:space="0" w:color="auto"/>
        <w:right w:val="none" w:sz="0" w:space="0" w:color="auto"/>
      </w:divBdr>
    </w:div>
    <w:div w:id="380984266">
      <w:bodyDiv w:val="1"/>
      <w:marLeft w:val="0"/>
      <w:marRight w:val="0"/>
      <w:marTop w:val="0"/>
      <w:marBottom w:val="0"/>
      <w:divBdr>
        <w:top w:val="none" w:sz="0" w:space="0" w:color="auto"/>
        <w:left w:val="none" w:sz="0" w:space="0" w:color="auto"/>
        <w:bottom w:val="none" w:sz="0" w:space="0" w:color="auto"/>
        <w:right w:val="none" w:sz="0" w:space="0" w:color="auto"/>
      </w:divBdr>
    </w:div>
    <w:div w:id="541943241">
      <w:bodyDiv w:val="1"/>
      <w:marLeft w:val="0"/>
      <w:marRight w:val="0"/>
      <w:marTop w:val="0"/>
      <w:marBottom w:val="0"/>
      <w:divBdr>
        <w:top w:val="none" w:sz="0" w:space="0" w:color="auto"/>
        <w:left w:val="none" w:sz="0" w:space="0" w:color="auto"/>
        <w:bottom w:val="none" w:sz="0" w:space="0" w:color="auto"/>
        <w:right w:val="none" w:sz="0" w:space="0" w:color="auto"/>
      </w:divBdr>
    </w:div>
    <w:div w:id="592324279">
      <w:bodyDiv w:val="1"/>
      <w:marLeft w:val="0"/>
      <w:marRight w:val="0"/>
      <w:marTop w:val="0"/>
      <w:marBottom w:val="0"/>
      <w:divBdr>
        <w:top w:val="none" w:sz="0" w:space="0" w:color="auto"/>
        <w:left w:val="none" w:sz="0" w:space="0" w:color="auto"/>
        <w:bottom w:val="none" w:sz="0" w:space="0" w:color="auto"/>
        <w:right w:val="none" w:sz="0" w:space="0" w:color="auto"/>
      </w:divBdr>
    </w:div>
    <w:div w:id="610673193">
      <w:bodyDiv w:val="1"/>
      <w:marLeft w:val="0"/>
      <w:marRight w:val="0"/>
      <w:marTop w:val="0"/>
      <w:marBottom w:val="0"/>
      <w:divBdr>
        <w:top w:val="none" w:sz="0" w:space="0" w:color="auto"/>
        <w:left w:val="none" w:sz="0" w:space="0" w:color="auto"/>
        <w:bottom w:val="none" w:sz="0" w:space="0" w:color="auto"/>
        <w:right w:val="none" w:sz="0" w:space="0" w:color="auto"/>
      </w:divBdr>
    </w:div>
    <w:div w:id="614991666">
      <w:bodyDiv w:val="1"/>
      <w:marLeft w:val="0"/>
      <w:marRight w:val="0"/>
      <w:marTop w:val="0"/>
      <w:marBottom w:val="0"/>
      <w:divBdr>
        <w:top w:val="none" w:sz="0" w:space="0" w:color="auto"/>
        <w:left w:val="none" w:sz="0" w:space="0" w:color="auto"/>
        <w:bottom w:val="none" w:sz="0" w:space="0" w:color="auto"/>
        <w:right w:val="none" w:sz="0" w:space="0" w:color="auto"/>
      </w:divBdr>
    </w:div>
    <w:div w:id="723068810">
      <w:bodyDiv w:val="1"/>
      <w:marLeft w:val="0"/>
      <w:marRight w:val="0"/>
      <w:marTop w:val="0"/>
      <w:marBottom w:val="0"/>
      <w:divBdr>
        <w:top w:val="none" w:sz="0" w:space="0" w:color="auto"/>
        <w:left w:val="none" w:sz="0" w:space="0" w:color="auto"/>
        <w:bottom w:val="none" w:sz="0" w:space="0" w:color="auto"/>
        <w:right w:val="none" w:sz="0" w:space="0" w:color="auto"/>
      </w:divBdr>
    </w:div>
    <w:div w:id="780535179">
      <w:bodyDiv w:val="1"/>
      <w:marLeft w:val="0"/>
      <w:marRight w:val="0"/>
      <w:marTop w:val="0"/>
      <w:marBottom w:val="0"/>
      <w:divBdr>
        <w:top w:val="none" w:sz="0" w:space="0" w:color="auto"/>
        <w:left w:val="none" w:sz="0" w:space="0" w:color="auto"/>
        <w:bottom w:val="none" w:sz="0" w:space="0" w:color="auto"/>
        <w:right w:val="none" w:sz="0" w:space="0" w:color="auto"/>
      </w:divBdr>
    </w:div>
    <w:div w:id="843520070">
      <w:bodyDiv w:val="1"/>
      <w:marLeft w:val="0"/>
      <w:marRight w:val="0"/>
      <w:marTop w:val="0"/>
      <w:marBottom w:val="0"/>
      <w:divBdr>
        <w:top w:val="none" w:sz="0" w:space="0" w:color="auto"/>
        <w:left w:val="none" w:sz="0" w:space="0" w:color="auto"/>
        <w:bottom w:val="none" w:sz="0" w:space="0" w:color="auto"/>
        <w:right w:val="none" w:sz="0" w:space="0" w:color="auto"/>
      </w:divBdr>
    </w:div>
    <w:div w:id="972830289">
      <w:bodyDiv w:val="1"/>
      <w:marLeft w:val="0"/>
      <w:marRight w:val="0"/>
      <w:marTop w:val="0"/>
      <w:marBottom w:val="0"/>
      <w:divBdr>
        <w:top w:val="none" w:sz="0" w:space="0" w:color="auto"/>
        <w:left w:val="none" w:sz="0" w:space="0" w:color="auto"/>
        <w:bottom w:val="none" w:sz="0" w:space="0" w:color="auto"/>
        <w:right w:val="none" w:sz="0" w:space="0" w:color="auto"/>
      </w:divBdr>
    </w:div>
    <w:div w:id="1023172900">
      <w:bodyDiv w:val="1"/>
      <w:marLeft w:val="0"/>
      <w:marRight w:val="0"/>
      <w:marTop w:val="0"/>
      <w:marBottom w:val="0"/>
      <w:divBdr>
        <w:top w:val="none" w:sz="0" w:space="0" w:color="auto"/>
        <w:left w:val="none" w:sz="0" w:space="0" w:color="auto"/>
        <w:bottom w:val="none" w:sz="0" w:space="0" w:color="auto"/>
        <w:right w:val="none" w:sz="0" w:space="0" w:color="auto"/>
      </w:divBdr>
    </w:div>
    <w:div w:id="1327784339">
      <w:bodyDiv w:val="1"/>
      <w:marLeft w:val="0"/>
      <w:marRight w:val="0"/>
      <w:marTop w:val="0"/>
      <w:marBottom w:val="0"/>
      <w:divBdr>
        <w:top w:val="none" w:sz="0" w:space="0" w:color="auto"/>
        <w:left w:val="none" w:sz="0" w:space="0" w:color="auto"/>
        <w:bottom w:val="none" w:sz="0" w:space="0" w:color="auto"/>
        <w:right w:val="none" w:sz="0" w:space="0" w:color="auto"/>
      </w:divBdr>
    </w:div>
    <w:div w:id="1400710356">
      <w:bodyDiv w:val="1"/>
      <w:marLeft w:val="0"/>
      <w:marRight w:val="0"/>
      <w:marTop w:val="0"/>
      <w:marBottom w:val="0"/>
      <w:divBdr>
        <w:top w:val="none" w:sz="0" w:space="0" w:color="auto"/>
        <w:left w:val="none" w:sz="0" w:space="0" w:color="auto"/>
        <w:bottom w:val="none" w:sz="0" w:space="0" w:color="auto"/>
        <w:right w:val="none" w:sz="0" w:space="0" w:color="auto"/>
      </w:divBdr>
    </w:div>
    <w:div w:id="1462846676">
      <w:bodyDiv w:val="1"/>
      <w:marLeft w:val="0"/>
      <w:marRight w:val="0"/>
      <w:marTop w:val="0"/>
      <w:marBottom w:val="0"/>
      <w:divBdr>
        <w:top w:val="none" w:sz="0" w:space="0" w:color="auto"/>
        <w:left w:val="none" w:sz="0" w:space="0" w:color="auto"/>
        <w:bottom w:val="none" w:sz="0" w:space="0" w:color="auto"/>
        <w:right w:val="none" w:sz="0" w:space="0" w:color="auto"/>
      </w:divBdr>
    </w:div>
    <w:div w:id="1584684746">
      <w:bodyDiv w:val="1"/>
      <w:marLeft w:val="0"/>
      <w:marRight w:val="0"/>
      <w:marTop w:val="0"/>
      <w:marBottom w:val="0"/>
      <w:divBdr>
        <w:top w:val="none" w:sz="0" w:space="0" w:color="auto"/>
        <w:left w:val="none" w:sz="0" w:space="0" w:color="auto"/>
        <w:bottom w:val="none" w:sz="0" w:space="0" w:color="auto"/>
        <w:right w:val="none" w:sz="0" w:space="0" w:color="auto"/>
      </w:divBdr>
    </w:div>
    <w:div w:id="1631472625">
      <w:bodyDiv w:val="1"/>
      <w:marLeft w:val="0"/>
      <w:marRight w:val="0"/>
      <w:marTop w:val="0"/>
      <w:marBottom w:val="0"/>
      <w:divBdr>
        <w:top w:val="none" w:sz="0" w:space="0" w:color="auto"/>
        <w:left w:val="none" w:sz="0" w:space="0" w:color="auto"/>
        <w:bottom w:val="none" w:sz="0" w:space="0" w:color="auto"/>
        <w:right w:val="none" w:sz="0" w:space="0" w:color="auto"/>
      </w:divBdr>
    </w:div>
    <w:div w:id="1690982496">
      <w:bodyDiv w:val="1"/>
      <w:marLeft w:val="0"/>
      <w:marRight w:val="0"/>
      <w:marTop w:val="0"/>
      <w:marBottom w:val="0"/>
      <w:divBdr>
        <w:top w:val="none" w:sz="0" w:space="0" w:color="auto"/>
        <w:left w:val="none" w:sz="0" w:space="0" w:color="auto"/>
        <w:bottom w:val="none" w:sz="0" w:space="0" w:color="auto"/>
        <w:right w:val="none" w:sz="0" w:space="0" w:color="auto"/>
      </w:divBdr>
    </w:div>
    <w:div w:id="1738238216">
      <w:bodyDiv w:val="1"/>
      <w:marLeft w:val="0"/>
      <w:marRight w:val="0"/>
      <w:marTop w:val="0"/>
      <w:marBottom w:val="0"/>
      <w:divBdr>
        <w:top w:val="none" w:sz="0" w:space="0" w:color="auto"/>
        <w:left w:val="none" w:sz="0" w:space="0" w:color="auto"/>
        <w:bottom w:val="none" w:sz="0" w:space="0" w:color="auto"/>
        <w:right w:val="none" w:sz="0" w:space="0" w:color="auto"/>
      </w:divBdr>
    </w:div>
    <w:div w:id="1794597771">
      <w:bodyDiv w:val="1"/>
      <w:marLeft w:val="0"/>
      <w:marRight w:val="0"/>
      <w:marTop w:val="0"/>
      <w:marBottom w:val="0"/>
      <w:divBdr>
        <w:top w:val="none" w:sz="0" w:space="0" w:color="auto"/>
        <w:left w:val="none" w:sz="0" w:space="0" w:color="auto"/>
        <w:bottom w:val="none" w:sz="0" w:space="0" w:color="auto"/>
        <w:right w:val="none" w:sz="0" w:space="0" w:color="auto"/>
      </w:divBdr>
    </w:div>
    <w:div w:id="21433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s>
</file>

<file path=word/charts/_rels/chart1.xml.rels><?xml version="1.0" encoding="UTF-8" standalone="yes"?>
<Relationships xmlns="http://schemas.openxmlformats.org/package/2006/relationships"><Relationship Id="rId2" Type="http://schemas.openxmlformats.org/officeDocument/2006/relationships/oleObject" Target="file:///\\trdclgfs01\AccoutancyGroup\Budgets%20and%20Budget%20Monitoring\Budget%20Monitoring%202017%20-%202018\TRDC\Council%20Budget%20Monitoring\Period%2010\Workings\Chart%20in%20Microsoft%20Wor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trdclgfs01\AccoutancyGroup\Budgets%20and%20Budget%20Monitoring\Budget%20Monitoring%202017%20-%202018\TRDC\Council%20Budget%20Monitoring\Period%2010\Workings\Outturn%20Char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rdclgfs01\AccoutancyGroup\Budgets%20and%20Budget%20Monitoring\Budget%20Monitoring%202017%20-%202018\TRDC\Council%20Budget%20Monitoring\Period%2010\Collection%20Rate\CTAX%20and%20Business%20Rate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67408561168734"/>
          <c:y val="0.18359712677029497"/>
          <c:w val="0.52078783902012249"/>
          <c:h val="0.71449568800383645"/>
        </c:manualLayout>
      </c:layout>
      <c:lineChart>
        <c:grouping val="standard"/>
        <c:varyColors val="0"/>
        <c:ser>
          <c:idx val="0"/>
          <c:order val="0"/>
          <c:tx>
            <c:strRef>
              <c:f>Sheet1!$B$1</c:f>
              <c:strCache>
                <c:ptCount val="1"/>
                <c:pt idx="0">
                  <c:v>Original Budget</c:v>
                </c:pt>
              </c:strCache>
            </c:strRef>
          </c:tx>
          <c:marker>
            <c:symbol val="diamond"/>
            <c:size val="5"/>
          </c:marker>
          <c:cat>
            <c:strRef>
              <c:f>Sheet1!$A$2:$A$6</c:f>
              <c:strCache>
                <c:ptCount val="5"/>
                <c:pt idx="0">
                  <c:v>Q 1</c:v>
                </c:pt>
                <c:pt idx="1">
                  <c:v>Q 2</c:v>
                </c:pt>
                <c:pt idx="2">
                  <c:v>Q 3</c:v>
                </c:pt>
                <c:pt idx="3">
                  <c:v>Period 10</c:v>
                </c:pt>
                <c:pt idx="4">
                  <c:v>Q 4</c:v>
                </c:pt>
              </c:strCache>
            </c:strRef>
          </c:cat>
          <c:val>
            <c:numRef>
              <c:f>Sheet1!$B$2:$B$6</c:f>
              <c:numCache>
                <c:formatCode>0.000</c:formatCode>
                <c:ptCount val="5"/>
                <c:pt idx="0">
                  <c:v>10.538</c:v>
                </c:pt>
                <c:pt idx="1">
                  <c:v>10.538</c:v>
                </c:pt>
                <c:pt idx="2">
                  <c:v>10.538</c:v>
                </c:pt>
                <c:pt idx="3">
                  <c:v>10.538</c:v>
                </c:pt>
                <c:pt idx="4">
                  <c:v>10.538</c:v>
                </c:pt>
              </c:numCache>
            </c:numRef>
          </c:val>
          <c:smooth val="0"/>
        </c:ser>
        <c:ser>
          <c:idx val="1"/>
          <c:order val="1"/>
          <c:tx>
            <c:strRef>
              <c:f>Sheet1!$C$1</c:f>
              <c:strCache>
                <c:ptCount val="1"/>
                <c:pt idx="0">
                  <c:v>Original Budget Plus C/F from 2016/17</c:v>
                </c:pt>
              </c:strCache>
            </c:strRef>
          </c:tx>
          <c:marker>
            <c:symbol val="square"/>
            <c:size val="5"/>
          </c:marker>
          <c:cat>
            <c:strRef>
              <c:f>Sheet1!$A$2:$A$6</c:f>
              <c:strCache>
                <c:ptCount val="5"/>
                <c:pt idx="0">
                  <c:v>Q 1</c:v>
                </c:pt>
                <c:pt idx="1">
                  <c:v>Q 2</c:v>
                </c:pt>
                <c:pt idx="2">
                  <c:v>Q 3</c:v>
                </c:pt>
                <c:pt idx="3">
                  <c:v>Period 10</c:v>
                </c:pt>
                <c:pt idx="4">
                  <c:v>Q 4</c:v>
                </c:pt>
              </c:strCache>
            </c:strRef>
          </c:cat>
          <c:val>
            <c:numRef>
              <c:f>Sheet1!$C$2:$C$6</c:f>
              <c:numCache>
                <c:formatCode>0.000</c:formatCode>
                <c:ptCount val="5"/>
                <c:pt idx="0">
                  <c:v>10.827</c:v>
                </c:pt>
                <c:pt idx="1">
                  <c:v>10.827</c:v>
                </c:pt>
                <c:pt idx="2">
                  <c:v>10.827</c:v>
                </c:pt>
                <c:pt idx="3">
                  <c:v>10.827</c:v>
                </c:pt>
                <c:pt idx="4">
                  <c:v>10.827</c:v>
                </c:pt>
              </c:numCache>
            </c:numRef>
          </c:val>
          <c:smooth val="0"/>
        </c:ser>
        <c:ser>
          <c:idx val="2"/>
          <c:order val="2"/>
          <c:tx>
            <c:strRef>
              <c:f>Sheet1!$D$1</c:f>
              <c:strCache>
                <c:ptCount val="1"/>
                <c:pt idx="0">
                  <c:v>Latest Approved Budget</c:v>
                </c:pt>
              </c:strCache>
            </c:strRef>
          </c:tx>
          <c:marker>
            <c:symbol val="square"/>
            <c:size val="5"/>
          </c:marker>
          <c:cat>
            <c:strRef>
              <c:f>Sheet1!$A$2:$A$6</c:f>
              <c:strCache>
                <c:ptCount val="5"/>
                <c:pt idx="0">
                  <c:v>Q 1</c:v>
                </c:pt>
                <c:pt idx="1">
                  <c:v>Q 2</c:v>
                </c:pt>
                <c:pt idx="2">
                  <c:v>Q 3</c:v>
                </c:pt>
                <c:pt idx="3">
                  <c:v>Period 10</c:v>
                </c:pt>
                <c:pt idx="4">
                  <c:v>Q 4</c:v>
                </c:pt>
              </c:strCache>
            </c:strRef>
          </c:cat>
          <c:val>
            <c:numRef>
              <c:f>Sheet1!$D$2:$D$6</c:f>
              <c:numCache>
                <c:formatCode>0.000</c:formatCode>
                <c:ptCount val="5"/>
                <c:pt idx="0">
                  <c:v>10.827</c:v>
                </c:pt>
                <c:pt idx="1">
                  <c:v>10.932</c:v>
                </c:pt>
                <c:pt idx="2">
                  <c:v>11.061999999999999</c:v>
                </c:pt>
                <c:pt idx="3">
                  <c:v>10.95</c:v>
                </c:pt>
                <c:pt idx="4">
                  <c:v>10.95</c:v>
                </c:pt>
              </c:numCache>
            </c:numRef>
          </c:val>
          <c:smooth val="0"/>
        </c:ser>
        <c:ser>
          <c:idx val="3"/>
          <c:order val="3"/>
          <c:tx>
            <c:strRef>
              <c:f>Sheet1!$E$1</c:f>
              <c:strCache>
                <c:ptCount val="1"/>
                <c:pt idx="0">
                  <c:v>Forecast Outturn </c:v>
                </c:pt>
              </c:strCache>
            </c:strRef>
          </c:tx>
          <c:marker>
            <c:symbol val="diamond"/>
            <c:size val="5"/>
          </c:marker>
          <c:cat>
            <c:strRef>
              <c:f>Sheet1!$A$2:$A$6</c:f>
              <c:strCache>
                <c:ptCount val="5"/>
                <c:pt idx="0">
                  <c:v>Q 1</c:v>
                </c:pt>
                <c:pt idx="1">
                  <c:v>Q 2</c:v>
                </c:pt>
                <c:pt idx="2">
                  <c:v>Q 3</c:v>
                </c:pt>
                <c:pt idx="3">
                  <c:v>Period 10</c:v>
                </c:pt>
                <c:pt idx="4">
                  <c:v>Q 4</c:v>
                </c:pt>
              </c:strCache>
            </c:strRef>
          </c:cat>
          <c:val>
            <c:numRef>
              <c:f>Sheet1!$E$2:$E$6</c:f>
              <c:numCache>
                <c:formatCode>0.000</c:formatCode>
                <c:ptCount val="5"/>
                <c:pt idx="0">
                  <c:v>10.932</c:v>
                </c:pt>
                <c:pt idx="1">
                  <c:v>11.061999999999999</c:v>
                </c:pt>
                <c:pt idx="2">
                  <c:v>10.95</c:v>
                </c:pt>
                <c:pt idx="3">
                  <c:v>10.768000000000001</c:v>
                </c:pt>
                <c:pt idx="4">
                  <c:v>10.768000000000001</c:v>
                </c:pt>
              </c:numCache>
            </c:numRef>
          </c:val>
          <c:smooth val="0"/>
        </c:ser>
        <c:dLbls>
          <c:showLegendKey val="0"/>
          <c:showVal val="0"/>
          <c:showCatName val="0"/>
          <c:showSerName val="0"/>
          <c:showPercent val="0"/>
          <c:showBubbleSize val="0"/>
        </c:dLbls>
        <c:marker val="1"/>
        <c:smooth val="0"/>
        <c:axId val="51014656"/>
        <c:axId val="105230272"/>
      </c:lineChart>
      <c:catAx>
        <c:axId val="51014656"/>
        <c:scaling>
          <c:orientation val="minMax"/>
        </c:scaling>
        <c:delete val="0"/>
        <c:axPos val="b"/>
        <c:majorTickMark val="out"/>
        <c:minorTickMark val="none"/>
        <c:tickLblPos val="nextTo"/>
        <c:crossAx val="105230272"/>
        <c:crosses val="autoZero"/>
        <c:auto val="1"/>
        <c:lblAlgn val="ctr"/>
        <c:lblOffset val="100"/>
        <c:noMultiLvlLbl val="0"/>
      </c:catAx>
      <c:valAx>
        <c:axId val="105230272"/>
        <c:scaling>
          <c:orientation val="minMax"/>
        </c:scaling>
        <c:delete val="0"/>
        <c:axPos val="l"/>
        <c:majorGridlines/>
        <c:numFmt formatCode="0.000" sourceLinked="1"/>
        <c:majorTickMark val="out"/>
        <c:minorTickMark val="none"/>
        <c:tickLblPos val="nextTo"/>
        <c:crossAx val="51014656"/>
        <c:crosses val="autoZero"/>
        <c:crossBetween val="between"/>
        <c:majorUnit val="0.5"/>
        <c:minorUnit val="5.000000000000001E-2"/>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84572281086323"/>
          <c:y val="0.18422581829708651"/>
          <c:w val="0.56465065169389039"/>
          <c:h val="0.55814601355928395"/>
        </c:manualLayout>
      </c:layout>
      <c:barChart>
        <c:barDir val="col"/>
        <c:grouping val="clustered"/>
        <c:varyColors val="0"/>
        <c:ser>
          <c:idx val="0"/>
          <c:order val="0"/>
          <c:tx>
            <c:strRef>
              <c:f>Summary!$B$1</c:f>
              <c:strCache>
                <c:ptCount val="1"/>
                <c:pt idx="0">
                  <c:v>Outturn 2015/16</c:v>
                </c:pt>
              </c:strCache>
            </c:strRef>
          </c:tx>
          <c:invertIfNegative val="0"/>
          <c:cat>
            <c:strRef>
              <c:f>Summary!$A$2:$A$5</c:f>
              <c:strCache>
                <c:ptCount val="4"/>
                <c:pt idx="0">
                  <c:v>Sust Dev, Planning &amp; Transport</c:v>
                </c:pt>
                <c:pt idx="1">
                  <c:v>Gen Pub Services &amp; Com Safety</c:v>
                </c:pt>
                <c:pt idx="2">
                  <c:v>Leisure, Wellbeing &amp; Health</c:v>
                </c:pt>
                <c:pt idx="3">
                  <c:v>Policy &amp; Resources</c:v>
                </c:pt>
              </c:strCache>
            </c:strRef>
          </c:cat>
          <c:val>
            <c:numRef>
              <c:f>Summary!$B$2:$B$5</c:f>
              <c:numCache>
                <c:formatCode>#,##0_ ;[Red]\-#,##0\ </c:formatCode>
                <c:ptCount val="4"/>
                <c:pt idx="0">
                  <c:v>1589.8041900000003</c:v>
                </c:pt>
                <c:pt idx="1">
                  <c:v>2490.1853100000003</c:v>
                </c:pt>
                <c:pt idx="2">
                  <c:v>2197.4738000000002</c:v>
                </c:pt>
                <c:pt idx="3">
                  <c:v>4815.294269999994</c:v>
                </c:pt>
              </c:numCache>
            </c:numRef>
          </c:val>
        </c:ser>
        <c:ser>
          <c:idx val="1"/>
          <c:order val="1"/>
          <c:tx>
            <c:strRef>
              <c:f>Summary!$C$1</c:f>
              <c:strCache>
                <c:ptCount val="1"/>
                <c:pt idx="0">
                  <c:v>Outturn 2016/17</c:v>
                </c:pt>
              </c:strCache>
            </c:strRef>
          </c:tx>
          <c:invertIfNegative val="0"/>
          <c:cat>
            <c:strRef>
              <c:f>Summary!$A$2:$A$5</c:f>
              <c:strCache>
                <c:ptCount val="4"/>
                <c:pt idx="0">
                  <c:v>Sust Dev, Planning &amp; Transport</c:v>
                </c:pt>
                <c:pt idx="1">
                  <c:v>Gen Pub Services &amp; Com Safety</c:v>
                </c:pt>
                <c:pt idx="2">
                  <c:v>Leisure, Wellbeing &amp; Health</c:v>
                </c:pt>
                <c:pt idx="3">
                  <c:v>Policy &amp; Resources</c:v>
                </c:pt>
              </c:strCache>
            </c:strRef>
          </c:cat>
          <c:val>
            <c:numRef>
              <c:f>Summary!$C$2:$C$5</c:f>
              <c:numCache>
                <c:formatCode>#,##0_ ;[Red]\-#,##0\ </c:formatCode>
                <c:ptCount val="4"/>
                <c:pt idx="0">
                  <c:v>1944.63</c:v>
                </c:pt>
                <c:pt idx="1">
                  <c:v>2054.9299999999998</c:v>
                </c:pt>
                <c:pt idx="2">
                  <c:v>2216.7600000000002</c:v>
                </c:pt>
                <c:pt idx="3">
                  <c:v>5396</c:v>
                </c:pt>
              </c:numCache>
            </c:numRef>
          </c:val>
        </c:ser>
        <c:ser>
          <c:idx val="2"/>
          <c:order val="2"/>
          <c:tx>
            <c:strRef>
              <c:f>Summary!$D$1</c:f>
              <c:strCache>
                <c:ptCount val="1"/>
                <c:pt idx="0">
                  <c:v>2017/18 Forecast Outturn </c:v>
                </c:pt>
              </c:strCache>
            </c:strRef>
          </c:tx>
          <c:invertIfNegative val="0"/>
          <c:cat>
            <c:strRef>
              <c:f>Summary!$A$2:$A$5</c:f>
              <c:strCache>
                <c:ptCount val="4"/>
                <c:pt idx="0">
                  <c:v>Sust Dev, Planning &amp; Transport</c:v>
                </c:pt>
                <c:pt idx="1">
                  <c:v>Gen Pub Services &amp; Com Safety</c:v>
                </c:pt>
                <c:pt idx="2">
                  <c:v>Leisure, Wellbeing &amp; Health</c:v>
                </c:pt>
                <c:pt idx="3">
                  <c:v>Policy &amp; Resources</c:v>
                </c:pt>
              </c:strCache>
            </c:strRef>
          </c:cat>
          <c:val>
            <c:numRef>
              <c:f>Summary!$D$2:$D$5</c:f>
              <c:numCache>
                <c:formatCode>#,##0_ ;[Red]\-#,##0\ </c:formatCode>
                <c:ptCount val="4"/>
                <c:pt idx="0">
                  <c:v>1826</c:v>
                </c:pt>
                <c:pt idx="1">
                  <c:v>1690</c:v>
                </c:pt>
                <c:pt idx="2">
                  <c:v>2143</c:v>
                </c:pt>
                <c:pt idx="3">
                  <c:v>5082</c:v>
                </c:pt>
              </c:numCache>
            </c:numRef>
          </c:val>
        </c:ser>
        <c:dLbls>
          <c:showLegendKey val="0"/>
          <c:showVal val="0"/>
          <c:showCatName val="0"/>
          <c:showSerName val="0"/>
          <c:showPercent val="0"/>
          <c:showBubbleSize val="0"/>
        </c:dLbls>
        <c:gapWidth val="150"/>
        <c:axId val="131372032"/>
        <c:axId val="105232576"/>
      </c:barChart>
      <c:catAx>
        <c:axId val="131372032"/>
        <c:scaling>
          <c:orientation val="minMax"/>
        </c:scaling>
        <c:delete val="0"/>
        <c:axPos val="b"/>
        <c:majorTickMark val="out"/>
        <c:minorTickMark val="none"/>
        <c:tickLblPos val="nextTo"/>
        <c:crossAx val="105232576"/>
        <c:crosses val="autoZero"/>
        <c:auto val="1"/>
        <c:lblAlgn val="ctr"/>
        <c:lblOffset val="100"/>
        <c:noMultiLvlLbl val="0"/>
      </c:catAx>
      <c:valAx>
        <c:axId val="105232576"/>
        <c:scaling>
          <c:orientation val="minMax"/>
        </c:scaling>
        <c:delete val="0"/>
        <c:axPos val="l"/>
        <c:majorGridlines/>
        <c:title>
          <c:tx>
            <c:rich>
              <a:bodyPr rot="-5400000" vert="horz"/>
              <a:lstStyle/>
              <a:p>
                <a:pPr>
                  <a:defRPr/>
                </a:pPr>
                <a:r>
                  <a:rPr lang="en-GB"/>
                  <a:t>£'millions</a:t>
                </a:r>
                <a:r>
                  <a:rPr lang="en-GB" baseline="0"/>
                  <a:t> </a:t>
                </a:r>
              </a:p>
              <a:p>
                <a:pPr>
                  <a:defRPr/>
                </a:pPr>
                <a:endParaRPr lang="en-GB"/>
              </a:p>
            </c:rich>
          </c:tx>
          <c:overlay val="0"/>
        </c:title>
        <c:numFmt formatCode="#,##0_ ;[Red]\-#,##0\ " sourceLinked="1"/>
        <c:majorTickMark val="out"/>
        <c:minorTickMark val="none"/>
        <c:tickLblPos val="nextTo"/>
        <c:crossAx val="131372032"/>
        <c:crosses val="autoZero"/>
        <c:crossBetween val="between"/>
        <c:dispUnits>
          <c:builtInUnit val="thousands"/>
        </c:dispUnits>
      </c:valAx>
    </c:plotArea>
    <c:legend>
      <c:legendPos val="r"/>
      <c:layout>
        <c:manualLayout>
          <c:xMode val="edge"/>
          <c:yMode val="edge"/>
          <c:x val="0.76439049920229851"/>
          <c:y val="0.18601249827951874"/>
          <c:w val="0.22121744340021232"/>
          <c:h val="0.49834977692854016"/>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Sources</a:t>
            </a:r>
            <a:r>
              <a:rPr lang="en-US" baseline="0"/>
              <a:t> of Income 2017/18</a:t>
            </a:r>
          </a:p>
          <a:p>
            <a:pPr>
              <a:defRPr/>
            </a:pPr>
            <a:endParaRPr lang="en-U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757789535567313"/>
          <c:y val="0.28146744100426363"/>
          <c:w val="0.81388888888888888"/>
          <c:h val="0.64767096821230674"/>
        </c:manualLayout>
      </c:layout>
      <c:pie3DChart>
        <c:varyColors val="1"/>
        <c:ser>
          <c:idx val="0"/>
          <c:order val="0"/>
          <c:explosion val="14"/>
          <c:dLbls>
            <c:dLbl>
              <c:idx val="0"/>
              <c:layout>
                <c:manualLayout>
                  <c:x val="0.20268179217982368"/>
                  <c:y val="-3.4153609586680456E-2"/>
                </c:manualLayout>
              </c:layout>
              <c:showLegendKey val="0"/>
              <c:showVal val="0"/>
              <c:showCatName val="1"/>
              <c:showSerName val="0"/>
              <c:showPercent val="1"/>
              <c:showBubbleSize val="0"/>
            </c:dLbl>
            <c:dLbl>
              <c:idx val="1"/>
              <c:layout>
                <c:manualLayout>
                  <c:x val="-9.7489736859815608E-3"/>
                  <c:y val="-9.5410800922611921E-2"/>
                </c:manualLayout>
              </c:layout>
              <c:showLegendKey val="0"/>
              <c:showVal val="0"/>
              <c:showCatName val="1"/>
              <c:showSerName val="0"/>
              <c:showPercent val="1"/>
              <c:showBubbleSize val="0"/>
            </c:dLbl>
            <c:dLbl>
              <c:idx val="2"/>
              <c:layout>
                <c:manualLayout>
                  <c:x val="4.0009723782790781E-2"/>
                  <c:y val="3.9863293684034282E-2"/>
                </c:manualLayout>
              </c:layout>
              <c:showLegendKey val="0"/>
              <c:showVal val="0"/>
              <c:showCatName val="1"/>
              <c:showSerName val="0"/>
              <c:showPercent val="1"/>
              <c:showBubbleSize val="0"/>
            </c:dLbl>
            <c:dLbl>
              <c:idx val="3"/>
              <c:layout>
                <c:manualLayout>
                  <c:x val="4.0246315364425599E-2"/>
                  <c:y val="-3.0106842705269138E-3"/>
                </c:manualLayout>
              </c:layout>
              <c:showLegendKey val="0"/>
              <c:showVal val="0"/>
              <c:showCatName val="1"/>
              <c:showSerName val="0"/>
              <c:showPercent val="1"/>
              <c:showBubbleSize val="0"/>
            </c:dLbl>
            <c:dLbl>
              <c:idx val="4"/>
              <c:layout>
                <c:manualLayout>
                  <c:x val="-8.0959014738542293E-2"/>
                  <c:y val="-8.5627667753652006E-2"/>
                </c:manualLayout>
              </c:layout>
              <c:showLegendKey val="0"/>
              <c:showVal val="0"/>
              <c:showCatName val="1"/>
              <c:showSerName val="0"/>
              <c:showPercent val="1"/>
              <c:showBubbleSize val="0"/>
            </c:dLbl>
            <c:dLbl>
              <c:idx val="5"/>
              <c:layout>
                <c:manualLayout>
                  <c:x val="-2.493017699710613E-3"/>
                  <c:y val="-6.237227922267292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in Microsoft Word]Sheet1'!$H$4:$H$9</c:f>
              <c:strCache>
                <c:ptCount val="6"/>
                <c:pt idx="0">
                  <c:v>Revenue Support Grant</c:v>
                </c:pt>
                <c:pt idx="1">
                  <c:v>Council Tax</c:v>
                </c:pt>
                <c:pt idx="2">
                  <c:v>New Home Bonus</c:v>
                </c:pt>
                <c:pt idx="3">
                  <c:v>Business Rates</c:v>
                </c:pt>
                <c:pt idx="4">
                  <c:v>Commercial Rent</c:v>
                </c:pt>
                <c:pt idx="5">
                  <c:v>Fees and Charges</c:v>
                </c:pt>
              </c:strCache>
            </c:strRef>
          </c:cat>
          <c:val>
            <c:numRef>
              <c:f>'[Chart in Microsoft Word]Sheet1'!$I$4:$I$9</c:f>
              <c:numCache>
                <c:formatCode>#,##0_ ;[Red]\-#,##0\ </c:formatCode>
                <c:ptCount val="6"/>
                <c:pt idx="0">
                  <c:v>336055</c:v>
                </c:pt>
                <c:pt idx="1">
                  <c:v>8087472</c:v>
                </c:pt>
                <c:pt idx="2">
                  <c:v>793546</c:v>
                </c:pt>
                <c:pt idx="3">
                  <c:v>2361514</c:v>
                </c:pt>
                <c:pt idx="4">
                  <c:v>2078310</c:v>
                </c:pt>
                <c:pt idx="5">
                  <c:v>8223050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Council</a:t>
            </a:r>
            <a:r>
              <a:rPr lang="en-GB" sz="1100" baseline="0"/>
              <a:t> Tax Collection Rate </a:t>
            </a:r>
            <a:endParaRPr lang="en-GB" sz="11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623561477892183E-2"/>
          <c:y val="0.12410258950791772"/>
          <c:w val="0.7651774042361803"/>
          <c:h val="0.70499740462997706"/>
        </c:manualLayout>
      </c:layout>
      <c:bar3DChart>
        <c:barDir val="col"/>
        <c:grouping val="clustered"/>
        <c:varyColors val="0"/>
        <c:ser>
          <c:idx val="0"/>
          <c:order val="0"/>
          <c:tx>
            <c:strRef>
              <c:f>Sheet1!$B$3</c:f>
              <c:strCache>
                <c:ptCount val="1"/>
                <c:pt idx="0">
                  <c:v>% Target </c:v>
                </c:pt>
              </c:strCache>
            </c:strRef>
          </c:tx>
          <c:invertIfNegative val="0"/>
          <c:val>
            <c:numRef>
              <c:f>Sheet1!$C$3:$N$3</c:f>
              <c:numCache>
                <c:formatCode>0%</c:formatCode>
                <c:ptCount val="12"/>
                <c:pt idx="0">
                  <c:v>0.11326530612244898</c:v>
                </c:pt>
                <c:pt idx="1">
                  <c:v>0.21020408163265308</c:v>
                </c:pt>
                <c:pt idx="2">
                  <c:v>0.30510204081632653</c:v>
                </c:pt>
                <c:pt idx="3">
                  <c:v>0.4</c:v>
                </c:pt>
                <c:pt idx="4">
                  <c:v>0.4969387755102041</c:v>
                </c:pt>
                <c:pt idx="5">
                  <c:v>0.58979591836734691</c:v>
                </c:pt>
                <c:pt idx="6">
                  <c:v>0.69285714285714295</c:v>
                </c:pt>
                <c:pt idx="7">
                  <c:v>0.78979591836734697</c:v>
                </c:pt>
                <c:pt idx="8">
                  <c:v>0.87857142857142856</c:v>
                </c:pt>
                <c:pt idx="9">
                  <c:v>0.97959183673469385</c:v>
                </c:pt>
                <c:pt idx="10">
                  <c:v>0.98979591836734693</c:v>
                </c:pt>
                <c:pt idx="11">
                  <c:v>1</c:v>
                </c:pt>
              </c:numCache>
            </c:numRef>
          </c:val>
        </c:ser>
        <c:ser>
          <c:idx val="1"/>
          <c:order val="1"/>
          <c:tx>
            <c:strRef>
              <c:f>Sheet1!$B$6</c:f>
              <c:strCache>
                <c:ptCount val="1"/>
                <c:pt idx="0">
                  <c:v>% Actual </c:v>
                </c:pt>
              </c:strCache>
            </c:strRef>
          </c:tx>
          <c:invertIfNegative val="0"/>
          <c:val>
            <c:numRef>
              <c:f>Sheet1!$C$6:$N$6</c:f>
              <c:numCache>
                <c:formatCode>0%</c:formatCode>
                <c:ptCount val="12"/>
                <c:pt idx="0">
                  <c:v>0.1153061224489796</c:v>
                </c:pt>
                <c:pt idx="1">
                  <c:v>0.21428571428571427</c:v>
                </c:pt>
                <c:pt idx="2">
                  <c:v>0.31122448979591838</c:v>
                </c:pt>
                <c:pt idx="3">
                  <c:v>0.40714285714285714</c:v>
                </c:pt>
                <c:pt idx="4">
                  <c:v>0.50408163265306116</c:v>
                </c:pt>
                <c:pt idx="5">
                  <c:v>0.6010204081632653</c:v>
                </c:pt>
                <c:pt idx="6">
                  <c:v>0.7</c:v>
                </c:pt>
                <c:pt idx="7">
                  <c:v>0.79591836734693877</c:v>
                </c:pt>
                <c:pt idx="8">
                  <c:v>0.88775510204081631</c:v>
                </c:pt>
                <c:pt idx="9">
                  <c:v>0.98265306122448981</c:v>
                </c:pt>
                <c:pt idx="10">
                  <c:v>0</c:v>
                </c:pt>
                <c:pt idx="11">
                  <c:v>0</c:v>
                </c:pt>
              </c:numCache>
            </c:numRef>
          </c:val>
        </c:ser>
        <c:dLbls>
          <c:showLegendKey val="0"/>
          <c:showVal val="0"/>
          <c:showCatName val="0"/>
          <c:showSerName val="0"/>
          <c:showPercent val="0"/>
          <c:showBubbleSize val="0"/>
        </c:dLbls>
        <c:gapWidth val="150"/>
        <c:shape val="box"/>
        <c:axId val="131373056"/>
        <c:axId val="131007040"/>
        <c:axId val="0"/>
      </c:bar3DChart>
      <c:catAx>
        <c:axId val="131373056"/>
        <c:scaling>
          <c:orientation val="minMax"/>
        </c:scaling>
        <c:delete val="0"/>
        <c:axPos val="b"/>
        <c:title>
          <c:tx>
            <c:rich>
              <a:bodyPr/>
              <a:lstStyle/>
              <a:p>
                <a:pPr>
                  <a:defRPr/>
                </a:pPr>
                <a:r>
                  <a:rPr lang="en-GB"/>
                  <a:t>Month </a:t>
                </a:r>
              </a:p>
            </c:rich>
          </c:tx>
          <c:overlay val="0"/>
        </c:title>
        <c:majorTickMark val="out"/>
        <c:minorTickMark val="none"/>
        <c:tickLblPos val="nextTo"/>
        <c:crossAx val="131007040"/>
        <c:crosses val="autoZero"/>
        <c:auto val="1"/>
        <c:lblAlgn val="ctr"/>
        <c:lblOffset val="100"/>
        <c:noMultiLvlLbl val="0"/>
      </c:catAx>
      <c:valAx>
        <c:axId val="131007040"/>
        <c:scaling>
          <c:orientation val="minMax"/>
        </c:scaling>
        <c:delete val="0"/>
        <c:axPos val="l"/>
        <c:majorGridlines/>
        <c:numFmt formatCode="0%" sourceLinked="1"/>
        <c:majorTickMark val="out"/>
        <c:minorTickMark val="none"/>
        <c:tickLblPos val="nextTo"/>
        <c:crossAx val="1313730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 Business</a:t>
            </a:r>
            <a:r>
              <a:rPr lang="en-GB" sz="1200" baseline="0"/>
              <a:t> Rate Collection Rate</a:t>
            </a:r>
            <a:endParaRPr lang="en-GB"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Sheet1!$B$18</c:f>
              <c:strCache>
                <c:ptCount val="1"/>
                <c:pt idx="0">
                  <c:v>% Target </c:v>
                </c:pt>
              </c:strCache>
            </c:strRef>
          </c:tx>
          <c:invertIfNegative val="0"/>
          <c:val>
            <c:numRef>
              <c:f>Sheet1!$C$18:$N$18</c:f>
              <c:numCache>
                <c:formatCode>0%</c:formatCode>
                <c:ptCount val="12"/>
                <c:pt idx="0">
                  <c:v>0.13634986365013635</c:v>
                </c:pt>
                <c:pt idx="1">
                  <c:v>0.24340975659024341</c:v>
                </c:pt>
                <c:pt idx="2">
                  <c:v>0.33127966872033121</c:v>
                </c:pt>
                <c:pt idx="3">
                  <c:v>0.41914958085041915</c:v>
                </c:pt>
                <c:pt idx="4">
                  <c:v>0.50398949601050391</c:v>
                </c:pt>
                <c:pt idx="5">
                  <c:v>0.59387940612059387</c:v>
                </c:pt>
                <c:pt idx="6">
                  <c:v>0.68578931421068579</c:v>
                </c:pt>
                <c:pt idx="7">
                  <c:v>0.77971922028077967</c:v>
                </c:pt>
                <c:pt idx="8">
                  <c:v>0.86859913140086853</c:v>
                </c:pt>
                <c:pt idx="9">
                  <c:v>0.95949904050095947</c:v>
                </c:pt>
                <c:pt idx="10">
                  <c:v>0.98474901525098468</c:v>
                </c:pt>
                <c:pt idx="11">
                  <c:v>1</c:v>
                </c:pt>
              </c:numCache>
            </c:numRef>
          </c:val>
        </c:ser>
        <c:ser>
          <c:idx val="1"/>
          <c:order val="1"/>
          <c:tx>
            <c:strRef>
              <c:f>Sheet1!$B$20</c:f>
              <c:strCache>
                <c:ptCount val="1"/>
                <c:pt idx="0">
                  <c:v>% Actual </c:v>
                </c:pt>
              </c:strCache>
            </c:strRef>
          </c:tx>
          <c:invertIfNegative val="0"/>
          <c:val>
            <c:numRef>
              <c:f>Sheet1!$C$20:$N$20</c:f>
              <c:numCache>
                <c:formatCode>0%</c:formatCode>
                <c:ptCount val="12"/>
                <c:pt idx="0">
                  <c:v>0.16361983638016361</c:v>
                </c:pt>
                <c:pt idx="1">
                  <c:v>0.27471972528027472</c:v>
                </c:pt>
                <c:pt idx="2">
                  <c:v>0.35551964448035556</c:v>
                </c:pt>
                <c:pt idx="3">
                  <c:v>0.43631956368043634</c:v>
                </c:pt>
                <c:pt idx="4">
                  <c:v>0.51610948389051614</c:v>
                </c:pt>
                <c:pt idx="5">
                  <c:v>0.59185940814059179</c:v>
                </c:pt>
                <c:pt idx="6">
                  <c:v>0.68275931724068262</c:v>
                </c:pt>
                <c:pt idx="7">
                  <c:v>0.77466922533077465</c:v>
                </c:pt>
                <c:pt idx="8">
                  <c:v>0.85243914756085248</c:v>
                </c:pt>
                <c:pt idx="9">
                  <c:v>0.93626906373093621</c:v>
                </c:pt>
                <c:pt idx="10">
                  <c:v>0</c:v>
                </c:pt>
              </c:numCache>
            </c:numRef>
          </c:val>
        </c:ser>
        <c:dLbls>
          <c:showLegendKey val="0"/>
          <c:showVal val="0"/>
          <c:showCatName val="0"/>
          <c:showSerName val="0"/>
          <c:showPercent val="0"/>
          <c:showBubbleSize val="0"/>
        </c:dLbls>
        <c:gapWidth val="150"/>
        <c:shape val="box"/>
        <c:axId val="131372544"/>
        <c:axId val="105231424"/>
        <c:axId val="0"/>
      </c:bar3DChart>
      <c:catAx>
        <c:axId val="131372544"/>
        <c:scaling>
          <c:orientation val="minMax"/>
        </c:scaling>
        <c:delete val="0"/>
        <c:axPos val="b"/>
        <c:title>
          <c:tx>
            <c:rich>
              <a:bodyPr/>
              <a:lstStyle/>
              <a:p>
                <a:pPr>
                  <a:defRPr/>
                </a:pPr>
                <a:r>
                  <a:rPr lang="en-GB"/>
                  <a:t>Month</a:t>
                </a:r>
                <a:r>
                  <a:rPr lang="en-GB" baseline="0"/>
                  <a:t> </a:t>
                </a:r>
                <a:endParaRPr lang="en-GB"/>
              </a:p>
            </c:rich>
          </c:tx>
          <c:overlay val="0"/>
        </c:title>
        <c:majorTickMark val="none"/>
        <c:minorTickMark val="none"/>
        <c:tickLblPos val="nextTo"/>
        <c:crossAx val="105231424"/>
        <c:crosses val="autoZero"/>
        <c:auto val="1"/>
        <c:lblAlgn val="ctr"/>
        <c:lblOffset val="100"/>
        <c:noMultiLvlLbl val="0"/>
      </c:catAx>
      <c:valAx>
        <c:axId val="105231424"/>
        <c:scaling>
          <c:orientation val="minMax"/>
        </c:scaling>
        <c:delete val="0"/>
        <c:axPos val="l"/>
        <c:majorGridlines/>
        <c:numFmt formatCode="0%" sourceLinked="1"/>
        <c:majorTickMark val="none"/>
        <c:minorTickMark val="none"/>
        <c:tickLblPos val="nextTo"/>
        <c:crossAx val="1313725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1D15-CC4D-4C03-B4D0-40D887AA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Temitope Opeyemi</dc:creator>
  <cp:lastModifiedBy>Sarah Haythorpe</cp:lastModifiedBy>
  <cp:revision>3</cp:revision>
  <cp:lastPrinted>2018-02-23T14:59:00Z</cp:lastPrinted>
  <dcterms:created xsi:type="dcterms:W3CDTF">2018-02-28T13:54:00Z</dcterms:created>
  <dcterms:modified xsi:type="dcterms:W3CDTF">2018-02-28T15:42:00Z</dcterms:modified>
</cp:coreProperties>
</file>