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C" w:rsidRDefault="00DE754C" w:rsidP="00912E45">
      <w:pPr>
        <w:pStyle w:val="Heading1"/>
        <w:jc w:val="center"/>
        <w:rPr>
          <w:b/>
        </w:rPr>
      </w:pPr>
      <w:r w:rsidRPr="00912E45">
        <w:rPr>
          <w:b/>
        </w:rPr>
        <w:t>GENERAL PUBLIC SERVICES AND COMMUNITY SAFETY COMMITTEE</w:t>
      </w:r>
    </w:p>
    <w:p w:rsidR="00094495" w:rsidRPr="00094495" w:rsidRDefault="00094495" w:rsidP="00094495"/>
    <w:p w:rsidR="00BF34FA" w:rsidRDefault="00BF34FA" w:rsidP="00912E45">
      <w:pPr>
        <w:pStyle w:val="Heading1"/>
        <w:jc w:val="center"/>
        <w:rPr>
          <w:b/>
        </w:rPr>
      </w:pPr>
      <w:r w:rsidRPr="00912E45">
        <w:rPr>
          <w:b/>
        </w:rPr>
        <w:fldChar w:fldCharType="begin"/>
      </w:r>
      <w:r w:rsidRPr="00912E45">
        <w:rPr>
          <w:b/>
        </w:rPr>
        <w:instrText xml:space="preserve">  </w:instrText>
      </w:r>
      <w:r w:rsidRPr="00912E45">
        <w:rPr>
          <w:b/>
        </w:rPr>
        <w:fldChar w:fldCharType="end"/>
      </w:r>
      <w:r w:rsidRPr="00912E45">
        <w:rPr>
          <w:b/>
        </w:rPr>
        <w:fldChar w:fldCharType="begin"/>
      </w:r>
      <w:r w:rsidRPr="00912E45">
        <w:rPr>
          <w:b/>
        </w:rPr>
        <w:instrText xml:space="preserve">  </w:instrText>
      </w:r>
      <w:r w:rsidRPr="00912E45">
        <w:rPr>
          <w:b/>
        </w:rPr>
        <w:fldChar w:fldCharType="end"/>
      </w:r>
      <w:r w:rsidRPr="00912E45">
        <w:rPr>
          <w:b/>
        </w:rPr>
        <w:fldChar w:fldCharType="begin"/>
      </w:r>
      <w:r w:rsidRPr="00912E45">
        <w:rPr>
          <w:b/>
        </w:rPr>
        <w:instrText xml:space="preserve">  </w:instrText>
      </w:r>
      <w:r w:rsidRPr="00912E45">
        <w:rPr>
          <w:b/>
        </w:rPr>
        <w:fldChar w:fldCharType="end"/>
      </w:r>
      <w:r w:rsidR="008B4A5C" w:rsidRPr="00912E45">
        <w:rPr>
          <w:b/>
        </w:rPr>
        <w:t>8 MARCH 2018</w:t>
      </w:r>
    </w:p>
    <w:p w:rsidR="00094495" w:rsidRPr="00094495" w:rsidRDefault="00094495" w:rsidP="00094495"/>
    <w:p w:rsidR="00BF34FA" w:rsidRPr="00912E45" w:rsidRDefault="00BF34FA" w:rsidP="00912E45">
      <w:pPr>
        <w:pStyle w:val="Heading1"/>
        <w:jc w:val="center"/>
        <w:rPr>
          <w:b/>
        </w:rPr>
      </w:pPr>
      <w:r w:rsidRPr="00912E45">
        <w:rPr>
          <w:b/>
        </w:rPr>
        <w:t xml:space="preserve">PART </w:t>
      </w:r>
      <w:r w:rsidRPr="00912E45">
        <w:rPr>
          <w:b/>
        </w:rPr>
        <w:fldChar w:fldCharType="begin"/>
      </w:r>
      <w:r w:rsidRPr="00912E45">
        <w:rPr>
          <w:b/>
        </w:rPr>
        <w:instrText xml:space="preserve">  </w:instrText>
      </w:r>
      <w:r w:rsidRPr="00912E45">
        <w:rPr>
          <w:b/>
        </w:rPr>
        <w:fldChar w:fldCharType="end"/>
      </w:r>
      <w:r w:rsidRPr="00912E45">
        <w:rPr>
          <w:b/>
        </w:rPr>
        <w:t xml:space="preserve">I - </w:t>
      </w:r>
      <w:r w:rsidRPr="00912E45">
        <w:rPr>
          <w:b/>
        </w:rPr>
        <w:fldChar w:fldCharType="begin"/>
      </w:r>
      <w:r w:rsidRPr="00912E45">
        <w:rPr>
          <w:b/>
        </w:rPr>
        <w:instrText xml:space="preserve">  </w:instrText>
      </w:r>
      <w:r w:rsidRPr="00912E45">
        <w:rPr>
          <w:b/>
        </w:rPr>
        <w:fldChar w:fldCharType="end"/>
      </w:r>
      <w:r w:rsidRPr="00912E45">
        <w:rPr>
          <w:b/>
        </w:rPr>
        <w:t xml:space="preserve">DELEGATED </w:t>
      </w:r>
      <w:r w:rsidRPr="00912E45">
        <w:rPr>
          <w:b/>
        </w:rPr>
        <w:fldChar w:fldCharType="begin"/>
      </w:r>
      <w:r w:rsidRPr="00912E45">
        <w:rPr>
          <w:b/>
        </w:rPr>
        <w:instrText xml:space="preserve">  </w:instrText>
      </w:r>
      <w:r w:rsidRPr="00912E45">
        <w:rPr>
          <w:b/>
        </w:rPr>
        <w:fldChar w:fldCharType="end"/>
      </w:r>
    </w:p>
    <w:p w:rsidR="008B4A5C" w:rsidRDefault="00BF34FA" w:rsidP="008B4A5C">
      <w:pPr>
        <w:keepNext/>
        <w:ind w:left="1267" w:hanging="1267"/>
      </w:pPr>
      <w:r>
        <w:rPr>
          <w:b/>
        </w:rPr>
        <w:fldChar w:fldCharType="begin"/>
      </w:r>
      <w:r>
        <w:rPr>
          <w:b/>
        </w:rPr>
        <w:instrText xml:space="preserve">  </w:instrText>
      </w:r>
      <w:r>
        <w:rPr>
          <w:b/>
        </w:rPr>
        <w:fldChar w:fldCharType="end"/>
      </w:r>
      <w:r>
        <w:rPr>
          <w:b/>
        </w:rPr>
        <w:tab/>
      </w:r>
      <w:r>
        <w:rPr>
          <w:b/>
        </w:rPr>
        <w:fldChar w:fldCharType="begin"/>
      </w:r>
      <w:r>
        <w:rPr>
          <w:b/>
        </w:rPr>
        <w:instrText xml:space="preserve">  </w:instrText>
      </w:r>
      <w:r>
        <w:rPr>
          <w:b/>
        </w:rPr>
        <w:fldChar w:fldCharType="end"/>
      </w:r>
    </w:p>
    <w:p w:rsidR="008B4A5C" w:rsidRPr="00912E45" w:rsidRDefault="00246E3B" w:rsidP="00912E45">
      <w:pPr>
        <w:pStyle w:val="Heading1"/>
        <w:rPr>
          <w:b/>
        </w:rPr>
      </w:pPr>
      <w:r w:rsidRPr="00912E45">
        <w:rPr>
          <w:b/>
        </w:rPr>
        <w:t>10a.</w:t>
      </w:r>
      <w:r w:rsidRPr="00912E45">
        <w:rPr>
          <w:b/>
        </w:rPr>
        <w:tab/>
      </w:r>
      <w:r w:rsidR="008B4A5C" w:rsidRPr="00912E45">
        <w:rPr>
          <w:b/>
        </w:rPr>
        <w:t xml:space="preserve">PROPOSED ADDITIONS TO HIGHWAY AGENCY AGREEMENTS </w:t>
      </w:r>
    </w:p>
    <w:p w:rsidR="00BF34FA" w:rsidRDefault="00246E3B" w:rsidP="00246E3B">
      <w:pPr>
        <w:keepNext/>
        <w:tabs>
          <w:tab w:val="clear" w:pos="3420"/>
          <w:tab w:val="left" w:pos="851"/>
        </w:tabs>
        <w:ind w:left="1267" w:hanging="1267"/>
        <w:rPr>
          <w:b/>
          <w:i/>
          <w:color w:val="008000"/>
        </w:rPr>
      </w:pPr>
      <w:r>
        <w:tab/>
      </w:r>
      <w:r>
        <w:tab/>
      </w:r>
      <w:r w:rsidR="008B4A5C">
        <w:t>(DCES)</w:t>
      </w:r>
    </w:p>
    <w:p w:rsidR="00BF34FA" w:rsidRDefault="00BF34FA" w:rsidP="008B4A5C">
      <w:pPr>
        <w:keepNext/>
        <w:ind w:left="1267" w:hanging="1267"/>
      </w:pPr>
      <w:r>
        <w:rPr>
          <w:sz w:val="24"/>
        </w:rPr>
        <w:fldChar w:fldCharType="begin"/>
      </w:r>
      <w:r>
        <w:rPr>
          <w:sz w:val="24"/>
        </w:rPr>
        <w:instrText xml:space="preserve">  </w:instrText>
      </w:r>
      <w:r>
        <w:rPr>
          <w:sz w:val="24"/>
        </w:rPr>
        <w:fldChar w:fldCharType="end"/>
      </w:r>
      <w:r>
        <w:rPr>
          <w:sz w:val="24"/>
        </w:rPr>
        <w:tab/>
      </w:r>
    </w:p>
    <w:p w:rsidR="00BF34FA" w:rsidRPr="00912E45" w:rsidRDefault="00BF34FA" w:rsidP="00912E45">
      <w:pPr>
        <w:pStyle w:val="Heading1"/>
        <w:rPr>
          <w:b/>
        </w:rPr>
      </w:pPr>
      <w:r w:rsidRPr="00912E45">
        <w:rPr>
          <w:b/>
        </w:rPr>
        <w:t>1.</w:t>
      </w:r>
      <w:r w:rsidRPr="00912E45">
        <w:rPr>
          <w:b/>
        </w:rPr>
        <w:tab/>
        <w:t>Summary</w:t>
      </w:r>
    </w:p>
    <w:p w:rsidR="00BF34FA" w:rsidRDefault="00BF34FA">
      <w:pPr>
        <w:keepNext/>
        <w:ind w:left="1267" w:hanging="1267"/>
      </w:pPr>
    </w:p>
    <w:p w:rsidR="005A50AA" w:rsidRDefault="00912E45" w:rsidP="00912E45">
      <w:pPr>
        <w:pStyle w:val="Heading2"/>
        <w:ind w:left="1260" w:hanging="1260"/>
      </w:pPr>
      <w:r>
        <w:t>1.1</w:t>
      </w:r>
      <w:r>
        <w:tab/>
      </w:r>
      <w:r w:rsidR="00E4642B">
        <w:t>T</w:t>
      </w:r>
      <w:r w:rsidR="005A50AA">
        <w:t xml:space="preserve">his report proposes that the District Council enters into a new agency agreement with Hertfordshire County Council </w:t>
      </w:r>
      <w:r w:rsidR="00EF799B">
        <w:t xml:space="preserve">(HCC) </w:t>
      </w:r>
      <w:r w:rsidR="005A50AA">
        <w:t xml:space="preserve">to: </w:t>
      </w:r>
    </w:p>
    <w:p w:rsidR="005A50AA" w:rsidRDefault="005A50AA" w:rsidP="00912E45">
      <w:pPr>
        <w:pStyle w:val="Heading2"/>
        <w:numPr>
          <w:ilvl w:val="0"/>
          <w:numId w:val="5"/>
        </w:numPr>
      </w:pPr>
      <w:proofErr w:type="gramStart"/>
      <w:r>
        <w:t>enable</w:t>
      </w:r>
      <w:proofErr w:type="gramEnd"/>
      <w:r>
        <w:t xml:space="preserve"> the District Council to manage grass cutting on selected areas of highway verge, particularly roundabouts (in exchange for permission to place advertising on those area</w:t>
      </w:r>
      <w:r w:rsidR="00E4642B">
        <w:t>s</w:t>
      </w:r>
      <w:r w:rsidR="001F60AE">
        <w:t>)</w:t>
      </w:r>
      <w:r>
        <w:t xml:space="preserve">; </w:t>
      </w:r>
    </w:p>
    <w:p w:rsidR="005A50AA" w:rsidRDefault="005A50AA" w:rsidP="00912E45">
      <w:pPr>
        <w:pStyle w:val="Heading2"/>
        <w:numPr>
          <w:ilvl w:val="0"/>
          <w:numId w:val="5"/>
        </w:numPr>
      </w:pPr>
      <w:proofErr w:type="gramStart"/>
      <w:r>
        <w:t>to</w:t>
      </w:r>
      <w:proofErr w:type="gramEnd"/>
      <w:r>
        <w:t xml:space="preserve"> transfer the responsibility for killing highway weeds from the County Council to the District Council. </w:t>
      </w:r>
      <w:r>
        <w:fldChar w:fldCharType="begin"/>
      </w:r>
      <w:r>
        <w:instrText xml:space="preserve">  </w:instrText>
      </w:r>
      <w:r>
        <w:fldChar w:fldCharType="end"/>
      </w:r>
    </w:p>
    <w:p w:rsidR="001F0A13" w:rsidRDefault="005A50AA" w:rsidP="00912E45">
      <w:pPr>
        <w:pStyle w:val="Heading2"/>
        <w:numPr>
          <w:ilvl w:val="0"/>
          <w:numId w:val="5"/>
        </w:numPr>
      </w:pPr>
      <w:r>
        <w:t>to empower the District Council to carry out minor changes to the physical layout of highways that are adopted by the County Council (such as dropping kerbs, placing signs and bollards, or hardening verges), as well as potentially empowering the District Council to introduce different types of legal order to enhance its Parking Agency Agreement.</w:t>
      </w:r>
    </w:p>
    <w:p w:rsidR="00912E45" w:rsidRPr="00912E45" w:rsidRDefault="00912E45" w:rsidP="00912E45"/>
    <w:p w:rsidR="001F0A13" w:rsidRDefault="001F0A13" w:rsidP="00912E45">
      <w:pPr>
        <w:pStyle w:val="Heading2"/>
        <w:ind w:left="1134" w:hanging="1134"/>
      </w:pPr>
      <w:r>
        <w:t>1.2</w:t>
      </w:r>
      <w:r>
        <w:tab/>
        <w:t>The proposals for weed control are based on cost recovery with an additional 5% management fee.  The opportunity to advertise on HCC roundabouts in the future could potentially result in increased income to TRDC whilst the ability for the Council to carry out minor highway works would negate the need for formal approval from the HCC with a cost saving per application.</w:t>
      </w:r>
    </w:p>
    <w:p w:rsidR="00C13F91" w:rsidRDefault="00C13F91" w:rsidP="007038AD">
      <w:pPr>
        <w:ind w:left="1200" w:hanging="1200"/>
      </w:pPr>
    </w:p>
    <w:p w:rsidR="00C13F91" w:rsidRDefault="00C13F91" w:rsidP="00912E45">
      <w:pPr>
        <w:pStyle w:val="Heading2"/>
        <w:ind w:left="1134" w:hanging="1134"/>
      </w:pPr>
      <w:r>
        <w:t>1.3</w:t>
      </w:r>
      <w:r>
        <w:tab/>
        <w:t>The report is b</w:t>
      </w:r>
      <w:r w:rsidR="00E466A2">
        <w:t>r</w:t>
      </w:r>
      <w:r>
        <w:t>ought before this Committee due to the immediate requirement to determine the responsibility for weed control in TRDC from 1 April 2018.  Any agreement on weed control would then be captured in a letter to be sent to HCC, prior to the formal agreement of the Highways Agency Agreement.  Part of the proposals involve</w:t>
      </w:r>
      <w:r w:rsidR="00E466A2">
        <w:t>s</w:t>
      </w:r>
      <w:r>
        <w:t xml:space="preserve"> enabling TRDC to advertise on HCC roundabouts and to carry out minor highways works.  However, at this stage HCC would be agreeing they are elements of work TRDC could undertake with the final details and negotiation to form part of the Highways Agency Agreement, which would be presented to other relevant Committees as and when appropriate. </w:t>
      </w:r>
    </w:p>
    <w:p w:rsidR="001F0A13" w:rsidRDefault="001F0A13" w:rsidP="00246E3B">
      <w:pPr>
        <w:pStyle w:val="ListParagraph"/>
        <w:tabs>
          <w:tab w:val="clear" w:pos="1260"/>
          <w:tab w:val="left" w:pos="1134"/>
        </w:tabs>
        <w:ind w:left="360"/>
      </w:pPr>
    </w:p>
    <w:p w:rsidR="00BF34FA" w:rsidRPr="00912E45" w:rsidRDefault="00BF34FA" w:rsidP="00912E45">
      <w:pPr>
        <w:pStyle w:val="Heading1"/>
        <w:tabs>
          <w:tab w:val="clear" w:pos="1267"/>
          <w:tab w:val="left" w:pos="1134"/>
        </w:tabs>
        <w:rPr>
          <w:b/>
        </w:rPr>
      </w:pPr>
      <w:r w:rsidRPr="00912E45">
        <w:rPr>
          <w:b/>
        </w:rPr>
        <w:t>2.</w:t>
      </w:r>
      <w:r w:rsidRPr="00912E45">
        <w:rPr>
          <w:b/>
        </w:rPr>
        <w:tab/>
        <w:t>Details</w:t>
      </w:r>
    </w:p>
    <w:p w:rsidR="00BF34FA" w:rsidRDefault="00BF34FA">
      <w:pPr>
        <w:keepNext/>
        <w:ind w:left="1267" w:hanging="1267"/>
        <w:rPr>
          <w:b/>
          <w:u w:val="single"/>
        </w:rPr>
      </w:pPr>
    </w:p>
    <w:p w:rsidR="001B1615" w:rsidRDefault="00BF34FA" w:rsidP="00912E45">
      <w:pPr>
        <w:pStyle w:val="Heading2"/>
        <w:tabs>
          <w:tab w:val="clear" w:pos="1267"/>
          <w:tab w:val="left" w:pos="1134"/>
        </w:tabs>
        <w:ind w:left="1134" w:hanging="1134"/>
      </w:pPr>
      <w:r>
        <w:t>2.1</w:t>
      </w:r>
      <w:r>
        <w:tab/>
      </w:r>
      <w:r w:rsidR="001B1615">
        <w:t xml:space="preserve">The current general proposal is for a letter to be sent to HCC to agree the principle </w:t>
      </w:r>
      <w:r w:rsidR="006938EC">
        <w:t>via</w:t>
      </w:r>
      <w:r w:rsidR="001B1615">
        <w:t xml:space="preserve"> </w:t>
      </w:r>
      <w:r w:rsidR="006938EC">
        <w:t xml:space="preserve">a </w:t>
      </w:r>
      <w:r w:rsidR="001B1615">
        <w:t xml:space="preserve">revised version of the current Highways Agency Agreement for Parking Management </w:t>
      </w:r>
      <w:r w:rsidR="006938EC">
        <w:t xml:space="preserve">and this </w:t>
      </w:r>
      <w:r w:rsidR="001B1615">
        <w:t xml:space="preserve">will be agreed with HCC. This overall agreement is still under negotiation as to the detail </w:t>
      </w:r>
      <w:r w:rsidR="006938EC">
        <w:t xml:space="preserve">to go into a specification </w:t>
      </w:r>
      <w:r w:rsidR="001B1615">
        <w:t xml:space="preserve">and would be put to other committees as appropriate, but it is strongly based on existing agreements by HCC with other districts, which we understand are working well. This report is necessary because this committee has an overview of weed control on public roads. If the committee agrees that this can be progressed, a form of </w:t>
      </w:r>
      <w:r w:rsidR="00C44A1B">
        <w:t xml:space="preserve">contract </w:t>
      </w:r>
      <w:r w:rsidR="001B1615">
        <w:t xml:space="preserve">will be </w:t>
      </w:r>
      <w:r w:rsidR="00C44A1B">
        <w:t xml:space="preserve">entered into </w:t>
      </w:r>
      <w:r w:rsidR="001B1615">
        <w:t xml:space="preserve">with HCC by </w:t>
      </w:r>
      <w:r w:rsidR="00C44A1B">
        <w:t xml:space="preserve">way of </w:t>
      </w:r>
      <w:r w:rsidR="001B1615">
        <w:t xml:space="preserve">letter </w:t>
      </w:r>
      <w:r w:rsidR="00C44A1B">
        <w:t xml:space="preserve">and basic specification </w:t>
      </w:r>
      <w:r w:rsidR="001B1615">
        <w:t>ahead of the full agency agreement. This is necessary as HCC wishes to hand the weed control remit to TRDC before the next financial year, as the first weed treatment must be administered in April.</w:t>
      </w:r>
    </w:p>
    <w:p w:rsidR="001B1615" w:rsidRDefault="001B1615">
      <w:pPr>
        <w:ind w:left="1267" w:hanging="1267"/>
      </w:pPr>
    </w:p>
    <w:p w:rsidR="00320DB3" w:rsidRPr="00912E45" w:rsidRDefault="001B1615" w:rsidP="00912E45">
      <w:pPr>
        <w:pStyle w:val="Heading2"/>
        <w:tabs>
          <w:tab w:val="clear" w:pos="1267"/>
          <w:tab w:val="left" w:pos="1134"/>
        </w:tabs>
        <w:rPr>
          <w:i/>
        </w:rPr>
      </w:pPr>
      <w:r w:rsidRPr="00912E45">
        <w:rPr>
          <w:i/>
        </w:rPr>
        <w:tab/>
      </w:r>
      <w:r w:rsidR="00320DB3" w:rsidRPr="00912E45">
        <w:rPr>
          <w:i/>
        </w:rPr>
        <w:t>Weed Control</w:t>
      </w:r>
    </w:p>
    <w:p w:rsidR="00320DB3" w:rsidRDefault="00320DB3">
      <w:pPr>
        <w:ind w:left="1267" w:hanging="1267"/>
      </w:pPr>
    </w:p>
    <w:p w:rsidR="00320DB3" w:rsidRDefault="00320DB3" w:rsidP="00912E45">
      <w:pPr>
        <w:pStyle w:val="Heading2"/>
        <w:ind w:left="1260" w:hanging="1260"/>
      </w:pPr>
      <w:r>
        <w:lastRenderedPageBreak/>
        <w:t>2.2</w:t>
      </w:r>
      <w:r>
        <w:tab/>
        <w:t>The responsibility for highway weed control rests with Hertfordshire County Council but is carried out by every other Hertfordshire district because it is important to enable them to carry out their street cleansing duties.</w:t>
      </w:r>
      <w:r w:rsidR="00896A3E">
        <w:t xml:space="preserve"> </w:t>
      </w:r>
      <w:r w:rsidR="009B7359">
        <w:t>Historically</w:t>
      </w:r>
      <w:r w:rsidR="00896A3E">
        <w:t xml:space="preserve"> this formed part of the more general ‘verge maintenance’ category of highway agency agreements. All </w:t>
      </w:r>
      <w:r w:rsidR="00246E3B">
        <w:t>D</w:t>
      </w:r>
      <w:r w:rsidR="00896A3E">
        <w:t>istricts have a range of agency agreements with HCC enabling them to carry out such functions as Parking Management, Verge Maintenance and Highway Enhancement.</w:t>
      </w:r>
      <w:r w:rsidR="001B1615">
        <w:t xml:space="preserve"> One concern has been raised by officers and is set out in section 2.5</w:t>
      </w:r>
      <w:r w:rsidR="00C44A1B">
        <w:t xml:space="preserve"> below.</w:t>
      </w:r>
    </w:p>
    <w:p w:rsidR="00320DB3" w:rsidRDefault="00320DB3">
      <w:pPr>
        <w:ind w:left="1267" w:hanging="1267"/>
      </w:pPr>
    </w:p>
    <w:p w:rsidR="00320DB3" w:rsidRDefault="00320DB3" w:rsidP="00912E45">
      <w:pPr>
        <w:pStyle w:val="Heading2"/>
        <w:ind w:left="1260" w:hanging="1260"/>
      </w:pPr>
      <w:r>
        <w:t>2.3</w:t>
      </w:r>
      <w:r>
        <w:tab/>
      </w:r>
      <w:r w:rsidR="00E4642B">
        <w:t>Responsibility for weed control</w:t>
      </w:r>
      <w:r>
        <w:t xml:space="preserve"> was a function for which TRDC acted as managing agent on behalf of Hertfordshire County Council until 2015 when a meeting of this </w:t>
      </w:r>
      <w:r w:rsidR="00246E3B">
        <w:t>C</w:t>
      </w:r>
      <w:r>
        <w:t>ommittee determined that the function should be handed back to HCC as it was considered that the level of funding allocated by HCC was inadequate.</w:t>
      </w:r>
    </w:p>
    <w:p w:rsidR="00320DB3" w:rsidRDefault="00320DB3">
      <w:pPr>
        <w:ind w:left="1267" w:hanging="1267"/>
      </w:pPr>
    </w:p>
    <w:p w:rsidR="00896A3E" w:rsidRDefault="00320DB3" w:rsidP="00912E45">
      <w:pPr>
        <w:pStyle w:val="Heading2"/>
        <w:ind w:left="1260" w:hanging="1260"/>
      </w:pPr>
      <w:r>
        <w:t>2.4</w:t>
      </w:r>
      <w:r>
        <w:tab/>
      </w:r>
      <w:r w:rsidR="00633C5F">
        <w:t xml:space="preserve">Officers have secured agreement from HCC that the standard verge management agreement (which sets a </w:t>
      </w:r>
      <w:proofErr w:type="gramStart"/>
      <w:r w:rsidR="00633C5F">
        <w:t>Countywide</w:t>
      </w:r>
      <w:proofErr w:type="gramEnd"/>
      <w:r w:rsidR="00633C5F">
        <w:t xml:space="preserve"> specification for weed treatment that is used by all the other districts) will include </w:t>
      </w:r>
      <w:r w:rsidR="007976CF">
        <w:t>budget</w:t>
      </w:r>
      <w:r w:rsidR="00633C5F">
        <w:t xml:space="preserve"> for an addition</w:t>
      </w:r>
      <w:r w:rsidR="007976CF">
        <w:t>al third treatment</w:t>
      </w:r>
      <w:r w:rsidR="00633C5F">
        <w:t xml:space="preserve">.  HCC Officers confirmed that: </w:t>
      </w:r>
      <w:r w:rsidR="00633C5F" w:rsidRPr="00633C5F">
        <w:rPr>
          <w:i/>
        </w:rPr>
        <w:t>“budget provision has been made for an additional third weed treatment if necessary. Additional funding will be allocated to enable an extra treatment of highway weeds</w:t>
      </w:r>
      <w:r w:rsidR="00633C5F">
        <w:t>.”</w:t>
      </w:r>
    </w:p>
    <w:p w:rsidR="00896A3E" w:rsidRDefault="00896A3E">
      <w:pPr>
        <w:ind w:left="1267" w:hanging="1267"/>
      </w:pPr>
    </w:p>
    <w:p w:rsidR="00896A3E" w:rsidRDefault="00896A3E" w:rsidP="00912E45">
      <w:pPr>
        <w:pStyle w:val="Heading2"/>
        <w:ind w:left="1260" w:hanging="1260"/>
      </w:pPr>
      <w:r>
        <w:t>2.5</w:t>
      </w:r>
      <w:r>
        <w:tab/>
      </w:r>
      <w:r w:rsidR="00320DB3">
        <w:t xml:space="preserve">This means that TRDC would be able to carry out two </w:t>
      </w:r>
      <w:r>
        <w:t>treatments</w:t>
      </w:r>
      <w:r w:rsidR="00320DB3">
        <w:t xml:space="preserve"> </w:t>
      </w:r>
      <w:r w:rsidR="00633C5F">
        <w:t>with a third treatment for which HCC has guaranteed that a budget has been allocated. The use of this additional budget is however subject to agreement by HCC that the third treatment is “necessary”</w:t>
      </w:r>
      <w:r w:rsidR="007976CF">
        <w:t xml:space="preserve"> based on</w:t>
      </w:r>
      <w:r w:rsidR="00633C5F">
        <w:t xml:space="preserve"> the </w:t>
      </w:r>
      <w:r w:rsidR="007976CF">
        <w:t>effects of the weather on weed growth</w:t>
      </w:r>
      <w:r w:rsidR="00633C5F">
        <w:t xml:space="preserve">. </w:t>
      </w:r>
      <w:r w:rsidR="007976CF">
        <w:t xml:space="preserve">This decision is made in consultation with a District Officers Group. Generally, treatments are </w:t>
      </w:r>
      <w:r w:rsidR="00320DB3">
        <w:t>preferred at the start of the growing season and at the end of the season</w:t>
      </w:r>
      <w:r w:rsidR="007976CF">
        <w:t xml:space="preserve"> but the weed treatment regime under the former Highways Partnership between District and County required three treatments. Three treatments are</w:t>
      </w:r>
      <w:r>
        <w:t xml:space="preserve"> considered adequate by </w:t>
      </w:r>
      <w:r w:rsidR="007976CF">
        <w:t xml:space="preserve">District </w:t>
      </w:r>
      <w:r>
        <w:t>Officers to address the likely effects of weed growth.</w:t>
      </w:r>
      <w:r w:rsidR="007976CF">
        <w:t xml:space="preserve"> The final wording of the letter as a precursor to the agreement, which must require HCC to contribute £63,000 to cover three treatments, would be determined as set out in the recommendations by Officers in consultation with the relevant Lead Members.</w:t>
      </w:r>
    </w:p>
    <w:p w:rsidR="00896A3E" w:rsidRDefault="00896A3E">
      <w:pPr>
        <w:ind w:left="1267" w:hanging="1267"/>
      </w:pPr>
    </w:p>
    <w:p w:rsidR="00896A3E" w:rsidRPr="00C13F91" w:rsidRDefault="00246E3B" w:rsidP="00912E45">
      <w:pPr>
        <w:pStyle w:val="Heading2"/>
        <w:ind w:left="1260" w:hanging="1260"/>
        <w:rPr>
          <w:color w:val="000000" w:themeColor="text1"/>
          <w:szCs w:val="22"/>
        </w:rPr>
      </w:pPr>
      <w:r>
        <w:t>2.6</w:t>
      </w:r>
      <w:r>
        <w:tab/>
        <w:t>The C</w:t>
      </w:r>
      <w:r w:rsidR="00896A3E">
        <w:t>ommittee should note that this work is essential to the effectiveness of the District Council’s street cleansing regime; that District Council Officers consider that it has not been effectively carried out since the County Council t</w:t>
      </w:r>
      <w:r w:rsidR="00E4642B">
        <w:t>ook</w:t>
      </w:r>
      <w:r w:rsidR="00896A3E">
        <w:t xml:space="preserve"> back this service in 2015; and that the County Council is keen for all the districts to carry out this service because it is an important local service</w:t>
      </w:r>
      <w:r w:rsidR="00633C5F">
        <w:t xml:space="preserve"> that they are better </w:t>
      </w:r>
      <w:r w:rsidR="00633C5F" w:rsidRPr="00C13F91">
        <w:rPr>
          <w:color w:val="000000" w:themeColor="text1"/>
          <w:szCs w:val="22"/>
        </w:rPr>
        <w:t>placed to deliver.</w:t>
      </w:r>
    </w:p>
    <w:p w:rsidR="006938EC" w:rsidRPr="00C13F91" w:rsidRDefault="006938EC">
      <w:pPr>
        <w:ind w:left="1267" w:hanging="1267"/>
        <w:rPr>
          <w:color w:val="000000" w:themeColor="text1"/>
          <w:szCs w:val="22"/>
        </w:rPr>
      </w:pPr>
    </w:p>
    <w:p w:rsidR="006938EC" w:rsidRPr="00C13F91" w:rsidRDefault="006938EC" w:rsidP="00912E45">
      <w:pPr>
        <w:pStyle w:val="Heading2"/>
        <w:ind w:left="1260" w:hanging="1260"/>
        <w:rPr>
          <w:rFonts w:ascii="Times New Roman" w:hAnsi="Times New Roman"/>
        </w:rPr>
      </w:pPr>
      <w:r w:rsidRPr="00C13F91">
        <w:t>2.7</w:t>
      </w:r>
      <w:r w:rsidRPr="00C13F91">
        <w:tab/>
        <w:t>If the proposal is agreed the arrangement would commence from 1 April 2018 until further notice.  The new agency arrangement will be monitored by both parties and reviewed at the end of the common we</w:t>
      </w:r>
      <w:r w:rsidR="00246E3B">
        <w:t xml:space="preserve">ed treatment season in October </w:t>
      </w:r>
      <w:r w:rsidRPr="00C13F91">
        <w:t>2018.  Following such review either HCC or TRDC may terminate the arrangement in relation to the common weed control service by giving one month</w:t>
      </w:r>
      <w:r w:rsidR="00E466A2">
        <w:t>’</w:t>
      </w:r>
      <w:r w:rsidRPr="00C13F91">
        <w:t>s written notice of its intention to terminate within the next financial year 18/19.  The Highways Agency Agreement extends this period of notice but this Agreement would be presented to the relevant Committee in advance of its approval.</w:t>
      </w:r>
      <w:r w:rsidRPr="00C13F91">
        <w:rPr>
          <w:rFonts w:ascii="Times New Roman" w:hAnsi="Times New Roman"/>
        </w:rPr>
        <w:t xml:space="preserve"> </w:t>
      </w:r>
    </w:p>
    <w:p w:rsidR="00896A3E" w:rsidRDefault="00896A3E">
      <w:pPr>
        <w:ind w:left="1267" w:hanging="1267"/>
      </w:pPr>
    </w:p>
    <w:p w:rsidR="00896A3E" w:rsidRPr="0026051E" w:rsidRDefault="00896A3E" w:rsidP="00912E45">
      <w:pPr>
        <w:pStyle w:val="Heading2"/>
        <w:rPr>
          <w:u w:val="single"/>
        </w:rPr>
      </w:pPr>
      <w:r>
        <w:t>2.</w:t>
      </w:r>
      <w:r w:rsidR="006938EC">
        <w:t>8</w:t>
      </w:r>
      <w:r>
        <w:tab/>
      </w:r>
      <w:r w:rsidRPr="00246E3B">
        <w:t>Roundabout and grass verge advertising and maintenance</w:t>
      </w:r>
    </w:p>
    <w:p w:rsidR="00896A3E" w:rsidRDefault="00896A3E">
      <w:pPr>
        <w:ind w:left="1267" w:hanging="1267"/>
      </w:pPr>
    </w:p>
    <w:p w:rsidR="00896A3E" w:rsidRDefault="00896A3E" w:rsidP="00912E45">
      <w:pPr>
        <w:pStyle w:val="Heading2"/>
        <w:ind w:left="1260" w:hanging="1260"/>
      </w:pPr>
      <w:r>
        <w:t>2.</w:t>
      </w:r>
      <w:r w:rsidR="006938EC">
        <w:t>9</w:t>
      </w:r>
      <w:r>
        <w:tab/>
        <w:t xml:space="preserve">The details of this proposal have been presented in the past to the Policy </w:t>
      </w:r>
      <w:r w:rsidR="00246E3B">
        <w:t>and</w:t>
      </w:r>
      <w:r>
        <w:t xml:space="preserve"> Resources Committee, as this formed part of the wider project to introduce advertising on TRDC assets.</w:t>
      </w:r>
    </w:p>
    <w:p w:rsidR="00896A3E" w:rsidRDefault="00896A3E">
      <w:pPr>
        <w:ind w:left="1267" w:hanging="1267"/>
      </w:pPr>
    </w:p>
    <w:p w:rsidR="00896A3E" w:rsidRDefault="00896A3E" w:rsidP="00912E45">
      <w:pPr>
        <w:pStyle w:val="Heading2"/>
        <w:ind w:left="1260" w:hanging="1260"/>
      </w:pPr>
      <w:r>
        <w:lastRenderedPageBreak/>
        <w:t>2.</w:t>
      </w:r>
      <w:r w:rsidR="006938EC">
        <w:t>10</w:t>
      </w:r>
      <w:r>
        <w:tab/>
        <w:t>The proposed agency agreement would empower the district to take on maintenance of specific locations (usually roundabouts). These locations have not yet been formally agreed and would be assessed on a case-by-case basis to ensure that the income from any advertising revenue adequately covered any expenditure on maintenance</w:t>
      </w:r>
      <w:r w:rsidR="001F60AE">
        <w:t xml:space="preserve"> and generated a ‘profit’</w:t>
      </w:r>
      <w:r>
        <w:t xml:space="preserve">. </w:t>
      </w:r>
    </w:p>
    <w:p w:rsidR="00896A3E" w:rsidRDefault="00896A3E">
      <w:pPr>
        <w:ind w:left="1267" w:hanging="1267"/>
      </w:pPr>
    </w:p>
    <w:p w:rsidR="00896A3E" w:rsidRDefault="00896A3E" w:rsidP="00912E45">
      <w:pPr>
        <w:pStyle w:val="Heading2"/>
        <w:ind w:left="1260" w:hanging="1260"/>
      </w:pPr>
      <w:r>
        <w:t>2.1</w:t>
      </w:r>
      <w:r w:rsidR="006938EC">
        <w:t>1</w:t>
      </w:r>
      <w:r>
        <w:tab/>
        <w:t>For clarity, the committee should note that no part of the proposed agency agreements commits the District Council to maintain any highway verge or other part of the highway that is adopted by Hertfordshire County Council as highway maintainable at public expense.</w:t>
      </w:r>
    </w:p>
    <w:p w:rsidR="007E0A25" w:rsidRDefault="007E0A25">
      <w:pPr>
        <w:ind w:left="1267" w:hanging="1267"/>
      </w:pPr>
    </w:p>
    <w:p w:rsidR="007E0A25" w:rsidRPr="00912E45" w:rsidRDefault="007E0A25" w:rsidP="00912E45">
      <w:pPr>
        <w:pStyle w:val="Heading2"/>
        <w:rPr>
          <w:i/>
          <w:u w:val="single"/>
        </w:rPr>
      </w:pPr>
      <w:r w:rsidRPr="00912E45">
        <w:rPr>
          <w:i/>
        </w:rPr>
        <w:t>2.1</w:t>
      </w:r>
      <w:r w:rsidR="006938EC" w:rsidRPr="00912E45">
        <w:rPr>
          <w:i/>
        </w:rPr>
        <w:t>2</w:t>
      </w:r>
      <w:r w:rsidRPr="00912E45">
        <w:rPr>
          <w:i/>
        </w:rPr>
        <w:tab/>
        <w:t>Minor Highway Improvements</w:t>
      </w:r>
    </w:p>
    <w:p w:rsidR="007E0A25" w:rsidRDefault="007E0A25">
      <w:pPr>
        <w:ind w:left="1267" w:hanging="1267"/>
      </w:pPr>
    </w:p>
    <w:p w:rsidR="007E0A25" w:rsidRDefault="007E0A25" w:rsidP="00912E45">
      <w:pPr>
        <w:pStyle w:val="Heading2"/>
        <w:ind w:left="1260" w:hanging="1260"/>
      </w:pPr>
      <w:r>
        <w:t>2.1</w:t>
      </w:r>
      <w:r w:rsidR="006938EC">
        <w:t>3</w:t>
      </w:r>
      <w:r>
        <w:tab/>
        <w:t xml:space="preserve">This includes powers </w:t>
      </w:r>
      <w:r w:rsidR="00C44A1B">
        <w:t xml:space="preserve">(but not obligations) </w:t>
      </w:r>
      <w:r>
        <w:t xml:space="preserve">to deliver small improvements to highways, primarily to facilitate district parking and cycling schemes which require amendments such as dropped kerbs, verge hardening or signage, or road markings. These would all be carried out by agreement on a case-by-case basis with Hertfordshire County Council, as any proposal could have a range of impacts on public roads that could affect any of a number of different HCC Highways interests (such as road safety or traffic flow and congestion effects) for which HCC is responsible. </w:t>
      </w:r>
    </w:p>
    <w:p w:rsidR="007E0A25" w:rsidRDefault="007E0A25" w:rsidP="007E0A25">
      <w:pPr>
        <w:ind w:left="1267" w:hanging="1267"/>
      </w:pPr>
    </w:p>
    <w:p w:rsidR="007E0A25" w:rsidRDefault="007E0A25" w:rsidP="00912E45">
      <w:pPr>
        <w:pStyle w:val="Heading2"/>
        <w:ind w:left="1260" w:hanging="1260"/>
      </w:pPr>
      <w:r>
        <w:t>2.1</w:t>
      </w:r>
      <w:r w:rsidR="006938EC">
        <w:t>4</w:t>
      </w:r>
      <w:r>
        <w:tab/>
        <w:t xml:space="preserve">The benefit of this to the District Council is that it would be able to deliver a range of schemes affecting its land where it is adjacent </w:t>
      </w:r>
      <w:r w:rsidR="00E466A2">
        <w:t xml:space="preserve">to </w:t>
      </w:r>
      <w:r>
        <w:t>a highway, or on highway where it has a specific scheme such as a parking control scheme, at the same time as its own schemes, at a significant saving of cost and time compared with the current legal requirement for these works, which is for a specific agreement under section 278 of the Highways Act. This has been used over the last year at a cost of over £5,000 per application, for the approval alone.</w:t>
      </w:r>
    </w:p>
    <w:p w:rsidR="00BF34FA" w:rsidRDefault="00BF34FA">
      <w:pPr>
        <w:ind w:left="1267" w:hanging="1267"/>
      </w:pPr>
    </w:p>
    <w:p w:rsidR="00BF34FA" w:rsidRPr="00912E45" w:rsidRDefault="00BF34FA" w:rsidP="00912E45">
      <w:pPr>
        <w:pStyle w:val="Heading1"/>
        <w:rPr>
          <w:b/>
        </w:rPr>
      </w:pPr>
      <w:r w:rsidRPr="00912E45">
        <w:rPr>
          <w:b/>
        </w:rPr>
        <w:t>3.</w:t>
      </w:r>
      <w:r w:rsidRPr="00912E45">
        <w:rPr>
          <w:b/>
        </w:rPr>
        <w:tab/>
        <w:t>Options/Reasons for Recommendation</w:t>
      </w:r>
    </w:p>
    <w:p w:rsidR="00BF34FA" w:rsidRDefault="00BF34FA">
      <w:pPr>
        <w:keepNext/>
        <w:ind w:left="1267" w:hanging="1267"/>
      </w:pPr>
    </w:p>
    <w:p w:rsidR="00BF34FA" w:rsidRDefault="00BF34FA" w:rsidP="00912E45">
      <w:pPr>
        <w:pStyle w:val="Heading2"/>
        <w:ind w:left="1260" w:hanging="1260"/>
        <w:rPr>
          <w:b/>
          <w:i/>
          <w:color w:val="008000"/>
        </w:rPr>
      </w:pPr>
      <w:r>
        <w:t>3.1</w:t>
      </w:r>
      <w:r>
        <w:tab/>
      </w:r>
      <w:r>
        <w:fldChar w:fldCharType="begin"/>
      </w:r>
      <w:r>
        <w:instrText xml:space="preserve">  </w:instrText>
      </w:r>
      <w:r>
        <w:fldChar w:fldCharType="end"/>
      </w:r>
      <w:r w:rsidR="009A2204">
        <w:t>This is necessary to enable the District Council to start its minor works (without the standard high fees) and highway advertising proposals; and to enable the effective treatment of weeds to start this year.</w:t>
      </w:r>
    </w:p>
    <w:p w:rsidR="00BF34FA" w:rsidRDefault="00BF34FA">
      <w:pPr>
        <w:ind w:left="1267" w:hanging="1267"/>
      </w:pPr>
    </w:p>
    <w:p w:rsidR="00BF34FA" w:rsidRPr="00912E45" w:rsidRDefault="00BF34FA" w:rsidP="00912E45">
      <w:pPr>
        <w:pStyle w:val="Heading1"/>
        <w:rPr>
          <w:b/>
        </w:rPr>
      </w:pPr>
      <w:r w:rsidRPr="00912E45">
        <w:rPr>
          <w:b/>
        </w:rPr>
        <w:t>4.</w:t>
      </w:r>
      <w:r w:rsidRPr="00912E45">
        <w:rPr>
          <w:b/>
        </w:rPr>
        <w:tab/>
        <w:t>Policy/Budget Reference and Implications</w:t>
      </w:r>
    </w:p>
    <w:p w:rsidR="00BF34FA" w:rsidRDefault="00BF34FA">
      <w:pPr>
        <w:keepNext/>
        <w:ind w:left="1267" w:hanging="1267"/>
      </w:pPr>
    </w:p>
    <w:p w:rsidR="00BF34FA" w:rsidRDefault="00A06858" w:rsidP="00912E45">
      <w:pPr>
        <w:pStyle w:val="Heading2"/>
      </w:pPr>
      <w:r w:rsidRPr="00A06858">
        <w:t>4.1</w:t>
      </w:r>
      <w:r w:rsidRPr="00A06858">
        <w:tab/>
        <w:t>There are no policy or budget implications to this recommendation.</w:t>
      </w:r>
    </w:p>
    <w:p w:rsidR="00A06858" w:rsidRDefault="00A06858">
      <w:pPr>
        <w:ind w:left="1267" w:hanging="1267"/>
      </w:pPr>
    </w:p>
    <w:p w:rsidR="00BF34FA" w:rsidRPr="00912E45" w:rsidRDefault="00BF34FA" w:rsidP="00912E45">
      <w:pPr>
        <w:pStyle w:val="Heading2"/>
        <w:rPr>
          <w:b/>
        </w:rPr>
      </w:pPr>
      <w:r w:rsidRPr="00912E45">
        <w:rPr>
          <w:b/>
        </w:rPr>
        <w:t>5.</w:t>
      </w:r>
      <w:r w:rsidRPr="00912E45">
        <w:rPr>
          <w:b/>
        </w:rPr>
        <w:tab/>
        <w:t>Financial Implications</w:t>
      </w:r>
    </w:p>
    <w:p w:rsidR="00BF34FA" w:rsidRDefault="00BF34FA">
      <w:pPr>
        <w:keepNext/>
        <w:ind w:left="1267" w:hanging="1267"/>
      </w:pPr>
    </w:p>
    <w:p w:rsidR="00BF34FA" w:rsidRDefault="00BF34FA" w:rsidP="00912E45">
      <w:pPr>
        <w:pStyle w:val="Heading2"/>
        <w:ind w:left="1260" w:hanging="1260"/>
      </w:pPr>
      <w:r>
        <w:t>5.1</w:t>
      </w:r>
      <w:r>
        <w:rPr>
          <w:i/>
        </w:rPr>
        <w:tab/>
      </w:r>
      <w:r w:rsidR="00A06858">
        <w:t xml:space="preserve">There are no financial implications because the powers for highway works and verge maintenance on advertising sites are effectively optional for the District Council; and there is no budget required for weed treatment which will </w:t>
      </w:r>
      <w:r w:rsidR="00E466A2">
        <w:t xml:space="preserve">be </w:t>
      </w:r>
      <w:r w:rsidR="00A06858">
        <w:t>recharged to HCC</w:t>
      </w:r>
      <w:r w:rsidR="007038AD">
        <w:t>.</w:t>
      </w:r>
      <w:r w:rsidR="00A06858">
        <w:t xml:space="preserve"> </w:t>
      </w:r>
      <w:r w:rsidR="007038AD">
        <w:t xml:space="preserve"> I</w:t>
      </w:r>
      <w:r w:rsidR="00A06858">
        <w:t>nvoic</w:t>
      </w:r>
      <w:r w:rsidR="007038AD">
        <w:t xml:space="preserve">es to HCC will be issued immediately following the District paying the supplier.  </w:t>
      </w:r>
      <w:r>
        <w:fldChar w:fldCharType="begin"/>
      </w:r>
      <w:r>
        <w:instrText xml:space="preserve">  </w:instrText>
      </w:r>
      <w:r>
        <w:fldChar w:fldCharType="end"/>
      </w:r>
    </w:p>
    <w:p w:rsidR="007038AD" w:rsidRDefault="007038AD" w:rsidP="00A06858">
      <w:pPr>
        <w:tabs>
          <w:tab w:val="left" w:pos="3330"/>
        </w:tabs>
        <w:ind w:left="1267" w:hanging="1267"/>
      </w:pPr>
    </w:p>
    <w:p w:rsidR="00BF34FA" w:rsidRPr="00912E45" w:rsidRDefault="00BF34FA" w:rsidP="00912E45">
      <w:pPr>
        <w:pStyle w:val="Heading1"/>
        <w:rPr>
          <w:b/>
        </w:rPr>
      </w:pPr>
      <w:r w:rsidRPr="00912E45">
        <w:rPr>
          <w:b/>
        </w:rPr>
        <w:t>6.</w:t>
      </w:r>
      <w:r w:rsidRPr="00912E45">
        <w:rPr>
          <w:b/>
        </w:rPr>
        <w:tab/>
        <w:t>Legal Implications</w:t>
      </w:r>
    </w:p>
    <w:p w:rsidR="00BF34FA" w:rsidRDefault="00BF34FA">
      <w:pPr>
        <w:keepNext/>
        <w:ind w:left="1267" w:hanging="1267"/>
      </w:pPr>
    </w:p>
    <w:p w:rsidR="00C44A1B" w:rsidRDefault="00BF34FA" w:rsidP="00912E45">
      <w:pPr>
        <w:pStyle w:val="Heading2"/>
        <w:ind w:left="1260" w:hanging="1260"/>
      </w:pPr>
      <w:r>
        <w:t>6.1</w:t>
      </w:r>
      <w:r>
        <w:tab/>
      </w:r>
      <w:r w:rsidR="00C44A1B">
        <w:t xml:space="preserve">As the powers for highway works and roundabout maintenance on advertising sites are effectively optional for the District Council, there are no implications </w:t>
      </w:r>
      <w:r w:rsidR="00E466A2">
        <w:t>for</w:t>
      </w:r>
      <w:r w:rsidR="00C44A1B">
        <w:t xml:space="preserve"> these.  A framework contract for roundabout advertising exists but is not an obligation for TRDC to contract in respect of roundabouts in its own district.  This would require a further contract known as a “Call Off” to be entered and TRDC is therefore free to enter into such contract as it wishes in connection with this advertising, subject of course to the consent of the owner, HCC.</w:t>
      </w:r>
    </w:p>
    <w:p w:rsidR="00C44A1B" w:rsidRDefault="00C44A1B" w:rsidP="00C44A1B"/>
    <w:p w:rsidR="00C44A1B" w:rsidRDefault="00C44A1B" w:rsidP="00912E45">
      <w:pPr>
        <w:pStyle w:val="Heading2"/>
        <w:ind w:left="1260" w:hanging="1260"/>
      </w:pPr>
      <w:r>
        <w:lastRenderedPageBreak/>
        <w:t>6.2</w:t>
      </w:r>
      <w:r>
        <w:tab/>
        <w:t xml:space="preserve">HCC as the land owner in respect of highways is responsible under the Weeds Act 1959 for the clearance of “Injurious Weeds”. </w:t>
      </w:r>
    </w:p>
    <w:p w:rsidR="00BF34FA" w:rsidRDefault="00BF34FA"/>
    <w:p w:rsidR="00BF34FA" w:rsidRPr="00912E45" w:rsidRDefault="00BF34FA" w:rsidP="00912E45">
      <w:pPr>
        <w:pStyle w:val="Heading1"/>
        <w:rPr>
          <w:b/>
        </w:rPr>
      </w:pPr>
      <w:r w:rsidRPr="00912E45">
        <w:rPr>
          <w:b/>
        </w:rPr>
        <w:t>7.</w:t>
      </w:r>
      <w:r w:rsidRPr="00912E45">
        <w:rPr>
          <w:b/>
        </w:rPr>
        <w:tab/>
        <w:t>Equal Opportunities Implications</w:t>
      </w:r>
    </w:p>
    <w:p w:rsidR="00BF34FA" w:rsidRDefault="00BF34FA">
      <w:pPr>
        <w:keepNext/>
        <w:ind w:left="1267" w:hanging="1267"/>
        <w:rPr>
          <w:b/>
        </w:rPr>
      </w:pPr>
    </w:p>
    <w:p w:rsidR="00BF34FA" w:rsidRPr="00912E45" w:rsidRDefault="00BF34FA" w:rsidP="00912E45">
      <w:pPr>
        <w:pStyle w:val="Heading2"/>
        <w:rPr>
          <w:b/>
        </w:rPr>
      </w:pPr>
      <w:r w:rsidRPr="00912E45">
        <w:rPr>
          <w:b/>
        </w:rPr>
        <w:t>7.1</w:t>
      </w:r>
      <w:r w:rsidRPr="00912E45">
        <w:rPr>
          <w:b/>
        </w:rPr>
        <w:tab/>
        <w:t>Relevance Test</w:t>
      </w:r>
    </w:p>
    <w:p w:rsidR="00BF34FA" w:rsidRDefault="00BF34FA">
      <w:pPr>
        <w:keepNext/>
        <w:keepLines/>
        <w:ind w:left="1259" w:hanging="1259"/>
        <w:rPr>
          <w:b/>
        </w:rPr>
      </w:pP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BF34FA" w:rsidTr="009A2204">
        <w:tc>
          <w:tcPr>
            <w:tcW w:w="6096" w:type="dxa"/>
          </w:tcPr>
          <w:p w:rsidR="00BF34FA" w:rsidRDefault="00BF34FA">
            <w:pPr>
              <w:keepNext/>
              <w:keepLines/>
            </w:pPr>
            <w:r>
              <w:t>Has a relevance test been completed for Equality Impact?</w:t>
            </w:r>
          </w:p>
          <w:p w:rsidR="00BF34FA" w:rsidRDefault="00BF34FA" w:rsidP="009A2204"/>
        </w:tc>
        <w:tc>
          <w:tcPr>
            <w:tcW w:w="1984" w:type="dxa"/>
          </w:tcPr>
          <w:p w:rsidR="00BF34FA" w:rsidRDefault="00BF34FA" w:rsidP="009A2204">
            <w:pPr>
              <w:rPr>
                <w:i/>
                <w:color w:val="FF0000"/>
              </w:rPr>
            </w:pPr>
            <w:r>
              <w:t xml:space="preserve">No </w:t>
            </w:r>
          </w:p>
        </w:tc>
      </w:tr>
      <w:tr w:rsidR="009A2204" w:rsidRPr="009A2204" w:rsidTr="009A2204">
        <w:tc>
          <w:tcPr>
            <w:tcW w:w="6096" w:type="dxa"/>
          </w:tcPr>
          <w:p w:rsidR="009A2204" w:rsidRPr="009A2204" w:rsidRDefault="009A2204">
            <w:r w:rsidRPr="009A2204">
              <w:t>It is not considered necessary for this function.</w:t>
            </w:r>
          </w:p>
        </w:tc>
        <w:tc>
          <w:tcPr>
            <w:tcW w:w="1984" w:type="dxa"/>
          </w:tcPr>
          <w:p w:rsidR="009A2204" w:rsidRPr="009A2204" w:rsidRDefault="009A2204"/>
        </w:tc>
      </w:tr>
    </w:tbl>
    <w:p w:rsidR="00BF34FA" w:rsidRDefault="00BF34FA" w:rsidP="00246E3B">
      <w:pPr>
        <w:ind w:left="1267" w:hanging="1267"/>
      </w:pPr>
      <w:r>
        <w:tab/>
      </w:r>
    </w:p>
    <w:p w:rsidR="00BF34FA" w:rsidRPr="00912E45" w:rsidRDefault="00BF34FA" w:rsidP="00912E45">
      <w:pPr>
        <w:pStyle w:val="Heading1"/>
        <w:tabs>
          <w:tab w:val="clear" w:pos="1267"/>
          <w:tab w:val="left" w:pos="1134"/>
        </w:tabs>
        <w:rPr>
          <w:b/>
        </w:rPr>
      </w:pPr>
      <w:r w:rsidRPr="00912E45">
        <w:rPr>
          <w:b/>
        </w:rPr>
        <w:t>8.</w:t>
      </w:r>
      <w:r w:rsidRPr="00912E45">
        <w:rPr>
          <w:b/>
        </w:rPr>
        <w:tab/>
        <w:t>Staffing Implications</w:t>
      </w:r>
    </w:p>
    <w:p w:rsidR="00BF34FA" w:rsidRDefault="00BF34FA">
      <w:pPr>
        <w:keepNext/>
        <w:ind w:left="1267" w:hanging="1267"/>
      </w:pPr>
    </w:p>
    <w:p w:rsidR="00BF34FA" w:rsidRDefault="00BF34FA" w:rsidP="00912E45">
      <w:pPr>
        <w:pStyle w:val="Heading2"/>
        <w:ind w:left="1260" w:hanging="1260"/>
      </w:pPr>
      <w:r>
        <w:t>8.1</w:t>
      </w:r>
      <w:r>
        <w:tab/>
      </w:r>
      <w:r>
        <w:fldChar w:fldCharType="begin"/>
      </w:r>
      <w:r>
        <w:instrText xml:space="preserve">  </w:instrText>
      </w:r>
      <w:r>
        <w:fldChar w:fldCharType="end"/>
      </w:r>
      <w:r w:rsidR="009A2204">
        <w:t>This would be taken as part of TRDC normal everyday work except in respect of Weed Control. That function wo</w:t>
      </w:r>
      <w:r w:rsidR="001F60AE">
        <w:t>u</w:t>
      </w:r>
      <w:r w:rsidR="009A2204">
        <w:t>ld be outsourced and Officers have sought advice in respect of costs to procure this. The HCC funding includes a 5% management fee to cover TRDC work to manage this function.</w:t>
      </w:r>
    </w:p>
    <w:p w:rsidR="00BF34FA" w:rsidRDefault="00BF34FA"/>
    <w:p w:rsidR="00BF34FA" w:rsidRPr="00912E45" w:rsidRDefault="00BF34FA" w:rsidP="00912E45">
      <w:pPr>
        <w:pStyle w:val="Heading1"/>
        <w:rPr>
          <w:b/>
        </w:rPr>
      </w:pPr>
      <w:r w:rsidRPr="00912E45">
        <w:rPr>
          <w:b/>
        </w:rPr>
        <w:t>9.</w:t>
      </w:r>
      <w:r w:rsidRPr="00912E45">
        <w:rPr>
          <w:b/>
        </w:rPr>
        <w:tab/>
        <w:t>Environmental Implications</w:t>
      </w:r>
    </w:p>
    <w:p w:rsidR="00BF34FA" w:rsidRDefault="00BF34FA">
      <w:pPr>
        <w:keepNext/>
        <w:ind w:left="1267" w:hanging="1267"/>
      </w:pPr>
    </w:p>
    <w:p w:rsidR="00BF34FA" w:rsidRDefault="00BF34FA" w:rsidP="00912E45">
      <w:pPr>
        <w:pStyle w:val="Heading2"/>
        <w:ind w:left="1260" w:hanging="1260"/>
      </w:pPr>
      <w:r>
        <w:t>9.1</w:t>
      </w:r>
      <w:r>
        <w:tab/>
      </w:r>
      <w:r>
        <w:fldChar w:fldCharType="begin"/>
      </w:r>
      <w:r>
        <w:instrText xml:space="preserve">  </w:instrText>
      </w:r>
      <w:r>
        <w:fldChar w:fldCharType="end"/>
      </w:r>
      <w:r w:rsidR="00A06858">
        <w:t>The implication would be that the local environment would be enhanced as the District Council is better placed to provide an effective service in respect of both verge maintenance and weed control. District schemes affecting the highway would be enhanced by the potential to improve elements on highway.</w:t>
      </w:r>
    </w:p>
    <w:p w:rsidR="00BF34FA" w:rsidRDefault="00BF34FA"/>
    <w:p w:rsidR="00BF34FA" w:rsidRDefault="00BF34FA" w:rsidP="00912E45">
      <w:pPr>
        <w:pStyle w:val="Heading1"/>
      </w:pPr>
      <w:r w:rsidRPr="007038AD">
        <w:t>10.</w:t>
      </w:r>
      <w:r>
        <w:tab/>
        <w:t>Community Safety Implications</w:t>
      </w:r>
      <w:r w:rsidR="000A0786">
        <w:t xml:space="preserve">, Public Health Implications, </w:t>
      </w:r>
    </w:p>
    <w:p w:rsidR="00BF34FA" w:rsidRDefault="00BF34FA">
      <w:pPr>
        <w:keepNext/>
        <w:ind w:left="1267" w:hanging="1267"/>
      </w:pPr>
    </w:p>
    <w:p w:rsidR="001B1615" w:rsidRDefault="00BF34FA" w:rsidP="00912E45">
      <w:pPr>
        <w:pStyle w:val="Heading2"/>
      </w:pPr>
      <w:r>
        <w:t>10.1</w:t>
      </w:r>
      <w:r>
        <w:tab/>
      </w:r>
      <w:r>
        <w:fldChar w:fldCharType="begin"/>
      </w:r>
      <w:r>
        <w:instrText xml:space="preserve">  </w:instrText>
      </w:r>
      <w:r>
        <w:fldChar w:fldCharType="end"/>
      </w:r>
      <w:r w:rsidR="00A06858">
        <w:t>None</w:t>
      </w:r>
      <w:r w:rsidR="000A0786">
        <w:t xml:space="preserve"> specific.</w:t>
      </w:r>
    </w:p>
    <w:p w:rsidR="001B1615" w:rsidRDefault="001B1615">
      <w:pPr>
        <w:keepNext/>
        <w:ind w:left="1267" w:hanging="1267"/>
      </w:pPr>
    </w:p>
    <w:p w:rsidR="001B1615" w:rsidRPr="00094495" w:rsidRDefault="001B1615" w:rsidP="00094495">
      <w:pPr>
        <w:pStyle w:val="Heading1"/>
        <w:rPr>
          <w:b/>
        </w:rPr>
      </w:pPr>
      <w:r w:rsidRPr="00094495">
        <w:rPr>
          <w:b/>
        </w:rPr>
        <w:t>11</w:t>
      </w:r>
      <w:r w:rsidR="007038AD" w:rsidRPr="00094495">
        <w:rPr>
          <w:b/>
        </w:rPr>
        <w:t>.</w:t>
      </w:r>
      <w:r w:rsidRPr="00094495">
        <w:rPr>
          <w:b/>
        </w:rPr>
        <w:tab/>
        <w:t>Communication and Website Implications</w:t>
      </w:r>
    </w:p>
    <w:p w:rsidR="001B1615" w:rsidRDefault="001B1615">
      <w:pPr>
        <w:keepNext/>
        <w:ind w:left="1267" w:hanging="1267"/>
      </w:pPr>
    </w:p>
    <w:p w:rsidR="001B1615" w:rsidRDefault="001B1615" w:rsidP="00094495">
      <w:pPr>
        <w:pStyle w:val="Heading2"/>
        <w:ind w:left="1260" w:hanging="1260"/>
      </w:pPr>
      <w:r>
        <w:t>11.1</w:t>
      </w:r>
      <w:r>
        <w:tab/>
        <w:t xml:space="preserve">The District Council’s responsibilities for highway weed control will be set out on the website, under </w:t>
      </w:r>
      <w:r w:rsidRPr="001B1615">
        <w:rPr>
          <w:i/>
        </w:rPr>
        <w:t>Transport and Streets</w:t>
      </w:r>
      <w:r>
        <w:rPr>
          <w:i/>
        </w:rPr>
        <w:t xml:space="preserve">, </w:t>
      </w:r>
      <w:r>
        <w:t>whether or not a decision is taken to take this on.</w:t>
      </w:r>
    </w:p>
    <w:p w:rsidR="001B1615" w:rsidRDefault="001B1615">
      <w:pPr>
        <w:keepNext/>
        <w:ind w:left="1267" w:hanging="1267"/>
      </w:pPr>
    </w:p>
    <w:p w:rsidR="00BF34FA" w:rsidRPr="00094495" w:rsidRDefault="00490883" w:rsidP="00094495">
      <w:pPr>
        <w:pStyle w:val="Heading1"/>
        <w:rPr>
          <w:b/>
        </w:rPr>
      </w:pPr>
      <w:r w:rsidRPr="00094495">
        <w:rPr>
          <w:b/>
        </w:rPr>
        <w:t>12.</w:t>
      </w:r>
      <w:r w:rsidRPr="00094495">
        <w:rPr>
          <w:b/>
        </w:rPr>
        <w:tab/>
      </w:r>
      <w:r w:rsidR="00BF34FA" w:rsidRPr="00094495">
        <w:rPr>
          <w:b/>
        </w:rPr>
        <w:t>Customer Services Centre Implications</w:t>
      </w:r>
    </w:p>
    <w:p w:rsidR="00BF34FA" w:rsidRDefault="00BF34FA">
      <w:pPr>
        <w:keepNext/>
        <w:ind w:left="1267" w:hanging="1267"/>
      </w:pPr>
    </w:p>
    <w:p w:rsidR="00BF34FA" w:rsidRDefault="00BF34FA" w:rsidP="00094495">
      <w:pPr>
        <w:pStyle w:val="Heading2"/>
        <w:ind w:left="1260" w:hanging="1260"/>
      </w:pPr>
      <w:r>
        <w:t>1</w:t>
      </w:r>
      <w:r w:rsidR="00490883">
        <w:t>2</w:t>
      </w:r>
      <w:r>
        <w:t>.1</w:t>
      </w:r>
      <w:r>
        <w:tab/>
      </w:r>
      <w:r>
        <w:fldChar w:fldCharType="begin"/>
      </w:r>
      <w:r>
        <w:instrText xml:space="preserve">  </w:instrText>
      </w:r>
      <w:r>
        <w:fldChar w:fldCharType="end"/>
      </w:r>
      <w:r w:rsidR="009B7359">
        <w:t>This is expected to be minimal as most customer contact relating to the weed control would be likely to be directed to HCC</w:t>
      </w:r>
      <w:r w:rsidR="00A06858">
        <w:t>.</w:t>
      </w:r>
    </w:p>
    <w:p w:rsidR="00BF34FA" w:rsidRPr="007038AD" w:rsidRDefault="00BF34FA">
      <w:pPr>
        <w:pStyle w:val="Header"/>
        <w:tabs>
          <w:tab w:val="clear" w:pos="4153"/>
          <w:tab w:val="clear" w:pos="8306"/>
          <w:tab w:val="left" w:pos="1260"/>
          <w:tab w:val="left" w:pos="1980"/>
          <w:tab w:val="left" w:pos="2700"/>
          <w:tab w:val="left" w:pos="3420"/>
        </w:tabs>
        <w:rPr>
          <w:b/>
        </w:rPr>
      </w:pPr>
    </w:p>
    <w:p w:rsidR="00BF34FA" w:rsidRPr="00094495" w:rsidRDefault="00BF34FA" w:rsidP="00094495">
      <w:pPr>
        <w:pStyle w:val="Heading1"/>
        <w:rPr>
          <w:b/>
        </w:rPr>
      </w:pPr>
      <w:r w:rsidRPr="00094495">
        <w:rPr>
          <w:b/>
        </w:rPr>
        <w:t>1</w:t>
      </w:r>
      <w:r w:rsidR="007038AD" w:rsidRPr="00094495">
        <w:rPr>
          <w:b/>
        </w:rPr>
        <w:t>3</w:t>
      </w:r>
      <w:r w:rsidRPr="00094495">
        <w:rPr>
          <w:b/>
        </w:rPr>
        <w:t>.</w:t>
      </w:r>
      <w:r w:rsidRPr="00094495">
        <w:rPr>
          <w:b/>
        </w:rPr>
        <w:tab/>
        <w:t>Risk Management and Health &amp; Safety Implications</w:t>
      </w:r>
    </w:p>
    <w:p w:rsidR="00A06858" w:rsidRDefault="00A06858">
      <w:pPr>
        <w:keepNext/>
        <w:ind w:left="1267" w:hanging="1267"/>
        <w:rPr>
          <w:b/>
        </w:rPr>
      </w:pPr>
    </w:p>
    <w:p w:rsidR="00A06858" w:rsidRDefault="00A06858" w:rsidP="00094495">
      <w:pPr>
        <w:pStyle w:val="Heading2"/>
        <w:ind w:left="1134" w:hanging="1134"/>
      </w:pPr>
      <w:r>
        <w:t>1</w:t>
      </w:r>
      <w:r w:rsidR="007038AD">
        <w:t>3</w:t>
      </w:r>
      <w:r>
        <w:t>.1</w:t>
      </w:r>
      <w: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A06858" w:rsidRDefault="00A06858" w:rsidP="00A06858"/>
    <w:p w:rsidR="00A06858" w:rsidRDefault="00A06858" w:rsidP="00094495">
      <w:pPr>
        <w:pStyle w:val="Heading2"/>
        <w:ind w:left="1134" w:hanging="1134"/>
      </w:pPr>
      <w:r>
        <w:t>1</w:t>
      </w:r>
      <w:r w:rsidR="007038AD">
        <w:t>3</w:t>
      </w:r>
      <w:r>
        <w:t>.2</w:t>
      </w:r>
      <w:r>
        <w:tab/>
        <w:t xml:space="preserve">The subject of this report is covered by the Environmental Protection </w:t>
      </w:r>
      <w:r>
        <w:fldChar w:fldCharType="begin"/>
      </w:r>
      <w:r>
        <w:instrText xml:space="preserve"> ASK   \* MERGEFORMAT </w:instrText>
      </w:r>
      <w:r>
        <w:fldChar w:fldCharType="end"/>
      </w:r>
      <w:r>
        <w:t xml:space="preserve">service plan. Any risks resulting from this report will be included in the risk register and, if necessary, managed within </w:t>
      </w:r>
      <w:r>
        <w:rPr>
          <w:szCs w:val="22"/>
        </w:rPr>
        <w:t>this plan.</w:t>
      </w:r>
    </w:p>
    <w:p w:rsidR="00A06858" w:rsidRDefault="00A06858" w:rsidP="00A06858"/>
    <w:p w:rsidR="00A06858" w:rsidRDefault="00A06858" w:rsidP="00094495">
      <w:pPr>
        <w:pStyle w:val="Heading2"/>
        <w:ind w:left="1134" w:hanging="1134"/>
      </w:pPr>
      <w:r>
        <w:t>1</w:t>
      </w:r>
      <w:r w:rsidR="007038AD">
        <w:t>3</w:t>
      </w:r>
      <w:r>
        <w:t>.3</w:t>
      </w:r>
      <w:r>
        <w:tab/>
        <w:t xml:space="preserve">The following table gives the risks if the recommendations are agreed, together with a scored assessment of their impact and likelihood: </w:t>
      </w:r>
    </w:p>
    <w:tbl>
      <w:tblPr>
        <w:tblpPr w:leftFromText="180" w:rightFromText="180" w:vertAnchor="text" w:horzAnchor="margin" w:tblpXSpec="right" w:tblpY="53"/>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4890"/>
        <w:gridCol w:w="1244"/>
        <w:gridCol w:w="1306"/>
      </w:tblGrid>
      <w:tr w:rsidR="00A06858" w:rsidTr="007976CF">
        <w:trPr>
          <w:trHeight w:val="152"/>
        </w:trPr>
        <w:tc>
          <w:tcPr>
            <w:tcW w:w="5385" w:type="dxa"/>
            <w:gridSpan w:val="2"/>
            <w:tcBorders>
              <w:top w:val="single" w:sz="4" w:space="0" w:color="auto"/>
              <w:left w:val="single" w:sz="4" w:space="0" w:color="auto"/>
              <w:bottom w:val="single" w:sz="4" w:space="0" w:color="auto"/>
              <w:right w:val="single" w:sz="4" w:space="0" w:color="auto"/>
            </w:tcBorders>
            <w:hideMark/>
          </w:tcPr>
          <w:p w:rsidR="00A06858" w:rsidRDefault="00A06858" w:rsidP="00A06858">
            <w:pPr>
              <w:jc w:val="center"/>
              <w:rPr>
                <w:sz w:val="20"/>
              </w:rPr>
            </w:pPr>
            <w:r>
              <w:rPr>
                <w:sz w:val="20"/>
              </w:rPr>
              <w:t>Description of Risk</w:t>
            </w:r>
          </w:p>
        </w:tc>
        <w:tc>
          <w:tcPr>
            <w:tcW w:w="1244" w:type="dxa"/>
            <w:tcBorders>
              <w:top w:val="single" w:sz="4" w:space="0" w:color="auto"/>
              <w:left w:val="single" w:sz="4" w:space="0" w:color="auto"/>
              <w:bottom w:val="single" w:sz="4" w:space="0" w:color="auto"/>
              <w:right w:val="single" w:sz="4" w:space="0" w:color="auto"/>
            </w:tcBorders>
            <w:hideMark/>
          </w:tcPr>
          <w:p w:rsidR="00A06858" w:rsidRDefault="00A06858" w:rsidP="00A06858">
            <w:pPr>
              <w:jc w:val="center"/>
              <w:rPr>
                <w:sz w:val="20"/>
              </w:rPr>
            </w:pPr>
            <w:r>
              <w:rPr>
                <w:sz w:val="20"/>
              </w:rPr>
              <w:t>Impact</w:t>
            </w:r>
          </w:p>
        </w:tc>
        <w:tc>
          <w:tcPr>
            <w:tcW w:w="1306" w:type="dxa"/>
            <w:tcBorders>
              <w:top w:val="single" w:sz="4" w:space="0" w:color="auto"/>
              <w:left w:val="single" w:sz="4" w:space="0" w:color="auto"/>
              <w:bottom w:val="single" w:sz="4" w:space="0" w:color="auto"/>
              <w:right w:val="single" w:sz="4" w:space="0" w:color="auto"/>
            </w:tcBorders>
            <w:hideMark/>
          </w:tcPr>
          <w:p w:rsidR="00A06858" w:rsidRDefault="00A06858" w:rsidP="00A06858">
            <w:pPr>
              <w:ind w:left="34"/>
              <w:jc w:val="center"/>
              <w:rPr>
                <w:sz w:val="20"/>
              </w:rPr>
            </w:pPr>
            <w:r>
              <w:rPr>
                <w:sz w:val="20"/>
              </w:rPr>
              <w:t>Likelihood</w:t>
            </w:r>
          </w:p>
        </w:tc>
      </w:tr>
      <w:tr w:rsidR="00A06858" w:rsidTr="007976CF">
        <w:tc>
          <w:tcPr>
            <w:tcW w:w="495" w:type="dxa"/>
            <w:tcBorders>
              <w:top w:val="single" w:sz="4" w:space="0" w:color="auto"/>
              <w:left w:val="single" w:sz="4" w:space="0" w:color="auto"/>
              <w:bottom w:val="single" w:sz="4" w:space="0" w:color="auto"/>
              <w:right w:val="single" w:sz="4" w:space="0" w:color="auto"/>
            </w:tcBorders>
            <w:hideMark/>
          </w:tcPr>
          <w:p w:rsidR="00A06858" w:rsidRDefault="007976CF" w:rsidP="00A06858">
            <w:pPr>
              <w:jc w:val="left"/>
              <w:rPr>
                <w:sz w:val="20"/>
              </w:rPr>
            </w:pPr>
            <w:r>
              <w:rPr>
                <w:sz w:val="20"/>
              </w:rPr>
              <w:t>1</w:t>
            </w:r>
          </w:p>
        </w:tc>
        <w:tc>
          <w:tcPr>
            <w:tcW w:w="4890" w:type="dxa"/>
            <w:tcBorders>
              <w:top w:val="single" w:sz="4" w:space="0" w:color="auto"/>
              <w:left w:val="single" w:sz="4" w:space="0" w:color="auto"/>
              <w:bottom w:val="single" w:sz="4" w:space="0" w:color="auto"/>
              <w:right w:val="single" w:sz="4" w:space="0" w:color="auto"/>
            </w:tcBorders>
            <w:hideMark/>
          </w:tcPr>
          <w:p w:rsidR="00A06858" w:rsidRDefault="00A06858" w:rsidP="00A06858">
            <w:pPr>
              <w:jc w:val="left"/>
              <w:rPr>
                <w:sz w:val="20"/>
              </w:rPr>
            </w:pPr>
            <w:r>
              <w:rPr>
                <w:sz w:val="20"/>
              </w:rPr>
              <w:t>More  complaints to TRDC</w:t>
            </w:r>
          </w:p>
        </w:tc>
        <w:tc>
          <w:tcPr>
            <w:tcW w:w="1244" w:type="dxa"/>
            <w:tcBorders>
              <w:top w:val="single" w:sz="4" w:space="0" w:color="auto"/>
              <w:left w:val="single" w:sz="4" w:space="0" w:color="auto"/>
              <w:bottom w:val="single" w:sz="4" w:space="0" w:color="auto"/>
              <w:right w:val="single" w:sz="4" w:space="0" w:color="auto"/>
            </w:tcBorders>
            <w:hideMark/>
          </w:tcPr>
          <w:p w:rsidR="00A06858" w:rsidRDefault="00A06858" w:rsidP="00A06858">
            <w:pPr>
              <w:jc w:val="center"/>
              <w:rPr>
                <w:sz w:val="20"/>
              </w:rPr>
            </w:pPr>
            <w:r>
              <w:rPr>
                <w:sz w:val="20"/>
              </w:rPr>
              <w:t>II</w:t>
            </w:r>
          </w:p>
        </w:tc>
        <w:tc>
          <w:tcPr>
            <w:tcW w:w="1306" w:type="dxa"/>
            <w:tcBorders>
              <w:top w:val="single" w:sz="4" w:space="0" w:color="auto"/>
              <w:left w:val="single" w:sz="4" w:space="0" w:color="auto"/>
              <w:bottom w:val="single" w:sz="4" w:space="0" w:color="auto"/>
              <w:right w:val="single" w:sz="4" w:space="0" w:color="auto"/>
            </w:tcBorders>
            <w:hideMark/>
          </w:tcPr>
          <w:p w:rsidR="00A06858" w:rsidRDefault="007976CF" w:rsidP="00A06858">
            <w:pPr>
              <w:jc w:val="center"/>
              <w:rPr>
                <w:sz w:val="20"/>
              </w:rPr>
            </w:pPr>
            <w:r>
              <w:rPr>
                <w:sz w:val="20"/>
              </w:rPr>
              <w:t>D</w:t>
            </w:r>
          </w:p>
        </w:tc>
      </w:tr>
    </w:tbl>
    <w:p w:rsidR="00A06858" w:rsidRDefault="00A06858" w:rsidP="00A06858">
      <w:pPr>
        <w:pStyle w:val="Header"/>
        <w:tabs>
          <w:tab w:val="left" w:pos="1260"/>
          <w:tab w:val="left" w:pos="1980"/>
          <w:tab w:val="left" w:pos="2700"/>
          <w:tab w:val="left" w:pos="3420"/>
        </w:tabs>
      </w:pPr>
    </w:p>
    <w:p w:rsidR="00A06858" w:rsidRDefault="00A06858" w:rsidP="00A06858">
      <w:r>
        <w:tab/>
        <w:t>The following table gives the risks that would exist if the recommendation is rejected, together with a scored assessment of their impact and likelihood:</w:t>
      </w:r>
    </w:p>
    <w:p w:rsidR="007976CF" w:rsidRDefault="007976CF" w:rsidP="008C621A">
      <w:pPr>
        <w:pStyle w:val="BodyTextIndent"/>
        <w:ind w:left="0" w:firstLine="0"/>
      </w:pPr>
    </w:p>
    <w:p w:rsidR="007976CF" w:rsidRDefault="008C621A" w:rsidP="00246E3B">
      <w:pPr>
        <w:pStyle w:val="BodyTextIndent"/>
        <w:tabs>
          <w:tab w:val="clear" w:pos="1260"/>
          <w:tab w:val="left" w:pos="1134"/>
        </w:tabs>
        <w:ind w:left="1134" w:hanging="1134"/>
      </w:pPr>
      <w:r>
        <w:lastRenderedPageBreak/>
        <w:tab/>
        <w:t>If adequate repayment terms are not agreed by HCC, TRDC will not agree to take on the service through the current letter process, and as a result this is not considered to be risk.</w:t>
      </w:r>
    </w:p>
    <w:p w:rsidR="008C621A" w:rsidRDefault="008C621A" w:rsidP="00A06858">
      <w:pPr>
        <w:pStyle w:val="BodyTextIndent"/>
      </w:pPr>
    </w:p>
    <w:p w:rsidR="008C621A" w:rsidRDefault="00A06858" w:rsidP="00094495">
      <w:pPr>
        <w:pStyle w:val="Heading2"/>
        <w:ind w:left="1134" w:hanging="1134"/>
      </w:pPr>
      <w:r>
        <w:t>1</w:t>
      </w:r>
      <w:r w:rsidR="007038AD">
        <w:t>3</w:t>
      </w:r>
      <w:r>
        <w:t>.</w:t>
      </w:r>
      <w:r w:rsidR="008C621A">
        <w:t>4</w:t>
      </w:r>
      <w:r>
        <w:tab/>
      </w:r>
      <w:r w:rsidR="008C621A">
        <w:t>The following table gives the risks if the recommendations are rejected, together with a scored assessment of their impact and likelihood:</w:t>
      </w:r>
    </w:p>
    <w:tbl>
      <w:tblPr>
        <w:tblpPr w:leftFromText="180" w:rightFromText="180" w:vertAnchor="text" w:horzAnchor="margin" w:tblpXSpec="right"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17"/>
        <w:gridCol w:w="1170"/>
        <w:gridCol w:w="1350"/>
      </w:tblGrid>
      <w:tr w:rsidR="008C621A" w:rsidTr="00CF5066">
        <w:tc>
          <w:tcPr>
            <w:tcW w:w="5384" w:type="dxa"/>
            <w:gridSpan w:val="2"/>
            <w:tcBorders>
              <w:top w:val="single" w:sz="4" w:space="0" w:color="auto"/>
              <w:left w:val="single" w:sz="4" w:space="0" w:color="auto"/>
              <w:bottom w:val="single" w:sz="4" w:space="0" w:color="auto"/>
              <w:right w:val="single" w:sz="4" w:space="0" w:color="auto"/>
            </w:tcBorders>
            <w:hideMark/>
          </w:tcPr>
          <w:p w:rsidR="008C621A" w:rsidRDefault="008C621A" w:rsidP="00CF5066">
            <w:pPr>
              <w:jc w:val="center"/>
              <w:rPr>
                <w:sz w:val="20"/>
              </w:rPr>
            </w:pPr>
            <w:r>
              <w:rPr>
                <w:sz w:val="20"/>
              </w:rPr>
              <w:t>Description of Risk</w:t>
            </w:r>
          </w:p>
        </w:tc>
        <w:tc>
          <w:tcPr>
            <w:tcW w:w="1170" w:type="dxa"/>
            <w:tcBorders>
              <w:top w:val="single" w:sz="4" w:space="0" w:color="auto"/>
              <w:left w:val="single" w:sz="4" w:space="0" w:color="auto"/>
              <w:bottom w:val="single" w:sz="4" w:space="0" w:color="auto"/>
              <w:right w:val="single" w:sz="4" w:space="0" w:color="auto"/>
            </w:tcBorders>
            <w:hideMark/>
          </w:tcPr>
          <w:p w:rsidR="008C621A" w:rsidRDefault="008C621A" w:rsidP="00CF5066">
            <w:pPr>
              <w:jc w:val="center"/>
              <w:rPr>
                <w:sz w:val="20"/>
              </w:rPr>
            </w:pPr>
            <w:r>
              <w:rPr>
                <w:sz w:val="20"/>
              </w:rPr>
              <w:t>Impact</w:t>
            </w:r>
          </w:p>
        </w:tc>
        <w:tc>
          <w:tcPr>
            <w:tcW w:w="1350" w:type="dxa"/>
            <w:tcBorders>
              <w:top w:val="single" w:sz="4" w:space="0" w:color="auto"/>
              <w:left w:val="single" w:sz="4" w:space="0" w:color="auto"/>
              <w:bottom w:val="single" w:sz="4" w:space="0" w:color="auto"/>
              <w:right w:val="single" w:sz="4" w:space="0" w:color="auto"/>
            </w:tcBorders>
            <w:hideMark/>
          </w:tcPr>
          <w:p w:rsidR="008C621A" w:rsidRDefault="008C621A" w:rsidP="00CF5066">
            <w:pPr>
              <w:ind w:left="34"/>
              <w:jc w:val="center"/>
              <w:rPr>
                <w:sz w:val="20"/>
              </w:rPr>
            </w:pPr>
            <w:r>
              <w:rPr>
                <w:sz w:val="20"/>
              </w:rPr>
              <w:t>Likelihood</w:t>
            </w:r>
          </w:p>
        </w:tc>
      </w:tr>
      <w:tr w:rsidR="008C621A" w:rsidTr="00CF5066">
        <w:tc>
          <w:tcPr>
            <w:tcW w:w="567" w:type="dxa"/>
            <w:tcBorders>
              <w:top w:val="single" w:sz="4" w:space="0" w:color="auto"/>
              <w:left w:val="single" w:sz="4" w:space="0" w:color="auto"/>
              <w:bottom w:val="single" w:sz="4" w:space="0" w:color="auto"/>
              <w:right w:val="single" w:sz="4" w:space="0" w:color="auto"/>
            </w:tcBorders>
            <w:hideMark/>
          </w:tcPr>
          <w:p w:rsidR="008C621A" w:rsidRDefault="008C621A" w:rsidP="00CF5066">
            <w:pPr>
              <w:jc w:val="left"/>
              <w:rPr>
                <w:sz w:val="20"/>
              </w:rPr>
            </w:pPr>
            <w:r>
              <w:rPr>
                <w:sz w:val="20"/>
              </w:rPr>
              <w:t>2</w:t>
            </w:r>
          </w:p>
        </w:tc>
        <w:tc>
          <w:tcPr>
            <w:tcW w:w="4817" w:type="dxa"/>
            <w:tcBorders>
              <w:top w:val="single" w:sz="4" w:space="0" w:color="auto"/>
              <w:left w:val="single" w:sz="4" w:space="0" w:color="auto"/>
              <w:bottom w:val="single" w:sz="4" w:space="0" w:color="auto"/>
              <w:right w:val="single" w:sz="4" w:space="0" w:color="auto"/>
            </w:tcBorders>
            <w:hideMark/>
          </w:tcPr>
          <w:p w:rsidR="008C621A" w:rsidRDefault="008C621A" w:rsidP="00CF5066">
            <w:pPr>
              <w:jc w:val="left"/>
              <w:rPr>
                <w:sz w:val="20"/>
              </w:rPr>
            </w:pPr>
            <w:r>
              <w:rPr>
                <w:sz w:val="20"/>
              </w:rPr>
              <w:t>District highway related programme continues at higher cost</w:t>
            </w:r>
          </w:p>
        </w:tc>
        <w:tc>
          <w:tcPr>
            <w:tcW w:w="1170" w:type="dxa"/>
            <w:tcBorders>
              <w:top w:val="single" w:sz="4" w:space="0" w:color="auto"/>
              <w:left w:val="single" w:sz="4" w:space="0" w:color="auto"/>
              <w:bottom w:val="single" w:sz="4" w:space="0" w:color="auto"/>
              <w:right w:val="single" w:sz="4" w:space="0" w:color="auto"/>
            </w:tcBorders>
            <w:hideMark/>
          </w:tcPr>
          <w:p w:rsidR="008C621A" w:rsidRDefault="007038AD" w:rsidP="00CF5066">
            <w:pPr>
              <w:jc w:val="center"/>
              <w:rPr>
                <w:sz w:val="20"/>
              </w:rPr>
            </w:pPr>
            <w:r>
              <w:rPr>
                <w:sz w:val="20"/>
              </w:rPr>
              <w:t>III</w:t>
            </w:r>
          </w:p>
        </w:tc>
        <w:tc>
          <w:tcPr>
            <w:tcW w:w="1350" w:type="dxa"/>
            <w:tcBorders>
              <w:top w:val="single" w:sz="4" w:space="0" w:color="auto"/>
              <w:left w:val="single" w:sz="4" w:space="0" w:color="auto"/>
              <w:bottom w:val="single" w:sz="4" w:space="0" w:color="auto"/>
              <w:right w:val="single" w:sz="4" w:space="0" w:color="auto"/>
            </w:tcBorders>
            <w:hideMark/>
          </w:tcPr>
          <w:p w:rsidR="008C621A" w:rsidRDefault="007038AD" w:rsidP="00CF5066">
            <w:pPr>
              <w:jc w:val="center"/>
              <w:rPr>
                <w:sz w:val="20"/>
              </w:rPr>
            </w:pPr>
            <w:r>
              <w:rPr>
                <w:sz w:val="20"/>
              </w:rPr>
              <w:t>A</w:t>
            </w:r>
          </w:p>
        </w:tc>
      </w:tr>
      <w:tr w:rsidR="008C621A" w:rsidTr="00CF5066">
        <w:tc>
          <w:tcPr>
            <w:tcW w:w="567" w:type="dxa"/>
            <w:tcBorders>
              <w:top w:val="single" w:sz="4" w:space="0" w:color="auto"/>
              <w:left w:val="single" w:sz="4" w:space="0" w:color="auto"/>
              <w:bottom w:val="single" w:sz="4" w:space="0" w:color="auto"/>
              <w:right w:val="single" w:sz="4" w:space="0" w:color="auto"/>
            </w:tcBorders>
          </w:tcPr>
          <w:p w:rsidR="008C621A" w:rsidRDefault="008C621A" w:rsidP="00CF5066">
            <w:pPr>
              <w:jc w:val="left"/>
              <w:rPr>
                <w:sz w:val="20"/>
              </w:rPr>
            </w:pPr>
            <w:r>
              <w:rPr>
                <w:sz w:val="20"/>
              </w:rPr>
              <w:t>3</w:t>
            </w:r>
          </w:p>
        </w:tc>
        <w:tc>
          <w:tcPr>
            <w:tcW w:w="4817" w:type="dxa"/>
            <w:tcBorders>
              <w:top w:val="single" w:sz="4" w:space="0" w:color="auto"/>
              <w:left w:val="single" w:sz="4" w:space="0" w:color="auto"/>
              <w:bottom w:val="single" w:sz="4" w:space="0" w:color="auto"/>
              <w:right w:val="single" w:sz="4" w:space="0" w:color="auto"/>
            </w:tcBorders>
          </w:tcPr>
          <w:p w:rsidR="008C621A" w:rsidRDefault="008C621A" w:rsidP="00CF5066">
            <w:pPr>
              <w:jc w:val="left"/>
              <w:rPr>
                <w:sz w:val="20"/>
              </w:rPr>
            </w:pPr>
            <w:r>
              <w:rPr>
                <w:sz w:val="20"/>
              </w:rPr>
              <w:t>District unable to implement highway advertising proposals</w:t>
            </w:r>
          </w:p>
        </w:tc>
        <w:tc>
          <w:tcPr>
            <w:tcW w:w="1170" w:type="dxa"/>
            <w:tcBorders>
              <w:top w:val="single" w:sz="4" w:space="0" w:color="auto"/>
              <w:left w:val="single" w:sz="4" w:space="0" w:color="auto"/>
              <w:bottom w:val="single" w:sz="4" w:space="0" w:color="auto"/>
              <w:right w:val="single" w:sz="4" w:space="0" w:color="auto"/>
            </w:tcBorders>
          </w:tcPr>
          <w:p w:rsidR="008C621A" w:rsidRDefault="007038AD" w:rsidP="00CF5066">
            <w:pPr>
              <w:jc w:val="center"/>
              <w:rPr>
                <w:sz w:val="20"/>
              </w:rPr>
            </w:pPr>
            <w:r>
              <w:rPr>
                <w:sz w:val="20"/>
              </w:rPr>
              <w:t>II</w:t>
            </w:r>
          </w:p>
        </w:tc>
        <w:tc>
          <w:tcPr>
            <w:tcW w:w="1350" w:type="dxa"/>
            <w:tcBorders>
              <w:top w:val="single" w:sz="4" w:space="0" w:color="auto"/>
              <w:left w:val="single" w:sz="4" w:space="0" w:color="auto"/>
              <w:bottom w:val="single" w:sz="4" w:space="0" w:color="auto"/>
              <w:right w:val="single" w:sz="4" w:space="0" w:color="auto"/>
            </w:tcBorders>
          </w:tcPr>
          <w:p w:rsidR="008C621A" w:rsidRDefault="007038AD" w:rsidP="00CF5066">
            <w:pPr>
              <w:jc w:val="center"/>
              <w:rPr>
                <w:sz w:val="20"/>
              </w:rPr>
            </w:pPr>
            <w:r>
              <w:rPr>
                <w:sz w:val="20"/>
              </w:rPr>
              <w:t>A</w:t>
            </w:r>
          </w:p>
        </w:tc>
      </w:tr>
    </w:tbl>
    <w:p w:rsidR="008C621A" w:rsidRDefault="008C621A" w:rsidP="00A06858">
      <w:pPr>
        <w:pStyle w:val="BodyTextIndent"/>
      </w:pPr>
    </w:p>
    <w:p w:rsidR="00A06858" w:rsidRDefault="00A06858" w:rsidP="00A06858">
      <w:pPr>
        <w:ind w:left="1260" w:hanging="1260"/>
        <w:rPr>
          <w:b/>
          <w:i/>
          <w:color w:val="008000"/>
        </w:rPr>
      </w:pPr>
    </w:p>
    <w:p w:rsidR="007038AD" w:rsidRDefault="00A06858" w:rsidP="007038AD">
      <w:pPr>
        <w:pStyle w:val="BodyTextIndent"/>
        <w:tabs>
          <w:tab w:val="clear" w:pos="1260"/>
          <w:tab w:val="left" w:pos="0"/>
        </w:tabs>
      </w:pPr>
      <w:r>
        <w:tab/>
        <w:t>The above risks are plotted on the matrix below depending on the scored assessments of impact and likelihood, detailed definitions of which are included in the risk management strategy. The Council has determined its aversion to risk and is prepared to tolerate risks where</w:t>
      </w:r>
      <w:r w:rsidR="001B1615">
        <w:t xml:space="preserve"> the combination of impact and </w:t>
      </w:r>
      <w:r w:rsidR="008C621A">
        <w:t>Of the Of</w:t>
      </w:r>
      <w:r w:rsidR="007038AD">
        <w:t>1</w:t>
      </w:r>
    </w:p>
    <w:p w:rsidR="007038AD" w:rsidRDefault="007038AD" w:rsidP="00094495">
      <w:pPr>
        <w:pStyle w:val="Heading2"/>
      </w:pPr>
      <w:r>
        <w:t>13.5</w:t>
      </w:r>
      <w:r>
        <w:tab/>
        <w:t>Of the risks detailed above none is already managed within a service plan.</w:t>
      </w:r>
    </w:p>
    <w:p w:rsidR="007038AD" w:rsidRDefault="007038AD" w:rsidP="007038AD"/>
    <w:p w:rsidR="007038AD" w:rsidRDefault="007038AD" w:rsidP="00094495">
      <w:pPr>
        <w:pStyle w:val="Heading2"/>
        <w:ind w:left="1260" w:hanging="1260"/>
      </w:pPr>
      <w:r>
        <w:t>13.6</w:t>
      </w:r>
      <w: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A06858" w:rsidRDefault="00A06858" w:rsidP="00A06858">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A06858" w:rsidTr="00A06858">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hideMark/>
          </w:tcPr>
          <w:p w:rsidR="00A06858" w:rsidRDefault="00A06858">
            <w:pPr>
              <w:keepNext/>
              <w:keepLines/>
              <w:ind w:left="113" w:right="113"/>
              <w:jc w:val="center"/>
              <w:rPr>
                <w:b/>
                <w:szCs w:val="22"/>
              </w:rPr>
            </w:pPr>
            <w:r>
              <w:rPr>
                <w:noProof/>
              </w:rPr>
              <mc:AlternateContent>
                <mc:Choice Requires="wps">
                  <w:drawing>
                    <wp:anchor distT="0" distB="0" distL="114300" distR="114300" simplePos="0" relativeHeight="251657216" behindDoc="0" locked="0" layoutInCell="0" allowOverlap="1" wp14:anchorId="427996B8" wp14:editId="4D97DCD2">
                      <wp:simplePos x="0" y="0"/>
                      <wp:positionH relativeFrom="column">
                        <wp:posOffset>1115695</wp:posOffset>
                      </wp:positionH>
                      <wp:positionV relativeFrom="paragraph">
                        <wp:posOffset>107950</wp:posOffset>
                      </wp:positionV>
                      <wp:extent cx="0" cy="1296670"/>
                      <wp:effectExtent l="58420" t="22225" r="55880"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14:anchorId="55FF452C" wp14:editId="3D0D7D81">
                      <wp:simplePos x="0" y="0"/>
                      <wp:positionH relativeFrom="column">
                        <wp:posOffset>1298575</wp:posOffset>
                      </wp:positionH>
                      <wp:positionV relativeFrom="paragraph">
                        <wp:posOffset>1388110</wp:posOffset>
                      </wp:positionV>
                      <wp:extent cx="2286000" cy="0"/>
                      <wp:effectExtent l="12700" t="54610" r="15875" b="596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v1MwIAAFg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" o:allowincell="f">
                      <v:stroke endarrow="block"/>
                    </v:line>
                  </w:pict>
                </mc:Fallback>
              </mc:AlternateContent>
            </w:r>
            <w:r>
              <w:rPr>
                <w:b/>
                <w:szCs w:val="22"/>
              </w:rPr>
              <w:t>Likelihood</w:t>
            </w:r>
          </w:p>
        </w:tc>
        <w:tc>
          <w:tcPr>
            <w:tcW w:w="452" w:type="dxa"/>
            <w:tcBorders>
              <w:top w:val="single" w:sz="4" w:space="0" w:color="auto"/>
              <w:left w:val="single" w:sz="4" w:space="0" w:color="auto"/>
              <w:bottom w:val="single" w:sz="4" w:space="0" w:color="auto"/>
              <w:right w:val="single" w:sz="4" w:space="0" w:color="auto"/>
            </w:tcBorders>
            <w:hideMark/>
          </w:tcPr>
          <w:p w:rsidR="00A06858" w:rsidRDefault="00A06858">
            <w:pPr>
              <w:keepNext/>
              <w:keepLines/>
            </w:pPr>
            <w:r>
              <w:t>A</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A06858" w:rsidRDefault="00A06858">
            <w:pPr>
              <w:keepNext/>
              <w:keepLines/>
            </w:pPr>
          </w:p>
        </w:tc>
        <w:tc>
          <w:tcPr>
            <w:tcW w:w="723" w:type="dxa"/>
            <w:tcBorders>
              <w:top w:val="single" w:sz="4" w:space="0" w:color="auto"/>
              <w:left w:val="single" w:sz="4" w:space="0" w:color="auto"/>
              <w:bottom w:val="single" w:sz="4" w:space="0" w:color="auto"/>
              <w:right w:val="single" w:sz="4" w:space="0" w:color="auto"/>
            </w:tcBorders>
          </w:tcPr>
          <w:p w:rsidR="00A06858" w:rsidRDefault="007038AD">
            <w:pPr>
              <w:keepNext/>
              <w:keepLines/>
            </w:pPr>
            <w:r>
              <w:t>3</w:t>
            </w:r>
          </w:p>
        </w:tc>
        <w:tc>
          <w:tcPr>
            <w:tcW w:w="724" w:type="dxa"/>
            <w:tcBorders>
              <w:top w:val="single" w:sz="4" w:space="0" w:color="auto"/>
              <w:left w:val="single" w:sz="4" w:space="0" w:color="auto"/>
              <w:bottom w:val="single" w:sz="4" w:space="0" w:color="auto"/>
              <w:right w:val="single" w:sz="4" w:space="0" w:color="auto"/>
            </w:tcBorders>
          </w:tcPr>
          <w:p w:rsidR="00A06858" w:rsidRDefault="007038AD">
            <w:pPr>
              <w:keepNext/>
              <w:keepLines/>
            </w:pPr>
            <w:r>
              <w:t>2</w:t>
            </w:r>
          </w:p>
        </w:tc>
        <w:tc>
          <w:tcPr>
            <w:tcW w:w="723" w:type="dxa"/>
            <w:tcBorders>
              <w:top w:val="single" w:sz="4" w:space="0" w:color="auto"/>
              <w:left w:val="single" w:sz="4" w:space="0" w:color="auto"/>
              <w:bottom w:val="single" w:sz="4" w:space="0" w:color="auto"/>
              <w:right w:val="single" w:sz="4" w:space="0" w:color="auto"/>
            </w:tcBorders>
          </w:tcPr>
          <w:p w:rsidR="00A06858" w:rsidRDefault="00A06858">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A06858" w:rsidRDefault="00A06858">
            <w:pPr>
              <w:keepNext/>
              <w:keepLines/>
              <w:jc w:val="center"/>
            </w:pPr>
          </w:p>
        </w:tc>
        <w:tc>
          <w:tcPr>
            <w:tcW w:w="1508" w:type="dxa"/>
            <w:tcBorders>
              <w:top w:val="nil"/>
              <w:left w:val="single" w:sz="4" w:space="0" w:color="auto"/>
              <w:bottom w:val="nil"/>
              <w:right w:val="nil"/>
            </w:tcBorders>
            <w:hideMark/>
          </w:tcPr>
          <w:p w:rsidR="00A06858" w:rsidRDefault="00A06858">
            <w:pPr>
              <w:keepNext/>
              <w:keepLines/>
              <w:rPr>
                <w:sz w:val="16"/>
              </w:rPr>
            </w:pPr>
            <w:r>
              <w:rPr>
                <w:sz w:val="16"/>
              </w:rPr>
              <w:t>Im</w:t>
            </w:r>
            <w:bookmarkStart w:id="0" w:name="_GoBack"/>
            <w:bookmarkEnd w:id="0"/>
            <w:r>
              <w:rPr>
                <w:sz w:val="16"/>
              </w:rPr>
              <w:t>pact</w:t>
            </w:r>
          </w:p>
        </w:tc>
        <w:tc>
          <w:tcPr>
            <w:tcW w:w="1608" w:type="dxa"/>
            <w:tcBorders>
              <w:top w:val="nil"/>
              <w:left w:val="nil"/>
              <w:bottom w:val="nil"/>
              <w:right w:val="nil"/>
            </w:tcBorders>
            <w:hideMark/>
          </w:tcPr>
          <w:p w:rsidR="00A06858" w:rsidRDefault="00A06858">
            <w:pPr>
              <w:keepNext/>
              <w:keepLines/>
              <w:rPr>
                <w:sz w:val="16"/>
              </w:rPr>
            </w:pPr>
            <w:r>
              <w:rPr>
                <w:sz w:val="16"/>
              </w:rPr>
              <w:t>Likelihood</w:t>
            </w:r>
          </w:p>
        </w:tc>
      </w:tr>
      <w:tr w:rsidR="00A06858" w:rsidTr="00A06858">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A06858" w:rsidRDefault="00A06858">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A06858" w:rsidRDefault="00A06858">
            <w:pPr>
              <w:keepNext/>
              <w:keepLines/>
            </w:pPr>
            <w:r>
              <w:t>B</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A06858" w:rsidRDefault="00A06858">
            <w:pPr>
              <w:keepNext/>
              <w:keepLines/>
            </w:pPr>
          </w:p>
        </w:tc>
        <w:tc>
          <w:tcPr>
            <w:tcW w:w="723" w:type="dxa"/>
            <w:tcBorders>
              <w:top w:val="single" w:sz="4" w:space="0" w:color="auto"/>
              <w:left w:val="single" w:sz="4" w:space="0" w:color="auto"/>
              <w:bottom w:val="single" w:sz="4" w:space="0" w:color="auto"/>
              <w:right w:val="single" w:sz="4" w:space="0" w:color="auto"/>
            </w:tcBorders>
          </w:tcPr>
          <w:p w:rsidR="00A06858" w:rsidRDefault="00A06858">
            <w:pPr>
              <w:keepNext/>
              <w:keepLines/>
            </w:pPr>
          </w:p>
        </w:tc>
        <w:tc>
          <w:tcPr>
            <w:tcW w:w="724" w:type="dxa"/>
            <w:tcBorders>
              <w:top w:val="single" w:sz="4" w:space="0" w:color="auto"/>
              <w:left w:val="single" w:sz="4" w:space="0" w:color="auto"/>
              <w:bottom w:val="single" w:sz="4" w:space="0" w:color="auto"/>
              <w:right w:val="single" w:sz="4" w:space="0" w:color="auto"/>
            </w:tcBorders>
          </w:tcPr>
          <w:p w:rsidR="00A06858" w:rsidRDefault="00A06858">
            <w:pPr>
              <w:keepNext/>
              <w:keepLines/>
            </w:pPr>
          </w:p>
        </w:tc>
        <w:tc>
          <w:tcPr>
            <w:tcW w:w="723" w:type="dxa"/>
            <w:tcBorders>
              <w:top w:val="single" w:sz="4" w:space="0" w:color="auto"/>
              <w:left w:val="single" w:sz="4" w:space="0" w:color="auto"/>
              <w:bottom w:val="single" w:sz="4" w:space="0" w:color="auto"/>
              <w:right w:val="single" w:sz="4" w:space="0" w:color="auto"/>
            </w:tcBorders>
          </w:tcPr>
          <w:p w:rsidR="00A06858" w:rsidRDefault="00A06858">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A06858" w:rsidRDefault="00A06858">
            <w:pPr>
              <w:keepNext/>
              <w:keepLines/>
              <w:jc w:val="center"/>
            </w:pPr>
          </w:p>
        </w:tc>
        <w:tc>
          <w:tcPr>
            <w:tcW w:w="1508" w:type="dxa"/>
            <w:tcBorders>
              <w:top w:val="nil"/>
              <w:left w:val="single" w:sz="4" w:space="0" w:color="auto"/>
              <w:bottom w:val="nil"/>
              <w:right w:val="nil"/>
            </w:tcBorders>
            <w:hideMark/>
          </w:tcPr>
          <w:p w:rsidR="00A06858" w:rsidRDefault="00A06858">
            <w:pPr>
              <w:keepNext/>
              <w:keepLines/>
              <w:rPr>
                <w:sz w:val="16"/>
              </w:rPr>
            </w:pPr>
            <w:r>
              <w:rPr>
                <w:sz w:val="16"/>
              </w:rPr>
              <w:t>V = Catastrophic</w:t>
            </w:r>
          </w:p>
        </w:tc>
        <w:tc>
          <w:tcPr>
            <w:tcW w:w="1608" w:type="dxa"/>
            <w:tcBorders>
              <w:top w:val="nil"/>
              <w:left w:val="nil"/>
              <w:bottom w:val="nil"/>
              <w:right w:val="nil"/>
            </w:tcBorders>
            <w:hideMark/>
          </w:tcPr>
          <w:p w:rsidR="00A06858" w:rsidRDefault="00A06858">
            <w:pPr>
              <w:keepNext/>
              <w:keepLines/>
              <w:rPr>
                <w:sz w:val="16"/>
              </w:rPr>
            </w:pPr>
            <w:r>
              <w:rPr>
                <w:sz w:val="16"/>
              </w:rPr>
              <w:t>A = &gt;98%</w:t>
            </w:r>
          </w:p>
        </w:tc>
      </w:tr>
      <w:tr w:rsidR="00A06858" w:rsidTr="00A06858">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A06858" w:rsidRDefault="00A06858">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A06858" w:rsidRDefault="00A06858">
            <w:pPr>
              <w:keepNext/>
              <w:keepLines/>
            </w:pPr>
            <w:r>
              <w:t>C</w:t>
            </w:r>
          </w:p>
        </w:tc>
        <w:tc>
          <w:tcPr>
            <w:tcW w:w="723" w:type="dxa"/>
            <w:tcBorders>
              <w:top w:val="single" w:sz="4" w:space="0" w:color="auto"/>
              <w:left w:val="single" w:sz="4" w:space="0" w:color="auto"/>
              <w:bottom w:val="single" w:sz="4" w:space="0" w:color="auto"/>
              <w:right w:val="single" w:sz="4" w:space="0" w:color="auto"/>
            </w:tcBorders>
            <w:shd w:val="pct15" w:color="auto" w:fill="FFFFFF"/>
            <w:hideMark/>
          </w:tcPr>
          <w:p w:rsidR="00A06858" w:rsidRDefault="00A06858">
            <w:pPr>
              <w:keepNext/>
              <w:keepLines/>
            </w:pPr>
          </w:p>
        </w:tc>
        <w:tc>
          <w:tcPr>
            <w:tcW w:w="723" w:type="dxa"/>
            <w:tcBorders>
              <w:top w:val="single" w:sz="4" w:space="0" w:color="auto"/>
              <w:left w:val="single" w:sz="4" w:space="0" w:color="auto"/>
              <w:bottom w:val="single" w:sz="4" w:space="0" w:color="auto"/>
              <w:right w:val="single" w:sz="4" w:space="0" w:color="auto"/>
            </w:tcBorders>
          </w:tcPr>
          <w:p w:rsidR="00A06858" w:rsidRDefault="00A06858">
            <w:pPr>
              <w:keepNext/>
              <w:keepLines/>
            </w:pPr>
          </w:p>
        </w:tc>
        <w:tc>
          <w:tcPr>
            <w:tcW w:w="724" w:type="dxa"/>
            <w:tcBorders>
              <w:top w:val="single" w:sz="4" w:space="0" w:color="auto"/>
              <w:left w:val="single" w:sz="4" w:space="0" w:color="auto"/>
              <w:bottom w:val="single" w:sz="4" w:space="0" w:color="auto"/>
              <w:right w:val="single" w:sz="4" w:space="0" w:color="auto"/>
            </w:tcBorders>
          </w:tcPr>
          <w:p w:rsidR="00A06858" w:rsidRDefault="00A06858">
            <w:pPr>
              <w:keepNext/>
              <w:keepLines/>
            </w:pPr>
          </w:p>
        </w:tc>
        <w:tc>
          <w:tcPr>
            <w:tcW w:w="723" w:type="dxa"/>
            <w:tcBorders>
              <w:top w:val="single" w:sz="4" w:space="0" w:color="auto"/>
              <w:left w:val="single" w:sz="4" w:space="0" w:color="auto"/>
              <w:bottom w:val="single" w:sz="4" w:space="0" w:color="auto"/>
              <w:right w:val="single" w:sz="4" w:space="0" w:color="auto"/>
            </w:tcBorders>
          </w:tcPr>
          <w:p w:rsidR="00A06858" w:rsidRDefault="00A06858">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A06858" w:rsidRDefault="00A06858">
            <w:pPr>
              <w:keepNext/>
              <w:keepLines/>
              <w:jc w:val="center"/>
            </w:pPr>
          </w:p>
        </w:tc>
        <w:tc>
          <w:tcPr>
            <w:tcW w:w="1508" w:type="dxa"/>
            <w:tcBorders>
              <w:top w:val="nil"/>
              <w:left w:val="single" w:sz="4" w:space="0" w:color="auto"/>
              <w:bottom w:val="nil"/>
              <w:right w:val="nil"/>
            </w:tcBorders>
            <w:hideMark/>
          </w:tcPr>
          <w:p w:rsidR="00A06858" w:rsidRDefault="00A06858">
            <w:pPr>
              <w:keepNext/>
              <w:keepLines/>
              <w:rPr>
                <w:sz w:val="16"/>
              </w:rPr>
            </w:pPr>
            <w:r>
              <w:rPr>
                <w:sz w:val="16"/>
              </w:rPr>
              <w:t>IV = Critical</w:t>
            </w:r>
          </w:p>
        </w:tc>
        <w:tc>
          <w:tcPr>
            <w:tcW w:w="1608" w:type="dxa"/>
            <w:tcBorders>
              <w:top w:val="nil"/>
              <w:left w:val="nil"/>
              <w:bottom w:val="nil"/>
              <w:right w:val="nil"/>
            </w:tcBorders>
            <w:hideMark/>
          </w:tcPr>
          <w:p w:rsidR="00A06858" w:rsidRDefault="00A06858">
            <w:pPr>
              <w:keepNext/>
              <w:keepLines/>
              <w:rPr>
                <w:sz w:val="16"/>
              </w:rPr>
            </w:pPr>
            <w:r>
              <w:rPr>
                <w:sz w:val="16"/>
              </w:rPr>
              <w:t>B = 75% - 97%</w:t>
            </w:r>
          </w:p>
        </w:tc>
      </w:tr>
      <w:tr w:rsidR="00A06858" w:rsidTr="00A06858">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A06858" w:rsidRDefault="00A06858">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A06858" w:rsidRDefault="00A06858">
            <w:pPr>
              <w:keepNext/>
              <w:keepLines/>
            </w:pPr>
            <w:r>
              <w:t>D</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A06858" w:rsidRDefault="00A06858">
            <w:pPr>
              <w:keepNext/>
              <w:keepLines/>
            </w:pP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A06858" w:rsidRDefault="007976CF">
            <w:pPr>
              <w:keepNext/>
              <w:keepLines/>
            </w:pPr>
            <w:r>
              <w:t>1</w:t>
            </w:r>
          </w:p>
        </w:tc>
        <w:tc>
          <w:tcPr>
            <w:tcW w:w="724" w:type="dxa"/>
            <w:tcBorders>
              <w:top w:val="single" w:sz="4" w:space="0" w:color="auto"/>
              <w:left w:val="single" w:sz="4" w:space="0" w:color="auto"/>
              <w:bottom w:val="single" w:sz="4" w:space="0" w:color="auto"/>
              <w:right w:val="single" w:sz="4" w:space="0" w:color="auto"/>
            </w:tcBorders>
          </w:tcPr>
          <w:p w:rsidR="00A06858" w:rsidRDefault="00A06858">
            <w:pPr>
              <w:keepNext/>
              <w:keepLines/>
            </w:pPr>
          </w:p>
        </w:tc>
        <w:tc>
          <w:tcPr>
            <w:tcW w:w="723" w:type="dxa"/>
            <w:tcBorders>
              <w:top w:val="single" w:sz="4" w:space="0" w:color="auto"/>
              <w:left w:val="single" w:sz="4" w:space="0" w:color="auto"/>
              <w:bottom w:val="single" w:sz="4" w:space="0" w:color="auto"/>
              <w:right w:val="single" w:sz="4" w:space="0" w:color="auto"/>
            </w:tcBorders>
          </w:tcPr>
          <w:p w:rsidR="00A06858" w:rsidRDefault="00A06858">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A06858" w:rsidRDefault="00A06858">
            <w:pPr>
              <w:keepNext/>
              <w:keepLines/>
              <w:jc w:val="center"/>
            </w:pPr>
          </w:p>
        </w:tc>
        <w:tc>
          <w:tcPr>
            <w:tcW w:w="1508" w:type="dxa"/>
            <w:tcBorders>
              <w:top w:val="nil"/>
              <w:left w:val="single" w:sz="4" w:space="0" w:color="auto"/>
              <w:bottom w:val="nil"/>
              <w:right w:val="nil"/>
            </w:tcBorders>
            <w:hideMark/>
          </w:tcPr>
          <w:p w:rsidR="00A06858" w:rsidRDefault="00A06858">
            <w:pPr>
              <w:keepNext/>
              <w:keepLines/>
              <w:rPr>
                <w:sz w:val="16"/>
              </w:rPr>
            </w:pPr>
            <w:r>
              <w:rPr>
                <w:sz w:val="16"/>
              </w:rPr>
              <w:t>III = Significant</w:t>
            </w:r>
          </w:p>
        </w:tc>
        <w:tc>
          <w:tcPr>
            <w:tcW w:w="1608" w:type="dxa"/>
            <w:tcBorders>
              <w:top w:val="nil"/>
              <w:left w:val="nil"/>
              <w:bottom w:val="nil"/>
              <w:right w:val="nil"/>
            </w:tcBorders>
            <w:hideMark/>
          </w:tcPr>
          <w:p w:rsidR="00A06858" w:rsidRDefault="00A06858">
            <w:pPr>
              <w:keepNext/>
              <w:keepLines/>
              <w:rPr>
                <w:sz w:val="16"/>
              </w:rPr>
            </w:pPr>
            <w:r>
              <w:rPr>
                <w:sz w:val="16"/>
              </w:rPr>
              <w:t>C = 50% - 74%</w:t>
            </w:r>
          </w:p>
        </w:tc>
      </w:tr>
      <w:tr w:rsidR="00A06858" w:rsidTr="00A06858">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A06858" w:rsidRDefault="00A06858">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A06858" w:rsidRDefault="00A06858">
            <w:pPr>
              <w:keepNext/>
              <w:keepLines/>
            </w:pPr>
            <w:r>
              <w:t>E</w:t>
            </w: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A06858" w:rsidRDefault="00A06858">
            <w:pPr>
              <w:keepNext/>
              <w:keepLines/>
            </w:pP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A06858" w:rsidRDefault="00A06858">
            <w:pPr>
              <w:keepNext/>
              <w:keepLines/>
            </w:pPr>
          </w:p>
        </w:tc>
        <w:tc>
          <w:tcPr>
            <w:tcW w:w="724" w:type="dxa"/>
            <w:tcBorders>
              <w:top w:val="single" w:sz="4" w:space="0" w:color="auto"/>
              <w:left w:val="single" w:sz="4" w:space="0" w:color="auto"/>
              <w:bottom w:val="single" w:sz="4" w:space="0" w:color="auto"/>
              <w:right w:val="single" w:sz="4" w:space="0" w:color="auto"/>
            </w:tcBorders>
          </w:tcPr>
          <w:p w:rsidR="00A06858" w:rsidRDefault="00A06858">
            <w:pPr>
              <w:keepNext/>
              <w:keepLines/>
            </w:pPr>
          </w:p>
        </w:tc>
        <w:tc>
          <w:tcPr>
            <w:tcW w:w="723" w:type="dxa"/>
            <w:tcBorders>
              <w:top w:val="single" w:sz="4" w:space="0" w:color="auto"/>
              <w:left w:val="single" w:sz="4" w:space="0" w:color="auto"/>
              <w:bottom w:val="single" w:sz="4" w:space="0" w:color="auto"/>
              <w:right w:val="single" w:sz="4" w:space="0" w:color="auto"/>
            </w:tcBorders>
          </w:tcPr>
          <w:p w:rsidR="00A06858" w:rsidRDefault="00A06858">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A06858" w:rsidRDefault="00A06858">
            <w:pPr>
              <w:keepNext/>
              <w:keepLines/>
              <w:jc w:val="center"/>
            </w:pPr>
          </w:p>
        </w:tc>
        <w:tc>
          <w:tcPr>
            <w:tcW w:w="1508" w:type="dxa"/>
            <w:tcBorders>
              <w:top w:val="nil"/>
              <w:left w:val="single" w:sz="4" w:space="0" w:color="auto"/>
              <w:bottom w:val="nil"/>
              <w:right w:val="nil"/>
            </w:tcBorders>
            <w:hideMark/>
          </w:tcPr>
          <w:p w:rsidR="00A06858" w:rsidRDefault="00A06858">
            <w:pPr>
              <w:keepNext/>
              <w:keepLines/>
              <w:rPr>
                <w:sz w:val="16"/>
              </w:rPr>
            </w:pPr>
            <w:r>
              <w:rPr>
                <w:sz w:val="16"/>
              </w:rPr>
              <w:t>II = Marginal</w:t>
            </w:r>
          </w:p>
        </w:tc>
        <w:tc>
          <w:tcPr>
            <w:tcW w:w="1608" w:type="dxa"/>
            <w:tcBorders>
              <w:top w:val="nil"/>
              <w:left w:val="nil"/>
              <w:bottom w:val="nil"/>
              <w:right w:val="nil"/>
            </w:tcBorders>
            <w:hideMark/>
          </w:tcPr>
          <w:p w:rsidR="00A06858" w:rsidRDefault="00A06858">
            <w:pPr>
              <w:keepNext/>
              <w:keepLines/>
              <w:rPr>
                <w:sz w:val="16"/>
              </w:rPr>
            </w:pPr>
            <w:r>
              <w:rPr>
                <w:sz w:val="16"/>
              </w:rPr>
              <w:t>D = 25% - 49%</w:t>
            </w:r>
          </w:p>
        </w:tc>
      </w:tr>
      <w:tr w:rsidR="00A06858" w:rsidTr="00A06858">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A06858" w:rsidRDefault="00A06858">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hideMark/>
          </w:tcPr>
          <w:p w:rsidR="00A06858" w:rsidRDefault="00A06858">
            <w:pPr>
              <w:keepNext/>
              <w:keepLines/>
            </w:pPr>
            <w:r>
              <w:t>F</w:t>
            </w:r>
          </w:p>
        </w:tc>
        <w:tc>
          <w:tcPr>
            <w:tcW w:w="723" w:type="dxa"/>
            <w:tcBorders>
              <w:top w:val="single" w:sz="4" w:space="0" w:color="auto"/>
              <w:left w:val="single" w:sz="4" w:space="0" w:color="auto"/>
              <w:bottom w:val="single" w:sz="4" w:space="0" w:color="auto"/>
              <w:right w:val="single" w:sz="4" w:space="0" w:color="auto"/>
            </w:tcBorders>
            <w:shd w:val="pct15" w:color="auto" w:fill="FFFFFF"/>
            <w:hideMark/>
          </w:tcPr>
          <w:p w:rsidR="00A06858" w:rsidRDefault="00A06858">
            <w:pPr>
              <w:keepNext/>
              <w:keepLines/>
            </w:pPr>
          </w:p>
        </w:tc>
        <w:tc>
          <w:tcPr>
            <w:tcW w:w="723" w:type="dxa"/>
            <w:tcBorders>
              <w:top w:val="single" w:sz="4" w:space="0" w:color="auto"/>
              <w:left w:val="single" w:sz="4" w:space="0" w:color="auto"/>
              <w:bottom w:val="single" w:sz="4" w:space="0" w:color="auto"/>
              <w:right w:val="single" w:sz="4" w:space="0" w:color="auto"/>
            </w:tcBorders>
            <w:shd w:val="pct15" w:color="auto" w:fill="FFFFFF"/>
          </w:tcPr>
          <w:p w:rsidR="00A06858" w:rsidRDefault="00A06858">
            <w:pPr>
              <w:keepNext/>
              <w:keepLines/>
            </w:pPr>
          </w:p>
        </w:tc>
        <w:tc>
          <w:tcPr>
            <w:tcW w:w="724" w:type="dxa"/>
            <w:tcBorders>
              <w:top w:val="single" w:sz="4" w:space="0" w:color="auto"/>
              <w:left w:val="single" w:sz="4" w:space="0" w:color="auto"/>
              <w:bottom w:val="single" w:sz="4" w:space="0" w:color="auto"/>
              <w:right w:val="single" w:sz="4" w:space="0" w:color="auto"/>
            </w:tcBorders>
            <w:shd w:val="pct15" w:color="auto" w:fill="FFFFFF"/>
          </w:tcPr>
          <w:p w:rsidR="00A06858" w:rsidRDefault="00A06858">
            <w:pPr>
              <w:keepNext/>
              <w:keepLines/>
            </w:pPr>
          </w:p>
        </w:tc>
        <w:tc>
          <w:tcPr>
            <w:tcW w:w="723" w:type="dxa"/>
            <w:tcBorders>
              <w:top w:val="single" w:sz="4" w:space="0" w:color="auto"/>
              <w:left w:val="single" w:sz="4" w:space="0" w:color="auto"/>
              <w:bottom w:val="single" w:sz="4" w:space="0" w:color="auto"/>
              <w:right w:val="single" w:sz="4" w:space="0" w:color="auto"/>
            </w:tcBorders>
          </w:tcPr>
          <w:p w:rsidR="00A06858" w:rsidRDefault="00A06858">
            <w:pPr>
              <w:keepNext/>
              <w:keepLines/>
              <w:jc w:val="center"/>
            </w:pPr>
          </w:p>
        </w:tc>
        <w:tc>
          <w:tcPr>
            <w:tcW w:w="724" w:type="dxa"/>
            <w:tcBorders>
              <w:top w:val="single" w:sz="4" w:space="0" w:color="auto"/>
              <w:left w:val="single" w:sz="4" w:space="0" w:color="auto"/>
              <w:bottom w:val="single" w:sz="4" w:space="0" w:color="auto"/>
              <w:right w:val="single" w:sz="4" w:space="0" w:color="auto"/>
            </w:tcBorders>
          </w:tcPr>
          <w:p w:rsidR="00A06858" w:rsidRDefault="00A06858">
            <w:pPr>
              <w:keepNext/>
              <w:keepLines/>
              <w:jc w:val="center"/>
            </w:pPr>
          </w:p>
        </w:tc>
        <w:tc>
          <w:tcPr>
            <w:tcW w:w="1508" w:type="dxa"/>
            <w:tcBorders>
              <w:top w:val="nil"/>
              <w:left w:val="single" w:sz="4" w:space="0" w:color="auto"/>
              <w:bottom w:val="nil"/>
              <w:right w:val="nil"/>
            </w:tcBorders>
            <w:hideMark/>
          </w:tcPr>
          <w:p w:rsidR="00A06858" w:rsidRDefault="00A06858">
            <w:pPr>
              <w:keepNext/>
              <w:keepLines/>
              <w:rPr>
                <w:sz w:val="16"/>
              </w:rPr>
            </w:pPr>
            <w:r>
              <w:rPr>
                <w:sz w:val="16"/>
              </w:rPr>
              <w:t>I = Negligible</w:t>
            </w:r>
          </w:p>
        </w:tc>
        <w:tc>
          <w:tcPr>
            <w:tcW w:w="1608" w:type="dxa"/>
            <w:tcBorders>
              <w:top w:val="nil"/>
              <w:left w:val="nil"/>
              <w:bottom w:val="nil"/>
              <w:right w:val="nil"/>
            </w:tcBorders>
            <w:hideMark/>
          </w:tcPr>
          <w:p w:rsidR="00A06858" w:rsidRDefault="00A06858">
            <w:pPr>
              <w:keepNext/>
              <w:keepLines/>
              <w:rPr>
                <w:sz w:val="16"/>
              </w:rPr>
            </w:pPr>
            <w:r>
              <w:rPr>
                <w:sz w:val="16"/>
              </w:rPr>
              <w:t>E = 3% - 24%</w:t>
            </w:r>
          </w:p>
        </w:tc>
      </w:tr>
      <w:tr w:rsidR="00A06858" w:rsidTr="00A06858">
        <w:trPr>
          <w:cantSplit/>
        </w:trPr>
        <w:tc>
          <w:tcPr>
            <w:tcW w:w="645" w:type="dxa"/>
            <w:vMerge/>
            <w:tcBorders>
              <w:top w:val="single" w:sz="4" w:space="0" w:color="auto"/>
              <w:left w:val="single" w:sz="4" w:space="0" w:color="auto"/>
              <w:bottom w:val="single" w:sz="4" w:space="0" w:color="auto"/>
              <w:right w:val="single" w:sz="4" w:space="0" w:color="auto"/>
            </w:tcBorders>
            <w:vAlign w:val="center"/>
            <w:hideMark/>
          </w:tcPr>
          <w:p w:rsidR="00A06858" w:rsidRDefault="00A06858">
            <w:pPr>
              <w:tabs>
                <w:tab w:val="clear" w:pos="1260"/>
                <w:tab w:val="clear" w:pos="1980"/>
                <w:tab w:val="clear" w:pos="2700"/>
                <w:tab w:val="clear" w:pos="3420"/>
              </w:tabs>
              <w:jc w:val="left"/>
              <w:rPr>
                <w:b/>
                <w:szCs w:val="22"/>
              </w:rPr>
            </w:pPr>
          </w:p>
        </w:tc>
        <w:tc>
          <w:tcPr>
            <w:tcW w:w="452" w:type="dxa"/>
            <w:tcBorders>
              <w:top w:val="single" w:sz="4" w:space="0" w:color="auto"/>
              <w:left w:val="single" w:sz="4" w:space="0" w:color="auto"/>
              <w:bottom w:val="single" w:sz="4" w:space="0" w:color="auto"/>
              <w:right w:val="single" w:sz="4" w:space="0" w:color="auto"/>
            </w:tcBorders>
          </w:tcPr>
          <w:p w:rsidR="00A06858" w:rsidRDefault="00A06858">
            <w:pPr>
              <w:keepNext/>
              <w:keepLines/>
            </w:pPr>
          </w:p>
        </w:tc>
        <w:tc>
          <w:tcPr>
            <w:tcW w:w="723" w:type="dxa"/>
            <w:tcBorders>
              <w:top w:val="single" w:sz="4" w:space="0" w:color="auto"/>
              <w:left w:val="single" w:sz="4" w:space="0" w:color="auto"/>
              <w:bottom w:val="single" w:sz="4" w:space="0" w:color="auto"/>
              <w:right w:val="single" w:sz="4" w:space="0" w:color="auto"/>
            </w:tcBorders>
            <w:hideMark/>
          </w:tcPr>
          <w:p w:rsidR="00A06858" w:rsidRDefault="00A06858">
            <w:pPr>
              <w:keepNext/>
              <w:keepLines/>
              <w:jc w:val="center"/>
            </w:pPr>
            <w:r>
              <w:t>I</w:t>
            </w:r>
          </w:p>
        </w:tc>
        <w:tc>
          <w:tcPr>
            <w:tcW w:w="723" w:type="dxa"/>
            <w:tcBorders>
              <w:top w:val="single" w:sz="4" w:space="0" w:color="auto"/>
              <w:left w:val="single" w:sz="4" w:space="0" w:color="auto"/>
              <w:bottom w:val="single" w:sz="4" w:space="0" w:color="auto"/>
              <w:right w:val="single" w:sz="4" w:space="0" w:color="auto"/>
            </w:tcBorders>
            <w:hideMark/>
          </w:tcPr>
          <w:p w:rsidR="00A06858" w:rsidRDefault="00A06858">
            <w:pPr>
              <w:keepNext/>
              <w:keepLines/>
              <w:jc w:val="center"/>
            </w:pPr>
            <w:r>
              <w:t>II</w:t>
            </w:r>
          </w:p>
        </w:tc>
        <w:tc>
          <w:tcPr>
            <w:tcW w:w="724" w:type="dxa"/>
            <w:tcBorders>
              <w:top w:val="single" w:sz="4" w:space="0" w:color="auto"/>
              <w:left w:val="single" w:sz="4" w:space="0" w:color="auto"/>
              <w:bottom w:val="single" w:sz="4" w:space="0" w:color="auto"/>
              <w:right w:val="single" w:sz="4" w:space="0" w:color="auto"/>
            </w:tcBorders>
            <w:hideMark/>
          </w:tcPr>
          <w:p w:rsidR="00A06858" w:rsidRDefault="00A06858">
            <w:pPr>
              <w:keepNext/>
              <w:keepLines/>
              <w:jc w:val="center"/>
            </w:pPr>
            <w:r>
              <w:t>III</w:t>
            </w:r>
          </w:p>
        </w:tc>
        <w:tc>
          <w:tcPr>
            <w:tcW w:w="723" w:type="dxa"/>
            <w:tcBorders>
              <w:top w:val="single" w:sz="4" w:space="0" w:color="auto"/>
              <w:left w:val="single" w:sz="4" w:space="0" w:color="auto"/>
              <w:bottom w:val="single" w:sz="4" w:space="0" w:color="auto"/>
              <w:right w:val="single" w:sz="4" w:space="0" w:color="auto"/>
            </w:tcBorders>
            <w:hideMark/>
          </w:tcPr>
          <w:p w:rsidR="00A06858" w:rsidRDefault="00A06858">
            <w:pPr>
              <w:keepNext/>
              <w:keepLines/>
              <w:jc w:val="center"/>
            </w:pPr>
            <w:r>
              <w:t>IV</w:t>
            </w:r>
          </w:p>
        </w:tc>
        <w:tc>
          <w:tcPr>
            <w:tcW w:w="724" w:type="dxa"/>
            <w:tcBorders>
              <w:top w:val="single" w:sz="4" w:space="0" w:color="auto"/>
              <w:left w:val="single" w:sz="4" w:space="0" w:color="auto"/>
              <w:bottom w:val="single" w:sz="4" w:space="0" w:color="auto"/>
              <w:right w:val="single" w:sz="4" w:space="0" w:color="auto"/>
            </w:tcBorders>
            <w:hideMark/>
          </w:tcPr>
          <w:p w:rsidR="00A06858" w:rsidRDefault="00A06858">
            <w:pPr>
              <w:keepNext/>
              <w:keepLines/>
              <w:jc w:val="center"/>
            </w:pPr>
            <w:r>
              <w:t>V</w:t>
            </w:r>
          </w:p>
        </w:tc>
        <w:tc>
          <w:tcPr>
            <w:tcW w:w="1508" w:type="dxa"/>
            <w:tcBorders>
              <w:top w:val="nil"/>
              <w:left w:val="single" w:sz="4" w:space="0" w:color="auto"/>
              <w:bottom w:val="nil"/>
              <w:right w:val="nil"/>
            </w:tcBorders>
          </w:tcPr>
          <w:p w:rsidR="00A06858" w:rsidRDefault="00A06858">
            <w:pPr>
              <w:keepNext/>
              <w:keepLines/>
            </w:pPr>
          </w:p>
        </w:tc>
        <w:tc>
          <w:tcPr>
            <w:tcW w:w="1608" w:type="dxa"/>
            <w:tcBorders>
              <w:top w:val="nil"/>
              <w:left w:val="nil"/>
              <w:bottom w:val="nil"/>
              <w:right w:val="nil"/>
            </w:tcBorders>
            <w:hideMark/>
          </w:tcPr>
          <w:p w:rsidR="00A06858" w:rsidRDefault="00A06858">
            <w:pPr>
              <w:keepNext/>
              <w:keepLines/>
              <w:rPr>
                <w:sz w:val="16"/>
              </w:rPr>
            </w:pPr>
            <w:r>
              <w:rPr>
                <w:sz w:val="16"/>
              </w:rPr>
              <w:t xml:space="preserve">F = </w:t>
            </w:r>
            <w:r>
              <w:rPr>
                <w:spacing w:val="-8"/>
                <w:sz w:val="16"/>
              </w:rPr>
              <w:t xml:space="preserve"> &lt;2%</w:t>
            </w:r>
          </w:p>
        </w:tc>
      </w:tr>
      <w:tr w:rsidR="00A06858" w:rsidTr="00A06858">
        <w:trPr>
          <w:cantSplit/>
          <w:trHeight w:val="387"/>
        </w:trPr>
        <w:tc>
          <w:tcPr>
            <w:tcW w:w="645" w:type="dxa"/>
            <w:vMerge/>
            <w:tcBorders>
              <w:top w:val="single" w:sz="4" w:space="0" w:color="auto"/>
              <w:left w:val="single" w:sz="4" w:space="0" w:color="auto"/>
              <w:bottom w:val="single" w:sz="4" w:space="0" w:color="auto"/>
              <w:right w:val="single" w:sz="4" w:space="0" w:color="auto"/>
            </w:tcBorders>
            <w:vAlign w:val="center"/>
            <w:hideMark/>
          </w:tcPr>
          <w:p w:rsidR="00A06858" w:rsidRDefault="00A06858">
            <w:pPr>
              <w:tabs>
                <w:tab w:val="clear" w:pos="1260"/>
                <w:tab w:val="clear" w:pos="1980"/>
                <w:tab w:val="clear" w:pos="2700"/>
                <w:tab w:val="clear" w:pos="3420"/>
              </w:tabs>
              <w:jc w:val="left"/>
              <w:rPr>
                <w:b/>
                <w:szCs w:val="22"/>
              </w:rPr>
            </w:pPr>
          </w:p>
        </w:tc>
        <w:tc>
          <w:tcPr>
            <w:tcW w:w="4069" w:type="dxa"/>
            <w:gridSpan w:val="6"/>
            <w:tcBorders>
              <w:top w:val="single" w:sz="4" w:space="0" w:color="auto"/>
              <w:left w:val="single" w:sz="4" w:space="0" w:color="auto"/>
              <w:bottom w:val="single" w:sz="4" w:space="0" w:color="auto"/>
              <w:right w:val="single" w:sz="4" w:space="0" w:color="auto"/>
            </w:tcBorders>
          </w:tcPr>
          <w:p w:rsidR="00A06858" w:rsidRDefault="00A06858">
            <w:pPr>
              <w:keepNext/>
              <w:keepLines/>
              <w:spacing w:before="40"/>
              <w:jc w:val="center"/>
              <w:rPr>
                <w:b/>
                <w:szCs w:val="22"/>
              </w:rPr>
            </w:pPr>
            <w:r>
              <w:rPr>
                <w:b/>
                <w:szCs w:val="22"/>
              </w:rPr>
              <w:t>Impact</w:t>
            </w:r>
          </w:p>
          <w:p w:rsidR="00A06858" w:rsidRDefault="00A06858">
            <w:pPr>
              <w:keepNext/>
              <w:keepLines/>
              <w:rPr>
                <w:b/>
                <w:sz w:val="20"/>
              </w:rPr>
            </w:pPr>
          </w:p>
        </w:tc>
        <w:tc>
          <w:tcPr>
            <w:tcW w:w="1508" w:type="dxa"/>
            <w:tcBorders>
              <w:top w:val="nil"/>
              <w:left w:val="single" w:sz="4" w:space="0" w:color="auto"/>
              <w:bottom w:val="nil"/>
              <w:right w:val="nil"/>
            </w:tcBorders>
          </w:tcPr>
          <w:p w:rsidR="00A06858" w:rsidRDefault="00A06858">
            <w:pPr>
              <w:keepNext/>
              <w:keepLines/>
            </w:pPr>
          </w:p>
        </w:tc>
        <w:tc>
          <w:tcPr>
            <w:tcW w:w="1608" w:type="dxa"/>
            <w:tcBorders>
              <w:top w:val="nil"/>
              <w:left w:val="nil"/>
              <w:bottom w:val="nil"/>
              <w:right w:val="nil"/>
            </w:tcBorders>
          </w:tcPr>
          <w:p w:rsidR="00A06858" w:rsidRDefault="00A06858">
            <w:pPr>
              <w:keepNext/>
              <w:keepLines/>
            </w:pPr>
          </w:p>
        </w:tc>
      </w:tr>
    </w:tbl>
    <w:p w:rsidR="00094495" w:rsidRDefault="00094495" w:rsidP="00094495">
      <w:pPr>
        <w:pStyle w:val="Heading2"/>
        <w:ind w:left="1260" w:hanging="1260"/>
      </w:pPr>
    </w:p>
    <w:p w:rsidR="00BF34FA" w:rsidRDefault="00A06858" w:rsidP="00094495">
      <w:pPr>
        <w:pStyle w:val="Heading2"/>
        <w:ind w:left="1260" w:hanging="1260"/>
        <w:rPr>
          <w:b/>
          <w:i/>
          <w:color w:val="008000"/>
        </w:rPr>
      </w:pPr>
      <w:r>
        <w:t>1</w:t>
      </w:r>
      <w:r w:rsidR="007038AD">
        <w:t>3</w:t>
      </w:r>
      <w:r>
        <w:t>.</w:t>
      </w:r>
      <w:r w:rsidR="007038AD">
        <w:t>7</w:t>
      </w:r>
      <w:r>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7038AD" w:rsidRDefault="007038AD">
      <w:pPr>
        <w:pStyle w:val="BodyTextIndent"/>
      </w:pPr>
    </w:p>
    <w:p w:rsidR="00BF34FA" w:rsidRPr="00094495" w:rsidRDefault="00BF34FA" w:rsidP="00094495">
      <w:pPr>
        <w:pStyle w:val="Heading1"/>
        <w:rPr>
          <w:b/>
        </w:rPr>
      </w:pPr>
      <w:r w:rsidRPr="00094495">
        <w:rPr>
          <w:b/>
        </w:rPr>
        <w:t>1</w:t>
      </w:r>
      <w:r w:rsidR="007038AD" w:rsidRPr="00094495">
        <w:rPr>
          <w:b/>
        </w:rPr>
        <w:t>4</w:t>
      </w:r>
      <w:r w:rsidRPr="00094495">
        <w:rPr>
          <w:b/>
        </w:rPr>
        <w:t>.</w:t>
      </w:r>
      <w:r w:rsidRPr="00094495">
        <w:rPr>
          <w:b/>
        </w:rPr>
        <w:fldChar w:fldCharType="begin"/>
      </w:r>
      <w:r w:rsidRPr="00094495">
        <w:rPr>
          <w:b/>
        </w:rPr>
        <w:instrText xml:space="preserve">  </w:instrText>
      </w:r>
      <w:r w:rsidRPr="00094495">
        <w:rPr>
          <w:b/>
        </w:rPr>
        <w:fldChar w:fldCharType="end"/>
      </w:r>
      <w:r w:rsidRPr="00094495">
        <w:rPr>
          <w:b/>
        </w:rPr>
        <w:tab/>
        <w:t>Recommendation</w:t>
      </w:r>
    </w:p>
    <w:p w:rsidR="00BF34FA" w:rsidRDefault="00BF34FA">
      <w:pPr>
        <w:keepNext/>
        <w:ind w:left="1267" w:hanging="1267"/>
      </w:pPr>
    </w:p>
    <w:p w:rsidR="0083173F" w:rsidRDefault="00BF34FA" w:rsidP="00094495">
      <w:pPr>
        <w:pStyle w:val="Heading2"/>
        <w:ind w:left="1260" w:hanging="1260"/>
      </w:pPr>
      <w:r>
        <w:t>1</w:t>
      </w:r>
      <w:r w:rsidR="007038AD">
        <w:t>4</w:t>
      </w:r>
      <w:r>
        <w:t>.1</w:t>
      </w:r>
      <w:r>
        <w:tab/>
        <w:t xml:space="preserve">That </w:t>
      </w:r>
      <w:r>
        <w:fldChar w:fldCharType="begin"/>
      </w:r>
      <w:r>
        <w:instrText xml:space="preserve">  </w:instrText>
      </w:r>
      <w:r>
        <w:fldChar w:fldCharType="end"/>
      </w:r>
      <w:r w:rsidR="009A2204">
        <w:t xml:space="preserve">the </w:t>
      </w:r>
      <w:r w:rsidR="00246E3B">
        <w:t>C</w:t>
      </w:r>
      <w:r w:rsidR="009A2204">
        <w:t>ommittee agree that a letter be agreed with HCC ahead of a full agency agreement for the functions set out in Section 2 above.</w:t>
      </w:r>
    </w:p>
    <w:p w:rsidR="009A2204" w:rsidRDefault="009A2204" w:rsidP="009A2204">
      <w:pPr>
        <w:ind w:left="1276" w:hanging="1276"/>
      </w:pPr>
    </w:p>
    <w:p w:rsidR="009A2204" w:rsidRDefault="009A2204" w:rsidP="00094495">
      <w:pPr>
        <w:pStyle w:val="Heading2"/>
        <w:ind w:left="1260" w:hanging="1260"/>
        <w:rPr>
          <w:b/>
          <w:i/>
          <w:color w:val="008000"/>
        </w:rPr>
      </w:pPr>
      <w:r>
        <w:t>1</w:t>
      </w:r>
      <w:r w:rsidR="007038AD">
        <w:t>4</w:t>
      </w:r>
      <w:r>
        <w:t>.2</w:t>
      </w:r>
      <w:r>
        <w:tab/>
        <w:t xml:space="preserve">That the </w:t>
      </w:r>
      <w:r w:rsidR="00246E3B">
        <w:t>C</w:t>
      </w:r>
      <w:r>
        <w:t>ommittee delegate authority to the Director, DCES, to finalise the wording of the letter in agreement with the</w:t>
      </w:r>
      <w:r w:rsidR="00E35715">
        <w:t xml:space="preserve"> relevant</w:t>
      </w:r>
      <w:r>
        <w:t xml:space="preserve"> Lead Member</w:t>
      </w:r>
      <w:r w:rsidR="00E35715">
        <w:t>s</w:t>
      </w:r>
      <w:r>
        <w:t>.</w:t>
      </w:r>
    </w:p>
    <w:p w:rsidR="00BF34FA" w:rsidRDefault="00BF34FA" w:rsidP="00A06858">
      <w:pPr>
        <w:ind w:left="1260" w:hanging="1260"/>
      </w:pPr>
      <w:r>
        <w:rPr>
          <w:b/>
          <w:i/>
          <w:color w:val="008000"/>
        </w:rPr>
        <w:tab/>
      </w:r>
    </w:p>
    <w:p w:rsidR="00BF34FA" w:rsidRDefault="00BF34FA">
      <w:r>
        <w:tab/>
        <w:t>Report prepared by:</w:t>
      </w:r>
      <w:r>
        <w:tab/>
      </w:r>
      <w:r>
        <w:fldChar w:fldCharType="begin"/>
      </w:r>
      <w:r>
        <w:instrText xml:space="preserve">  </w:instrText>
      </w:r>
      <w:r>
        <w:fldChar w:fldCharType="end"/>
      </w:r>
      <w:r w:rsidR="009A2204">
        <w:t>P Simons, Senior Transport Planner, Regulatory Services</w:t>
      </w:r>
    </w:p>
    <w:p w:rsidR="009A2204" w:rsidRDefault="009A2204">
      <w:pPr>
        <w:rPr>
          <w:b/>
          <w:i/>
          <w:color w:val="008000"/>
        </w:rPr>
      </w:pPr>
      <w:r>
        <w:tab/>
      </w:r>
      <w:r>
        <w:tab/>
      </w:r>
      <w:r>
        <w:tab/>
      </w:r>
      <w:r>
        <w:tab/>
        <w:t xml:space="preserve">M Clarke, </w:t>
      </w:r>
      <w:r w:rsidR="00A06858" w:rsidRPr="00A06858">
        <w:t>Waste and Environment Manager</w:t>
      </w:r>
    </w:p>
    <w:p w:rsidR="00BF34FA" w:rsidRDefault="00BF34FA">
      <w:pPr>
        <w:ind w:left="1253" w:hanging="1253"/>
      </w:pPr>
    </w:p>
    <w:p w:rsidR="00BF34FA" w:rsidRDefault="00BF34FA" w:rsidP="000431C7">
      <w:pPr>
        <w:keepNext/>
        <w:keepLines/>
        <w:ind w:left="1267" w:hanging="1267"/>
        <w:outlineLvl w:val="0"/>
        <w:rPr>
          <w:b/>
        </w:rPr>
      </w:pPr>
      <w:r>
        <w:tab/>
      </w:r>
      <w:r>
        <w:rPr>
          <w:b/>
        </w:rPr>
        <w:t>Data Quality</w:t>
      </w:r>
    </w:p>
    <w:p w:rsidR="00BF34FA" w:rsidRDefault="00BF34FA" w:rsidP="000431C7">
      <w:pPr>
        <w:keepNext/>
        <w:keepLines/>
        <w:ind w:left="1267" w:hanging="1267"/>
      </w:pPr>
      <w:r>
        <w:rPr>
          <w:b/>
        </w:rPr>
        <w:tab/>
      </w:r>
      <w:r>
        <w:t>Data sources:</w:t>
      </w:r>
      <w:r w:rsidR="00A06858">
        <w:t xml:space="preserve"> None.</w:t>
      </w:r>
    </w:p>
    <w:p w:rsidR="00BF34FA" w:rsidRDefault="00BF34FA" w:rsidP="000431C7">
      <w:pPr>
        <w:keepNext/>
        <w:keepLines/>
        <w:ind w:left="1267" w:hanging="1267"/>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BF34FA" w:rsidTr="00BF34FA">
        <w:trPr>
          <w:trHeight w:hRule="exact" w:val="346"/>
        </w:trPr>
        <w:tc>
          <w:tcPr>
            <w:tcW w:w="392" w:type="dxa"/>
            <w:vAlign w:val="center"/>
          </w:tcPr>
          <w:p w:rsidR="00BF34FA" w:rsidRDefault="00246E3B" w:rsidP="00246E3B">
            <w:pPr>
              <w:keepNext/>
              <w:keepLines/>
              <w:jc w:val="left"/>
            </w:pPr>
            <w:r>
              <w:t>1</w:t>
            </w:r>
          </w:p>
        </w:tc>
        <w:tc>
          <w:tcPr>
            <w:tcW w:w="1276" w:type="dxa"/>
            <w:vAlign w:val="center"/>
          </w:tcPr>
          <w:p w:rsidR="00BF34FA" w:rsidRDefault="00BF34FA" w:rsidP="00BF34FA">
            <w:pPr>
              <w:keepNext/>
              <w:keepLines/>
            </w:pPr>
            <w:r>
              <w:t>Poor</w:t>
            </w:r>
          </w:p>
        </w:tc>
        <w:tc>
          <w:tcPr>
            <w:tcW w:w="492" w:type="dxa"/>
            <w:vAlign w:val="center"/>
          </w:tcPr>
          <w:p w:rsidR="00BF34FA" w:rsidRDefault="00BF34FA" w:rsidP="00BF34FA">
            <w:pPr>
              <w:keepNext/>
              <w:keepLines/>
              <w:jc w:val="center"/>
            </w:pPr>
          </w:p>
        </w:tc>
      </w:tr>
      <w:tr w:rsidR="00BF34FA" w:rsidTr="00BF34FA">
        <w:trPr>
          <w:trHeight w:hRule="exact" w:val="346"/>
        </w:trPr>
        <w:tc>
          <w:tcPr>
            <w:tcW w:w="392" w:type="dxa"/>
            <w:vAlign w:val="center"/>
          </w:tcPr>
          <w:p w:rsidR="00BF34FA" w:rsidRDefault="00BF34FA" w:rsidP="00BF34FA">
            <w:pPr>
              <w:keepNext/>
              <w:keepLines/>
            </w:pPr>
            <w:r>
              <w:t>2</w:t>
            </w:r>
          </w:p>
        </w:tc>
        <w:tc>
          <w:tcPr>
            <w:tcW w:w="1276" w:type="dxa"/>
            <w:vAlign w:val="center"/>
          </w:tcPr>
          <w:p w:rsidR="00BF34FA" w:rsidRDefault="00BF34FA" w:rsidP="00BF34FA">
            <w:pPr>
              <w:keepNext/>
              <w:keepLines/>
            </w:pPr>
            <w:r>
              <w:t>Sufficient</w:t>
            </w:r>
          </w:p>
        </w:tc>
        <w:tc>
          <w:tcPr>
            <w:tcW w:w="492" w:type="dxa"/>
            <w:vAlign w:val="center"/>
          </w:tcPr>
          <w:p w:rsidR="00BF34FA" w:rsidRDefault="008C621A" w:rsidP="00BF34FA">
            <w:pPr>
              <w:keepNext/>
              <w:keepLines/>
              <w:jc w:val="center"/>
            </w:pPr>
            <w:r>
              <w:t>X</w:t>
            </w:r>
          </w:p>
        </w:tc>
      </w:tr>
      <w:tr w:rsidR="00BF34FA" w:rsidTr="00BF34FA">
        <w:trPr>
          <w:trHeight w:hRule="exact" w:val="346"/>
        </w:trPr>
        <w:tc>
          <w:tcPr>
            <w:tcW w:w="392" w:type="dxa"/>
            <w:vAlign w:val="center"/>
          </w:tcPr>
          <w:p w:rsidR="00BF34FA" w:rsidRDefault="00BF34FA" w:rsidP="00BF34FA">
            <w:pPr>
              <w:keepNext/>
              <w:keepLines/>
            </w:pPr>
            <w:r>
              <w:t>3</w:t>
            </w:r>
          </w:p>
        </w:tc>
        <w:tc>
          <w:tcPr>
            <w:tcW w:w="1276" w:type="dxa"/>
            <w:vAlign w:val="center"/>
          </w:tcPr>
          <w:p w:rsidR="00BF34FA" w:rsidRDefault="00BF34FA" w:rsidP="00BF34FA">
            <w:pPr>
              <w:keepNext/>
              <w:keepLines/>
            </w:pPr>
            <w:r>
              <w:t>High</w:t>
            </w:r>
          </w:p>
        </w:tc>
        <w:tc>
          <w:tcPr>
            <w:tcW w:w="492" w:type="dxa"/>
            <w:vAlign w:val="center"/>
          </w:tcPr>
          <w:p w:rsidR="00BF34FA" w:rsidRDefault="00BF34FA" w:rsidP="00BF34FA">
            <w:pPr>
              <w:keepNext/>
              <w:keepLines/>
              <w:jc w:val="center"/>
            </w:pPr>
          </w:p>
        </w:tc>
      </w:tr>
    </w:tbl>
    <w:p w:rsidR="00BF34FA" w:rsidRDefault="00BF34FA"/>
    <w:p w:rsidR="00BF34FA" w:rsidRDefault="00BF34FA">
      <w:pPr>
        <w:keepNext/>
        <w:ind w:left="1267" w:hanging="1267"/>
        <w:rPr>
          <w:b/>
        </w:rPr>
      </w:pPr>
      <w:r>
        <w:tab/>
      </w:r>
      <w:r>
        <w:rPr>
          <w:b/>
        </w:rPr>
        <w:t>Background Papers</w:t>
      </w:r>
    </w:p>
    <w:p w:rsidR="00A06858" w:rsidRDefault="00A06858" w:rsidP="00A06858">
      <w:pPr>
        <w:ind w:left="1260"/>
      </w:pPr>
      <w:r w:rsidRPr="00A06858">
        <w:t>HIGHWAYS WEEDSPRAYING</w:t>
      </w:r>
      <w:r>
        <w:t xml:space="preserve"> REPORT - GENERAL PUBLIC SERVICES AND COMMUNITY SAFETY COMMITTEE</w:t>
      </w:r>
      <w:r w:rsidR="0026051E">
        <w:t xml:space="preserve"> (</w:t>
      </w:r>
      <w:r>
        <w:t>12 NOVEMBER 2015</w:t>
      </w:r>
      <w:r w:rsidR="0026051E">
        <w:t>)</w:t>
      </w:r>
      <w:r>
        <w:t xml:space="preserve"> </w:t>
      </w:r>
    </w:p>
    <w:sectPr w:rsidR="00A06858">
      <w:footerReference w:type="default" r:id="rId9"/>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344" w:rsidRDefault="00435344">
      <w:r>
        <w:separator/>
      </w:r>
    </w:p>
  </w:endnote>
  <w:endnote w:type="continuationSeparator" w:id="0">
    <w:p w:rsidR="00435344" w:rsidRDefault="0043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EC" w:rsidRDefault="006938EC">
    <w:pPr>
      <w:pStyle w:val="Footer"/>
      <w:tabs>
        <w:tab w:val="clear" w:pos="4153"/>
        <w:tab w:val="clear" w:pos="8306"/>
        <w:tab w:val="center" w:pos="4680"/>
        <w:tab w:val="right" w:pos="9090"/>
      </w:tabs>
      <w:rPr>
        <w:sz w:val="16"/>
      </w:rPr>
    </w:pPr>
  </w:p>
  <w:p w:rsidR="006938EC" w:rsidRPr="00B84728" w:rsidRDefault="006938EC" w:rsidP="00B84728">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344" w:rsidRDefault="00435344">
      <w:r>
        <w:separator/>
      </w:r>
    </w:p>
  </w:footnote>
  <w:footnote w:type="continuationSeparator" w:id="0">
    <w:p w:rsidR="00435344" w:rsidRDefault="00435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3A9"/>
    <w:multiLevelType w:val="hybridMultilevel"/>
    <w:tmpl w:val="FC7813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nsid w:val="064773FE"/>
    <w:multiLevelType w:val="multilevel"/>
    <w:tmpl w:val="4E4E65D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6F3DEA"/>
    <w:multiLevelType w:val="multilevel"/>
    <w:tmpl w:val="0FEC3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D735C3"/>
    <w:multiLevelType w:val="multilevel"/>
    <w:tmpl w:val="756C40B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57C6DDC"/>
    <w:multiLevelType w:val="multilevel"/>
    <w:tmpl w:val="4E4E65D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5C"/>
    <w:rsid w:val="000431C7"/>
    <w:rsid w:val="00094495"/>
    <w:rsid w:val="000A0786"/>
    <w:rsid w:val="000B589C"/>
    <w:rsid w:val="000D1B8E"/>
    <w:rsid w:val="001072EC"/>
    <w:rsid w:val="0014166E"/>
    <w:rsid w:val="001A713C"/>
    <w:rsid w:val="001B1615"/>
    <w:rsid w:val="001D5FB1"/>
    <w:rsid w:val="001E10FE"/>
    <w:rsid w:val="001F0A13"/>
    <w:rsid w:val="001F1E13"/>
    <w:rsid w:val="001F4D1C"/>
    <w:rsid w:val="001F59B8"/>
    <w:rsid w:val="001F60AE"/>
    <w:rsid w:val="002059D1"/>
    <w:rsid w:val="00227303"/>
    <w:rsid w:val="00242776"/>
    <w:rsid w:val="00246E3B"/>
    <w:rsid w:val="00251D39"/>
    <w:rsid w:val="0026051E"/>
    <w:rsid w:val="002765A4"/>
    <w:rsid w:val="00320DB3"/>
    <w:rsid w:val="003C6509"/>
    <w:rsid w:val="003D5820"/>
    <w:rsid w:val="003F6869"/>
    <w:rsid w:val="00410CEF"/>
    <w:rsid w:val="00413A73"/>
    <w:rsid w:val="00435344"/>
    <w:rsid w:val="00446354"/>
    <w:rsid w:val="00480EC6"/>
    <w:rsid w:val="00490883"/>
    <w:rsid w:val="0049419B"/>
    <w:rsid w:val="004A73CB"/>
    <w:rsid w:val="005445FF"/>
    <w:rsid w:val="00571B48"/>
    <w:rsid w:val="005A50AA"/>
    <w:rsid w:val="005B4547"/>
    <w:rsid w:val="005E5CA5"/>
    <w:rsid w:val="005F7209"/>
    <w:rsid w:val="005F78E0"/>
    <w:rsid w:val="00633C5F"/>
    <w:rsid w:val="00661DB5"/>
    <w:rsid w:val="006635E3"/>
    <w:rsid w:val="006938EC"/>
    <w:rsid w:val="007038AD"/>
    <w:rsid w:val="007442BC"/>
    <w:rsid w:val="007942BA"/>
    <w:rsid w:val="007976CF"/>
    <w:rsid w:val="007B3B6C"/>
    <w:rsid w:val="007B7DC1"/>
    <w:rsid w:val="007E0A25"/>
    <w:rsid w:val="00800CA4"/>
    <w:rsid w:val="0081610F"/>
    <w:rsid w:val="0083173F"/>
    <w:rsid w:val="008372C3"/>
    <w:rsid w:val="00874DCD"/>
    <w:rsid w:val="00896A3E"/>
    <w:rsid w:val="008B4A5C"/>
    <w:rsid w:val="008C621A"/>
    <w:rsid w:val="00902EBC"/>
    <w:rsid w:val="00912E45"/>
    <w:rsid w:val="00956B1B"/>
    <w:rsid w:val="009608DE"/>
    <w:rsid w:val="009A2204"/>
    <w:rsid w:val="009A6284"/>
    <w:rsid w:val="009B7359"/>
    <w:rsid w:val="009D5F0D"/>
    <w:rsid w:val="00A06858"/>
    <w:rsid w:val="00A95C4C"/>
    <w:rsid w:val="00B5043F"/>
    <w:rsid w:val="00B84728"/>
    <w:rsid w:val="00BB39B1"/>
    <w:rsid w:val="00BD1EA2"/>
    <w:rsid w:val="00BD4A5D"/>
    <w:rsid w:val="00BF34FA"/>
    <w:rsid w:val="00BF76C9"/>
    <w:rsid w:val="00C13F91"/>
    <w:rsid w:val="00C359F2"/>
    <w:rsid w:val="00C37B25"/>
    <w:rsid w:val="00C44A1B"/>
    <w:rsid w:val="00C47303"/>
    <w:rsid w:val="00C70C88"/>
    <w:rsid w:val="00C84446"/>
    <w:rsid w:val="00CB2615"/>
    <w:rsid w:val="00CB4880"/>
    <w:rsid w:val="00D16937"/>
    <w:rsid w:val="00D7229A"/>
    <w:rsid w:val="00D956C8"/>
    <w:rsid w:val="00DB28EC"/>
    <w:rsid w:val="00DE754C"/>
    <w:rsid w:val="00E06557"/>
    <w:rsid w:val="00E15247"/>
    <w:rsid w:val="00E34A18"/>
    <w:rsid w:val="00E35715"/>
    <w:rsid w:val="00E44A83"/>
    <w:rsid w:val="00E4642B"/>
    <w:rsid w:val="00E466A2"/>
    <w:rsid w:val="00E6258F"/>
    <w:rsid w:val="00E701FC"/>
    <w:rsid w:val="00E7205B"/>
    <w:rsid w:val="00EA6863"/>
    <w:rsid w:val="00EC5556"/>
    <w:rsid w:val="00EE5BA8"/>
    <w:rsid w:val="00EF7564"/>
    <w:rsid w:val="00EF799B"/>
    <w:rsid w:val="00F07D86"/>
    <w:rsid w:val="00FA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link w:val="BodyTextIndentChar"/>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ListParagraph">
    <w:name w:val="List Paragraph"/>
    <w:basedOn w:val="Normal"/>
    <w:uiPriority w:val="34"/>
    <w:qFormat/>
    <w:rsid w:val="005A50AA"/>
    <w:pPr>
      <w:ind w:left="720"/>
      <w:contextualSpacing/>
    </w:pPr>
  </w:style>
  <w:style w:type="character" w:customStyle="1" w:styleId="HeaderChar">
    <w:name w:val="Header Char"/>
    <w:basedOn w:val="DefaultParagraphFont"/>
    <w:link w:val="Header"/>
    <w:rsid w:val="00A06858"/>
    <w:rPr>
      <w:rFonts w:ascii="Arial" w:hAnsi="Arial"/>
      <w:sz w:val="22"/>
    </w:rPr>
  </w:style>
  <w:style w:type="character" w:customStyle="1" w:styleId="BodyTextIndentChar">
    <w:name w:val="Body Text Indent Char"/>
    <w:basedOn w:val="DefaultParagraphFont"/>
    <w:link w:val="BodyTextIndent"/>
    <w:rsid w:val="00A06858"/>
    <w:rPr>
      <w:rFonts w:ascii="Arial" w:hAnsi="Arial"/>
      <w:sz w:val="22"/>
    </w:rPr>
  </w:style>
  <w:style w:type="character" w:styleId="CommentReference">
    <w:name w:val="annotation reference"/>
    <w:basedOn w:val="DefaultParagraphFont"/>
    <w:rsid w:val="001F1E13"/>
    <w:rPr>
      <w:sz w:val="16"/>
      <w:szCs w:val="16"/>
    </w:rPr>
  </w:style>
  <w:style w:type="paragraph" w:styleId="CommentText">
    <w:name w:val="annotation text"/>
    <w:basedOn w:val="Normal"/>
    <w:link w:val="CommentTextChar"/>
    <w:rsid w:val="001F1E13"/>
    <w:rPr>
      <w:sz w:val="20"/>
    </w:rPr>
  </w:style>
  <w:style w:type="character" w:customStyle="1" w:styleId="CommentTextChar">
    <w:name w:val="Comment Text Char"/>
    <w:basedOn w:val="DefaultParagraphFont"/>
    <w:link w:val="CommentText"/>
    <w:rsid w:val="001F1E13"/>
    <w:rPr>
      <w:rFonts w:ascii="Arial" w:hAnsi="Arial"/>
    </w:rPr>
  </w:style>
  <w:style w:type="paragraph" w:styleId="CommentSubject">
    <w:name w:val="annotation subject"/>
    <w:basedOn w:val="CommentText"/>
    <w:next w:val="CommentText"/>
    <w:link w:val="CommentSubjectChar"/>
    <w:rsid w:val="001F1E13"/>
    <w:rPr>
      <w:b/>
      <w:bCs/>
    </w:rPr>
  </w:style>
  <w:style w:type="character" w:customStyle="1" w:styleId="CommentSubjectChar">
    <w:name w:val="Comment Subject Char"/>
    <w:basedOn w:val="CommentTextChar"/>
    <w:link w:val="CommentSubject"/>
    <w:rsid w:val="001F1E1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link w:val="BodyTextIndentChar"/>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ListParagraph">
    <w:name w:val="List Paragraph"/>
    <w:basedOn w:val="Normal"/>
    <w:uiPriority w:val="34"/>
    <w:qFormat/>
    <w:rsid w:val="005A50AA"/>
    <w:pPr>
      <w:ind w:left="720"/>
      <w:contextualSpacing/>
    </w:pPr>
  </w:style>
  <w:style w:type="character" w:customStyle="1" w:styleId="HeaderChar">
    <w:name w:val="Header Char"/>
    <w:basedOn w:val="DefaultParagraphFont"/>
    <w:link w:val="Header"/>
    <w:rsid w:val="00A06858"/>
    <w:rPr>
      <w:rFonts w:ascii="Arial" w:hAnsi="Arial"/>
      <w:sz w:val="22"/>
    </w:rPr>
  </w:style>
  <w:style w:type="character" w:customStyle="1" w:styleId="BodyTextIndentChar">
    <w:name w:val="Body Text Indent Char"/>
    <w:basedOn w:val="DefaultParagraphFont"/>
    <w:link w:val="BodyTextIndent"/>
    <w:rsid w:val="00A06858"/>
    <w:rPr>
      <w:rFonts w:ascii="Arial" w:hAnsi="Arial"/>
      <w:sz w:val="22"/>
    </w:rPr>
  </w:style>
  <w:style w:type="character" w:styleId="CommentReference">
    <w:name w:val="annotation reference"/>
    <w:basedOn w:val="DefaultParagraphFont"/>
    <w:rsid w:val="001F1E13"/>
    <w:rPr>
      <w:sz w:val="16"/>
      <w:szCs w:val="16"/>
    </w:rPr>
  </w:style>
  <w:style w:type="paragraph" w:styleId="CommentText">
    <w:name w:val="annotation text"/>
    <w:basedOn w:val="Normal"/>
    <w:link w:val="CommentTextChar"/>
    <w:rsid w:val="001F1E13"/>
    <w:rPr>
      <w:sz w:val="20"/>
    </w:rPr>
  </w:style>
  <w:style w:type="character" w:customStyle="1" w:styleId="CommentTextChar">
    <w:name w:val="Comment Text Char"/>
    <w:basedOn w:val="DefaultParagraphFont"/>
    <w:link w:val="CommentText"/>
    <w:rsid w:val="001F1E13"/>
    <w:rPr>
      <w:rFonts w:ascii="Arial" w:hAnsi="Arial"/>
    </w:rPr>
  </w:style>
  <w:style w:type="paragraph" w:styleId="CommentSubject">
    <w:name w:val="annotation subject"/>
    <w:basedOn w:val="CommentText"/>
    <w:next w:val="CommentText"/>
    <w:link w:val="CommentSubjectChar"/>
    <w:rsid w:val="001F1E13"/>
    <w:rPr>
      <w:b/>
      <w:bCs/>
    </w:rPr>
  </w:style>
  <w:style w:type="character" w:customStyle="1" w:styleId="CommentSubjectChar">
    <w:name w:val="Comment Subject Char"/>
    <w:basedOn w:val="CommentTextChar"/>
    <w:link w:val="CommentSubject"/>
    <w:rsid w:val="001F1E1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130">
      <w:bodyDiv w:val="1"/>
      <w:marLeft w:val="0"/>
      <w:marRight w:val="0"/>
      <w:marTop w:val="0"/>
      <w:marBottom w:val="0"/>
      <w:divBdr>
        <w:top w:val="none" w:sz="0" w:space="0" w:color="auto"/>
        <w:left w:val="none" w:sz="0" w:space="0" w:color="auto"/>
        <w:bottom w:val="none" w:sz="0" w:space="0" w:color="auto"/>
        <w:right w:val="none" w:sz="0" w:space="0" w:color="auto"/>
      </w:divBdr>
    </w:div>
    <w:div w:id="566574710">
      <w:bodyDiv w:val="1"/>
      <w:marLeft w:val="0"/>
      <w:marRight w:val="0"/>
      <w:marTop w:val="0"/>
      <w:marBottom w:val="0"/>
      <w:divBdr>
        <w:top w:val="none" w:sz="0" w:space="0" w:color="auto"/>
        <w:left w:val="none" w:sz="0" w:space="0" w:color="auto"/>
        <w:bottom w:val="none" w:sz="0" w:space="0" w:color="auto"/>
        <w:right w:val="none" w:sz="0" w:space="0" w:color="auto"/>
      </w:divBdr>
    </w:div>
    <w:div w:id="899368579">
      <w:bodyDiv w:val="1"/>
      <w:marLeft w:val="0"/>
      <w:marRight w:val="0"/>
      <w:marTop w:val="0"/>
      <w:marBottom w:val="0"/>
      <w:divBdr>
        <w:top w:val="none" w:sz="0" w:space="0" w:color="auto"/>
        <w:left w:val="none" w:sz="0" w:space="0" w:color="auto"/>
        <w:bottom w:val="none" w:sz="0" w:space="0" w:color="auto"/>
        <w:right w:val="none" w:sz="0" w:space="0" w:color="auto"/>
      </w:divBdr>
    </w:div>
    <w:div w:id="1364594397">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E7B1-6E75-48D0-9D8A-3C0DFD86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2368</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14707</CharactersWithSpaces>
  <SharedDoc>false</SharedDoc>
  <HLinks>
    <vt:vector size="18" baseType="variant">
      <vt:variant>
        <vt:i4>1769501</vt:i4>
      </vt:variant>
      <vt:variant>
        <vt:i4>32</vt:i4>
      </vt:variant>
      <vt:variant>
        <vt:i4>0</vt:i4>
      </vt:variant>
      <vt:variant>
        <vt:i4>5</vt:i4>
      </vt:variant>
      <vt:variant>
        <vt:lpwstr>http://intranet.threerivers.gov.uk/Default.aspx/Web/PoliciesAndProceduresCategoryListingPage</vt:lpwstr>
      </vt:variant>
      <vt:variant>
        <vt:lpwstr/>
      </vt:variant>
      <vt:variant>
        <vt:i4>720920</vt:i4>
      </vt:variant>
      <vt:variant>
        <vt:i4>23</vt:i4>
      </vt:variant>
      <vt:variant>
        <vt:i4>0</vt:i4>
      </vt:variant>
      <vt:variant>
        <vt:i4>5</vt:i4>
      </vt:variant>
      <vt:variant>
        <vt:lpwstr>http://intranet.threerivers.gov.uk/Default.aspx/Web/DocumentsandTemplates</vt:lpwstr>
      </vt:variant>
      <vt:variant>
        <vt:lpwstr/>
      </vt:variant>
      <vt:variant>
        <vt:i4>7864431</vt:i4>
      </vt:variant>
      <vt:variant>
        <vt:i4>0</vt:i4>
      </vt:variant>
      <vt:variant>
        <vt:i4>0</vt:i4>
      </vt:variant>
      <vt:variant>
        <vt:i4>5</vt:i4>
      </vt:variant>
      <vt:variant>
        <vt:lpwstr>http://intranet.threerivers.gov.uk/Default.aspx/Web/DemocraticServices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Peter Simons</dc:creator>
  <cp:lastModifiedBy>Sarah Haythorpe</cp:lastModifiedBy>
  <cp:revision>4</cp:revision>
  <cp:lastPrinted>2018-03-07T13:51:00Z</cp:lastPrinted>
  <dcterms:created xsi:type="dcterms:W3CDTF">2018-03-07T13:36:00Z</dcterms:created>
  <dcterms:modified xsi:type="dcterms:W3CDTF">2018-03-07T14:33:00Z</dcterms:modified>
</cp:coreProperties>
</file>