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A" w:rsidRDefault="00DE754C" w:rsidP="00DE754C">
      <w:pPr>
        <w:jc w:val="center"/>
        <w:rPr>
          <w:b/>
        </w:rPr>
      </w:pPr>
      <w:r>
        <w:rPr>
          <w:b/>
        </w:rPr>
        <w:t>POLICY AND RESOURCES COMMITTEE</w:t>
      </w:r>
      <w:r w:rsidR="00B929B5">
        <w:rPr>
          <w:b/>
        </w:rPr>
        <w:t xml:space="preserve"> – 4 SEPTEMBER 2017</w:t>
      </w:r>
    </w:p>
    <w:p w:rsidR="00BF34FA" w:rsidRDefault="00BF34FA">
      <w:pPr>
        <w:jc w:val="center"/>
      </w:pPr>
    </w:p>
    <w:p w:rsidR="00BF34FA" w:rsidRDefault="00BF34FA">
      <w:pPr>
        <w:jc w:val="center"/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DELEGATED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632561" w:rsidRDefault="00BF34FA">
      <w:pPr>
        <w:keepNext/>
        <w:ind w:left="1267" w:hanging="1267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ab/>
      </w:r>
    </w:p>
    <w:p w:rsidR="0019493D" w:rsidRDefault="000018C4">
      <w:pPr>
        <w:keepNext/>
        <w:ind w:left="1267" w:hanging="1267"/>
        <w:rPr>
          <w:b/>
        </w:rPr>
      </w:pPr>
      <w:r>
        <w:rPr>
          <w:b/>
        </w:rPr>
        <w:t>9</w:t>
      </w:r>
      <w:r w:rsidR="00632561">
        <w:rPr>
          <w:b/>
        </w:rPr>
        <w:t>.</w:t>
      </w:r>
      <w:r w:rsidR="00632561">
        <w:rPr>
          <w:b/>
        </w:rPr>
        <w:tab/>
      </w:r>
      <w:r w:rsidR="00BF34FA">
        <w:rPr>
          <w:b/>
        </w:rPr>
        <w:fldChar w:fldCharType="begin"/>
      </w:r>
      <w:r w:rsidR="00BF34FA">
        <w:rPr>
          <w:b/>
        </w:rPr>
        <w:instrText xml:space="preserve">  </w:instrText>
      </w:r>
      <w:r w:rsidR="00BF34FA">
        <w:rPr>
          <w:b/>
        </w:rPr>
        <w:fldChar w:fldCharType="end"/>
      </w:r>
      <w:r w:rsidR="00B61CFC">
        <w:rPr>
          <w:b/>
        </w:rPr>
        <w:t>EXEMPTION FROM PROCUREMENT PROCEDURE RULES</w:t>
      </w:r>
    </w:p>
    <w:p w:rsidR="00BF34FA" w:rsidRDefault="0019493D">
      <w:pPr>
        <w:keepNext/>
        <w:ind w:left="1267" w:hanging="1267"/>
        <w:rPr>
          <w:b/>
          <w:i/>
          <w:color w:val="008000"/>
        </w:rPr>
      </w:pPr>
      <w:r>
        <w:rPr>
          <w:b/>
        </w:rPr>
        <w:tab/>
      </w:r>
      <w:r w:rsidR="00BF34FA">
        <w:fldChar w:fldCharType="begin"/>
      </w:r>
      <w:r w:rsidR="00BF34FA">
        <w:instrText xml:space="preserve">  </w:instrText>
      </w:r>
      <w:r w:rsidR="00BF34FA">
        <w:fldChar w:fldCharType="end"/>
      </w:r>
      <w:r w:rsidR="00BF34FA">
        <w:rPr>
          <w:sz w:val="24"/>
        </w:rPr>
        <w:fldChar w:fldCharType="begin"/>
      </w:r>
      <w:r w:rsidR="00BF34FA">
        <w:rPr>
          <w:sz w:val="24"/>
        </w:rPr>
        <w:instrText xml:space="preserve">  </w:instrText>
      </w:r>
      <w:r w:rsidR="00BF34FA">
        <w:rPr>
          <w:sz w:val="24"/>
        </w:rPr>
        <w:fldChar w:fldCharType="end"/>
      </w:r>
      <w:r w:rsidR="00B929B5">
        <w:t>(</w:t>
      </w:r>
      <w:proofErr w:type="spellStart"/>
      <w:r w:rsidR="00B929B5">
        <w:t>DoF</w:t>
      </w:r>
      <w:proofErr w:type="spellEnd"/>
      <w:r w:rsidR="00B929B5">
        <w:t>)</w:t>
      </w:r>
    </w:p>
    <w:p w:rsidR="00BF34FA" w:rsidRDefault="00BF34FA">
      <w:pPr>
        <w:ind w:left="1267" w:hanging="1267"/>
      </w:pPr>
    </w:p>
    <w:p w:rsidR="00BF34FA" w:rsidRDefault="00BF34FA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  <w:bookmarkStart w:id="0" w:name="_GoBack"/>
      <w:bookmarkEnd w:id="0"/>
    </w:p>
    <w:p w:rsidR="00BF34FA" w:rsidRDefault="00BF34FA">
      <w:pPr>
        <w:keepNext/>
        <w:ind w:left="1267" w:hanging="1267"/>
      </w:pPr>
    </w:p>
    <w:p w:rsidR="00BF34FA" w:rsidRDefault="00BF34FA">
      <w:pPr>
        <w:ind w:left="1267" w:hanging="1267"/>
      </w:pPr>
      <w:r>
        <w:t>1.1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B61CFC">
        <w:t xml:space="preserve">To advise Members that </w:t>
      </w:r>
      <w:r w:rsidR="001241F5">
        <w:t xml:space="preserve">an </w:t>
      </w:r>
      <w:r w:rsidR="00B61CFC">
        <w:t xml:space="preserve">exemption to the Procurement process was approved by the Director of </w:t>
      </w:r>
      <w:r w:rsidR="005515A7">
        <w:t xml:space="preserve">Finance and the Head </w:t>
      </w:r>
      <w:r w:rsidR="00B929B5">
        <w:t>o</w:t>
      </w:r>
      <w:r w:rsidR="005515A7">
        <w:t>f Finance und</w:t>
      </w:r>
      <w:r w:rsidR="00B61CFC">
        <w:t xml:space="preserve">er the Limited Market exemption </w:t>
      </w:r>
      <w:r w:rsidR="007B0DC7">
        <w:t xml:space="preserve">and the Exceptional Circumstances exemption </w:t>
      </w:r>
      <w:r w:rsidR="00B61CFC">
        <w:t>as permitted by the Council’s Constitution</w:t>
      </w:r>
      <w:r w:rsidR="00D6029A">
        <w:t>.</w:t>
      </w:r>
    </w:p>
    <w:p w:rsidR="00BF34FA" w:rsidRDefault="00BF34FA">
      <w:pPr>
        <w:ind w:left="1267" w:hanging="1267"/>
      </w:pPr>
    </w:p>
    <w:p w:rsidR="00BF34FA" w:rsidRDefault="00BF34FA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BF34FA" w:rsidRDefault="00BF34FA">
      <w:pPr>
        <w:keepNext/>
        <w:ind w:left="1267" w:hanging="1267"/>
        <w:rPr>
          <w:b/>
          <w:u w:val="single"/>
        </w:rPr>
      </w:pPr>
    </w:p>
    <w:p w:rsidR="00B61CFC" w:rsidRDefault="00BF34FA">
      <w:pPr>
        <w:ind w:left="1267" w:hanging="1267"/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1241F5">
        <w:t>A</w:t>
      </w:r>
      <w:r w:rsidR="001A5C6E">
        <w:t xml:space="preserve">n </w:t>
      </w:r>
      <w:r w:rsidR="00B61CFC">
        <w:t xml:space="preserve">exemption to the </w:t>
      </w:r>
      <w:r w:rsidR="007B0DC7">
        <w:t>Contract Procedure</w:t>
      </w:r>
      <w:r w:rsidR="00B61CFC">
        <w:t xml:space="preserve"> rules can be approved jointly by a Head of Service and the Chief Executive or a Director</w:t>
      </w:r>
      <w:r w:rsidR="00B01897">
        <w:t>.</w:t>
      </w:r>
      <w:r w:rsidR="001241F5">
        <w:t xml:space="preserve"> O</w:t>
      </w:r>
      <w:r w:rsidR="00B61CFC">
        <w:t>nce approved</w:t>
      </w:r>
      <w:r w:rsidR="00D6029A">
        <w:t>,</w:t>
      </w:r>
      <w:r w:rsidR="00B61CFC">
        <w:t xml:space="preserve"> a report to the Policy &amp; Resources Committee must detail the actions taken. This report is for information only to comply with the requirements of the Constitution.</w:t>
      </w:r>
    </w:p>
    <w:p w:rsidR="00B61CFC" w:rsidRDefault="00B61CFC">
      <w:pPr>
        <w:ind w:left="1267" w:hanging="1267"/>
      </w:pPr>
    </w:p>
    <w:p w:rsidR="001241F5" w:rsidRDefault="004723FB" w:rsidP="00B61CFC">
      <w:pPr>
        <w:ind w:left="1267" w:hanging="1267"/>
      </w:pPr>
      <w:r>
        <w:t>2.</w:t>
      </w:r>
      <w:r w:rsidR="00B929B5">
        <w:t>2</w:t>
      </w:r>
      <w:r>
        <w:tab/>
        <w:t xml:space="preserve">The exemption was </w:t>
      </w:r>
      <w:r w:rsidR="00B61CFC">
        <w:t>given for the</w:t>
      </w:r>
      <w:r w:rsidR="005515A7">
        <w:t xml:space="preserve"> Income Management system which incorporates merchant services contract. </w:t>
      </w:r>
      <w:r w:rsidR="00DB2686">
        <w:t>This covers income management (AIM), counter receipting (ACR), Chip and Pin, card payments (Pay.Net), online payment</w:t>
      </w:r>
      <w:r w:rsidR="001241F5">
        <w:t xml:space="preserve">s and </w:t>
      </w:r>
      <w:r w:rsidR="00DB2686">
        <w:t>automated payment line</w:t>
      </w:r>
      <w:r w:rsidR="001241F5">
        <w:t>s</w:t>
      </w:r>
      <w:r w:rsidR="00DB2686">
        <w:t xml:space="preserve">. Merchant services are the handling and commission of debit/credit card transactions. </w:t>
      </w:r>
    </w:p>
    <w:p w:rsidR="001241F5" w:rsidRDefault="001241F5" w:rsidP="00B61CFC">
      <w:pPr>
        <w:ind w:left="1267" w:hanging="1267"/>
      </w:pPr>
    </w:p>
    <w:p w:rsidR="00B61CFC" w:rsidRDefault="00B929B5" w:rsidP="00B61CFC">
      <w:pPr>
        <w:ind w:left="1267" w:hanging="1267"/>
      </w:pPr>
      <w:r>
        <w:t>2.3</w:t>
      </w:r>
      <w:r w:rsidR="001241F5">
        <w:tab/>
      </w:r>
      <w:r w:rsidR="008E0364">
        <w:t>The contract has been extended to Capita</w:t>
      </w:r>
      <w:r w:rsidR="009E5FEA">
        <w:t xml:space="preserve"> for a period of 5 years</w:t>
      </w:r>
      <w:r w:rsidR="008E0364">
        <w:t>.</w:t>
      </w:r>
      <w:r w:rsidR="001241F5">
        <w:t xml:space="preserve"> The contract is with Three Rivers and covers both Watford BC and Three Rivers DC. </w:t>
      </w:r>
    </w:p>
    <w:p w:rsidR="00B61CFC" w:rsidRDefault="00B61CFC" w:rsidP="00B61CFC">
      <w:pPr>
        <w:ind w:left="1267" w:hanging="1267"/>
      </w:pPr>
    </w:p>
    <w:p w:rsidR="00BF34FA" w:rsidRDefault="00BF34FA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BF34FA" w:rsidRDefault="00BF34FA">
      <w:pPr>
        <w:keepNext/>
        <w:ind w:left="1267" w:hanging="1267"/>
      </w:pPr>
    </w:p>
    <w:p w:rsidR="009E5FEA" w:rsidRDefault="00BF34FA" w:rsidP="00333604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9E5FEA">
        <w:t xml:space="preserve">There are only a limited number of companies that undertake these systems/services for local authorities within a shared service. </w:t>
      </w:r>
    </w:p>
    <w:p w:rsidR="009E5FEA" w:rsidRDefault="009E5FEA" w:rsidP="00333604">
      <w:pPr>
        <w:ind w:left="1267" w:hanging="1267"/>
      </w:pPr>
    </w:p>
    <w:p w:rsidR="00333604" w:rsidRDefault="009E5FEA" w:rsidP="00333604">
      <w:pPr>
        <w:ind w:left="1267" w:hanging="1267"/>
      </w:pPr>
      <w:r>
        <w:t>3.2</w:t>
      </w:r>
      <w:r w:rsidR="00B929B5">
        <w:tab/>
      </w:r>
      <w:r>
        <w:t>Following negotiation</w:t>
      </w:r>
      <w:r w:rsidR="00B60F75">
        <w:t>,</w:t>
      </w:r>
      <w:r>
        <w:t xml:space="preserve"> Capita offered a preferential rate giving savings of £10k a year. Bench marking showed that savings above this could not be achieved.  </w:t>
      </w:r>
    </w:p>
    <w:p w:rsidR="009E5FEA" w:rsidRDefault="009E5FEA" w:rsidP="00333604">
      <w:pPr>
        <w:ind w:left="1267" w:hanging="1267"/>
      </w:pPr>
    </w:p>
    <w:p w:rsidR="009E5FEA" w:rsidRDefault="009E5FEA" w:rsidP="00333604">
      <w:pPr>
        <w:ind w:left="1267" w:hanging="1267"/>
      </w:pPr>
      <w:r>
        <w:t>3.3</w:t>
      </w:r>
      <w:r>
        <w:tab/>
      </w:r>
      <w:r w:rsidR="001A5C6E">
        <w:t xml:space="preserve">AIM </w:t>
      </w:r>
      <w:r>
        <w:t xml:space="preserve">replaced the </w:t>
      </w:r>
      <w:r w:rsidR="00D6029A">
        <w:t>C</w:t>
      </w:r>
      <w:r>
        <w:t>ouncil</w:t>
      </w:r>
      <w:r w:rsidR="00D6029A">
        <w:t>’</w:t>
      </w:r>
      <w:r>
        <w:t xml:space="preserve">s systems Radius Icon (WBC) and Remit (TRDC) in 2010. It took a team of 8 council officers much of their time for over a year to complete. </w:t>
      </w:r>
    </w:p>
    <w:p w:rsidR="009E5FEA" w:rsidRDefault="009E5FEA" w:rsidP="00333604">
      <w:pPr>
        <w:ind w:left="1267" w:hanging="1267"/>
      </w:pPr>
    </w:p>
    <w:p w:rsidR="009E5FEA" w:rsidRDefault="009E5FEA" w:rsidP="00333604">
      <w:pPr>
        <w:ind w:left="1267" w:hanging="1267"/>
      </w:pPr>
      <w:r>
        <w:t>3.4</w:t>
      </w:r>
      <w:r>
        <w:tab/>
        <w:t>We have just upgraded the systems to</w:t>
      </w:r>
      <w:r w:rsidR="001A5C6E">
        <w:t xml:space="preserve"> the </w:t>
      </w:r>
      <w:r>
        <w:t>latest versions at a cost of £40,000 + (including hardware/excluding staff time). It took 6 months to complete and involved many</w:t>
      </w:r>
      <w:r w:rsidR="00B929B5">
        <w:t xml:space="preserve"> staff.</w:t>
      </w:r>
    </w:p>
    <w:p w:rsidR="009E5FEA" w:rsidRDefault="009E5FEA" w:rsidP="00333604">
      <w:pPr>
        <w:ind w:left="1267" w:hanging="1267"/>
      </w:pPr>
    </w:p>
    <w:p w:rsidR="001A5C6E" w:rsidRDefault="009E5FEA" w:rsidP="001A5C6E">
      <w:pPr>
        <w:ind w:left="1267" w:hanging="1267"/>
      </w:pPr>
      <w:r>
        <w:t>3.5</w:t>
      </w:r>
      <w:r>
        <w:tab/>
      </w:r>
      <w:r w:rsidRPr="005A7A85">
        <w:rPr>
          <w:rFonts w:cs="Arial"/>
          <w:szCs w:val="24"/>
        </w:rPr>
        <w:t>As we approach the Advanced (E</w:t>
      </w:r>
      <w:r w:rsidR="00B929B5">
        <w:rPr>
          <w:rFonts w:cs="Arial"/>
          <w:szCs w:val="24"/>
        </w:rPr>
        <w:t>-</w:t>
      </w:r>
      <w:r w:rsidRPr="005A7A85">
        <w:rPr>
          <w:rFonts w:cs="Arial"/>
          <w:szCs w:val="24"/>
        </w:rPr>
        <w:t>financials) upgrade we don’t have the capacity to procure and implement a new Income Management system</w:t>
      </w:r>
      <w:r w:rsidR="001A5C6E">
        <w:rPr>
          <w:rFonts w:cs="Arial"/>
          <w:szCs w:val="24"/>
        </w:rPr>
        <w:t xml:space="preserve">. This is because Finance resource should be used to upgrade the core finance system and develop/implement the use of the tools provided by the Advanced for interfaces, raising suppliers, budget monitoring and reporting.  </w:t>
      </w:r>
    </w:p>
    <w:p w:rsidR="009E5FEA" w:rsidRDefault="009E5FEA" w:rsidP="00333604">
      <w:pPr>
        <w:ind w:left="1267" w:hanging="1267"/>
      </w:pPr>
    </w:p>
    <w:p w:rsidR="00BF34FA" w:rsidRDefault="00BF34FA">
      <w:pPr>
        <w:keepNext/>
        <w:ind w:left="1267" w:hanging="1267"/>
        <w:rPr>
          <w:b/>
        </w:rPr>
      </w:pPr>
      <w:r>
        <w:t>4.</w:t>
      </w:r>
      <w:r>
        <w:tab/>
      </w:r>
      <w:r>
        <w:rPr>
          <w:b/>
        </w:rPr>
        <w:t>Policy/Budget Reference and Implications</w:t>
      </w:r>
    </w:p>
    <w:p w:rsidR="00BF34FA" w:rsidRDefault="00BF34FA">
      <w:pPr>
        <w:keepNext/>
        <w:ind w:left="1267" w:hanging="1267"/>
      </w:pPr>
    </w:p>
    <w:p w:rsidR="00BF34FA" w:rsidRDefault="00BF34FA">
      <w:pPr>
        <w:ind w:left="1267" w:hanging="1267"/>
      </w:pPr>
      <w:r>
        <w:t>4.1</w:t>
      </w:r>
      <w:r>
        <w:tab/>
      </w:r>
      <w:r w:rsidR="00333604">
        <w:t xml:space="preserve">The recommendations in this report are set out in Part 4 of the Council’s Constitution. </w:t>
      </w:r>
    </w:p>
    <w:p w:rsidR="00333604" w:rsidRDefault="00333604">
      <w:pPr>
        <w:ind w:left="1267" w:hanging="1267"/>
      </w:pPr>
    </w:p>
    <w:p w:rsidR="00BF34FA" w:rsidRDefault="00333604" w:rsidP="00333604">
      <w:pPr>
        <w:ind w:left="1267" w:hanging="1267"/>
      </w:pPr>
      <w:r>
        <w:t>5.</w:t>
      </w:r>
      <w:r w:rsidR="00BF34FA">
        <w:tab/>
      </w:r>
      <w:r w:rsidR="00BF34FA">
        <w:fldChar w:fldCharType="begin"/>
      </w:r>
      <w:r w:rsidR="00BF34FA">
        <w:instrText xml:space="preserve">  </w:instrText>
      </w:r>
      <w:r w:rsidR="00BF34FA">
        <w:fldChar w:fldCharType="end"/>
      </w:r>
      <w:r w:rsidR="00BF34FA">
        <w:rPr>
          <w:b/>
        </w:rPr>
        <w:t>Financial Implications</w:t>
      </w:r>
    </w:p>
    <w:p w:rsidR="00BF34FA" w:rsidRDefault="00BF34FA">
      <w:pPr>
        <w:keepNext/>
        <w:ind w:left="1267" w:hanging="1267"/>
      </w:pPr>
    </w:p>
    <w:p w:rsidR="001241F5" w:rsidRDefault="00333604" w:rsidP="001241F5">
      <w:pPr>
        <w:ind w:left="1267" w:hanging="1267"/>
      </w:pPr>
      <w:r>
        <w:t>5.1</w:t>
      </w:r>
      <w:r w:rsidR="00BF34FA">
        <w:fldChar w:fldCharType="begin"/>
      </w:r>
      <w:r w:rsidR="00BF34FA">
        <w:instrText xml:space="preserve">  </w:instrText>
      </w:r>
      <w:r w:rsidR="00BF34FA">
        <w:fldChar w:fldCharType="end"/>
      </w:r>
      <w:r w:rsidR="00BF34FA">
        <w:tab/>
      </w:r>
      <w:r w:rsidR="001241F5" w:rsidRPr="001241F5">
        <w:rPr>
          <w:u w:val="single"/>
        </w:rPr>
        <w:t>Income Systems</w:t>
      </w:r>
      <w:r w:rsidR="00D6029A">
        <w:rPr>
          <w:u w:val="single"/>
        </w:rPr>
        <w:t>:</w:t>
      </w:r>
    </w:p>
    <w:p w:rsidR="001241F5" w:rsidRDefault="001241F5" w:rsidP="001241F5">
      <w:pPr>
        <w:ind w:left="1267" w:hanging="1267"/>
      </w:pPr>
    </w:p>
    <w:p w:rsidR="001241F5" w:rsidRDefault="00B929B5" w:rsidP="001241F5">
      <w:pPr>
        <w:ind w:left="1267" w:hanging="1267"/>
      </w:pPr>
      <w:r>
        <w:tab/>
      </w:r>
      <w:r w:rsidR="001241F5">
        <w:t xml:space="preserve">Maintenance for systems is £11,844.00 per year. </w:t>
      </w:r>
      <w:r w:rsidR="001241F5" w:rsidRPr="005A7A85">
        <w:rPr>
          <w:rFonts w:cs="Arial"/>
          <w:szCs w:val="24"/>
        </w:rPr>
        <w:t>(£</w:t>
      </w:r>
      <w:r w:rsidR="001A5C6E">
        <w:rPr>
          <w:rFonts w:cs="Arial"/>
          <w:szCs w:val="24"/>
        </w:rPr>
        <w:t>5922.00</w:t>
      </w:r>
      <w:r w:rsidR="00D6029A">
        <w:rPr>
          <w:rFonts w:cs="Arial"/>
          <w:szCs w:val="24"/>
        </w:rPr>
        <w:t xml:space="preserve"> per</w:t>
      </w:r>
      <w:r w:rsidR="001A5C6E">
        <w:rPr>
          <w:rFonts w:cs="Arial"/>
          <w:szCs w:val="24"/>
        </w:rPr>
        <w:t xml:space="preserve"> </w:t>
      </w:r>
      <w:r w:rsidR="001241F5" w:rsidRPr="005A7A85">
        <w:rPr>
          <w:rFonts w:cs="Arial"/>
          <w:szCs w:val="24"/>
        </w:rPr>
        <w:t>authority)</w:t>
      </w:r>
    </w:p>
    <w:p w:rsidR="001241F5" w:rsidRDefault="001241F5" w:rsidP="001241F5">
      <w:pPr>
        <w:ind w:left="1267" w:hanging="1267"/>
        <w:rPr>
          <w:rFonts w:cs="Arial"/>
          <w:szCs w:val="24"/>
        </w:rPr>
      </w:pPr>
      <w:r>
        <w:tab/>
        <w:t xml:space="preserve">Licences for systems </w:t>
      </w:r>
      <w:r w:rsidR="001A5C6E">
        <w:t xml:space="preserve">cost </w:t>
      </w:r>
      <w:r>
        <w:t xml:space="preserve">£11,000.00 per year. </w:t>
      </w:r>
      <w:r w:rsidRPr="005A7A85">
        <w:rPr>
          <w:rFonts w:cs="Arial"/>
          <w:szCs w:val="24"/>
        </w:rPr>
        <w:t>(£5</w:t>
      </w:r>
      <w:r w:rsidR="00B929B5">
        <w:rPr>
          <w:rFonts w:cs="Arial"/>
          <w:szCs w:val="24"/>
        </w:rPr>
        <w:t>,</w:t>
      </w:r>
      <w:r w:rsidRPr="005A7A85">
        <w:rPr>
          <w:rFonts w:cs="Arial"/>
          <w:szCs w:val="24"/>
        </w:rPr>
        <w:t>500 per authority)</w:t>
      </w:r>
    </w:p>
    <w:p w:rsidR="001241F5" w:rsidRPr="00DB2686" w:rsidRDefault="001241F5" w:rsidP="001241F5">
      <w:pPr>
        <w:tabs>
          <w:tab w:val="clear" w:pos="1260"/>
          <w:tab w:val="clear" w:pos="1980"/>
          <w:tab w:val="clear" w:pos="2700"/>
          <w:tab w:val="clear" w:pos="3420"/>
        </w:tabs>
        <w:jc w:val="left"/>
        <w:rPr>
          <w:rFonts w:cs="Arial"/>
          <w:szCs w:val="22"/>
        </w:rPr>
      </w:pPr>
    </w:p>
    <w:p w:rsidR="001241F5" w:rsidRPr="001241F5" w:rsidRDefault="001241F5" w:rsidP="001241F5">
      <w:pPr>
        <w:tabs>
          <w:tab w:val="clear" w:pos="1260"/>
          <w:tab w:val="clear" w:pos="1980"/>
          <w:tab w:val="clear" w:pos="2700"/>
          <w:tab w:val="clear" w:pos="3420"/>
        </w:tabs>
        <w:ind w:left="547" w:firstLine="720"/>
        <w:jc w:val="left"/>
        <w:rPr>
          <w:rFonts w:cs="Arial"/>
          <w:szCs w:val="22"/>
          <w:u w:val="single"/>
        </w:rPr>
      </w:pPr>
      <w:r w:rsidRPr="001241F5">
        <w:rPr>
          <w:rFonts w:cs="Arial"/>
          <w:szCs w:val="22"/>
          <w:u w:val="single"/>
        </w:rPr>
        <w:t xml:space="preserve">Merchant services (card handling charges): </w:t>
      </w:r>
      <w:r w:rsidR="00556ABC">
        <w:rPr>
          <w:rFonts w:cs="Arial"/>
          <w:szCs w:val="22"/>
          <w:u w:val="single"/>
        </w:rPr>
        <w:t xml:space="preserve"> </w:t>
      </w:r>
    </w:p>
    <w:p w:rsidR="001241F5" w:rsidRDefault="001241F5" w:rsidP="001241F5">
      <w:pPr>
        <w:tabs>
          <w:tab w:val="clear" w:pos="1260"/>
          <w:tab w:val="clear" w:pos="1980"/>
          <w:tab w:val="clear" w:pos="2700"/>
          <w:tab w:val="clear" w:pos="3420"/>
        </w:tabs>
        <w:ind w:left="547" w:firstLine="720"/>
        <w:jc w:val="left"/>
        <w:rPr>
          <w:rFonts w:cs="Arial"/>
          <w:szCs w:val="22"/>
        </w:rPr>
      </w:pPr>
    </w:p>
    <w:p w:rsidR="00556ABC" w:rsidRDefault="00556ABC" w:rsidP="00556ABC">
      <w:pPr>
        <w:tabs>
          <w:tab w:val="clear" w:pos="1260"/>
          <w:tab w:val="clear" w:pos="1980"/>
          <w:tab w:val="clear" w:pos="2700"/>
          <w:tab w:val="clear" w:pos="3420"/>
        </w:tabs>
        <w:ind w:left="1267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The rates for each card type have been renegotiated giving us annual </w:t>
      </w:r>
      <w:r w:rsidRPr="00556ABC">
        <w:rPr>
          <w:rFonts w:cs="Arial"/>
          <w:b/>
          <w:szCs w:val="22"/>
        </w:rPr>
        <w:t xml:space="preserve">savings </w:t>
      </w:r>
      <w:r>
        <w:rPr>
          <w:rFonts w:cs="Arial"/>
          <w:szCs w:val="22"/>
        </w:rPr>
        <w:t xml:space="preserve">      of £10,326.06.   </w:t>
      </w:r>
    </w:p>
    <w:p w:rsidR="00C44154" w:rsidRDefault="00C44154" w:rsidP="001241F5">
      <w:pPr>
        <w:tabs>
          <w:tab w:val="clear" w:pos="1260"/>
          <w:tab w:val="clear" w:pos="1980"/>
          <w:tab w:val="clear" w:pos="2700"/>
          <w:tab w:val="clear" w:pos="3420"/>
        </w:tabs>
        <w:ind w:left="547" w:firstLine="720"/>
        <w:jc w:val="left"/>
        <w:rPr>
          <w:rFonts w:cs="Arial"/>
          <w:szCs w:val="22"/>
        </w:rPr>
      </w:pPr>
    </w:p>
    <w:tbl>
      <w:tblPr>
        <w:tblW w:w="5061" w:type="dxa"/>
        <w:tblInd w:w="1379" w:type="dxa"/>
        <w:tblLook w:val="04A0" w:firstRow="1" w:lastRow="0" w:firstColumn="1" w:lastColumn="0" w:noHBand="0" w:noVBand="1"/>
      </w:tblPr>
      <w:tblGrid>
        <w:gridCol w:w="772"/>
        <w:gridCol w:w="1329"/>
        <w:gridCol w:w="1660"/>
        <w:gridCol w:w="1300"/>
      </w:tblGrid>
      <w:tr w:rsidR="00556ABC" w:rsidRPr="00556ABC" w:rsidTr="00556AB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Old scheme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New scheme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annual</w:t>
            </w:r>
          </w:p>
        </w:tc>
      </w:tr>
      <w:tr w:rsidR="00556ABC" w:rsidRPr="00556ABC" w:rsidTr="00556ABC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TRDC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£59,868.26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£54,067.77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£5,800.49</w:t>
            </w:r>
          </w:p>
        </w:tc>
      </w:tr>
      <w:tr w:rsidR="00556ABC" w:rsidRPr="00556ABC" w:rsidTr="00556ABC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WBC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£54,143.90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£49,618.33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£4,525.57</w:t>
            </w:r>
          </w:p>
        </w:tc>
      </w:tr>
      <w:tr w:rsidR="00556ABC" w:rsidRPr="00556ABC" w:rsidTr="00556ABC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Totals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£114,012.16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color w:val="000000"/>
                <w:sz w:val="20"/>
              </w:rPr>
            </w:pPr>
            <w:r w:rsidRPr="00556ABC">
              <w:rPr>
                <w:rFonts w:cs="Arial"/>
                <w:color w:val="000000"/>
                <w:sz w:val="20"/>
              </w:rPr>
              <w:t>£103,686.10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BC" w:rsidRPr="00556ABC" w:rsidRDefault="00556ABC" w:rsidP="00556ABC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b/>
                <w:color w:val="000000"/>
                <w:sz w:val="20"/>
              </w:rPr>
            </w:pPr>
            <w:r w:rsidRPr="00556ABC">
              <w:rPr>
                <w:rFonts w:cs="Arial"/>
                <w:b/>
                <w:color w:val="000000"/>
                <w:sz w:val="20"/>
              </w:rPr>
              <w:t>£10,326.06</w:t>
            </w:r>
          </w:p>
        </w:tc>
      </w:tr>
    </w:tbl>
    <w:p w:rsidR="00C44154" w:rsidRDefault="00C44154" w:rsidP="001241F5">
      <w:pPr>
        <w:tabs>
          <w:tab w:val="clear" w:pos="1260"/>
          <w:tab w:val="clear" w:pos="1980"/>
          <w:tab w:val="clear" w:pos="2700"/>
          <w:tab w:val="clear" w:pos="3420"/>
        </w:tabs>
        <w:ind w:left="547" w:firstLine="720"/>
        <w:jc w:val="left"/>
        <w:rPr>
          <w:rFonts w:cs="Arial"/>
          <w:szCs w:val="22"/>
        </w:rPr>
      </w:pPr>
    </w:p>
    <w:p w:rsidR="00C44154" w:rsidRDefault="00556ABC" w:rsidP="00556ABC">
      <w:pPr>
        <w:tabs>
          <w:tab w:val="clear" w:pos="1260"/>
          <w:tab w:val="clear" w:pos="1980"/>
          <w:tab w:val="clear" w:pos="2700"/>
          <w:tab w:val="clear" w:pos="3420"/>
        </w:tabs>
        <w:ind w:left="1267"/>
        <w:jc w:val="left"/>
        <w:rPr>
          <w:rFonts w:cs="Arial"/>
          <w:szCs w:val="22"/>
        </w:rPr>
      </w:pPr>
      <w:r>
        <w:t xml:space="preserve">Bench marking with ‘Focus on Banking’ showed that savings above this could   not be achieved.  </w:t>
      </w:r>
    </w:p>
    <w:p w:rsidR="00BF34FA" w:rsidRDefault="00BF34FA">
      <w:pPr>
        <w:pStyle w:val="BodyTextIndent"/>
      </w:pPr>
    </w:p>
    <w:p w:rsidR="00BF34FA" w:rsidRDefault="00333604">
      <w:pPr>
        <w:keepNext/>
        <w:ind w:left="1267" w:hanging="1267"/>
      </w:pPr>
      <w:r>
        <w:t>6</w:t>
      </w:r>
      <w:r w:rsidR="00BF34FA">
        <w:fldChar w:fldCharType="begin"/>
      </w:r>
      <w:r w:rsidR="00BF34FA">
        <w:instrText xml:space="preserve">  </w:instrText>
      </w:r>
      <w:r w:rsidR="00BF34FA">
        <w:fldChar w:fldCharType="end"/>
      </w:r>
      <w:r w:rsidR="00BF34FA">
        <w:tab/>
      </w:r>
      <w:r w:rsidR="00BF34FA">
        <w:rPr>
          <w:b/>
        </w:rPr>
        <w:t>Recommendation</w:t>
      </w:r>
    </w:p>
    <w:p w:rsidR="00BF34FA" w:rsidRDefault="00BF34FA">
      <w:pPr>
        <w:keepNext/>
        <w:ind w:left="1267" w:hanging="1267"/>
      </w:pPr>
    </w:p>
    <w:p w:rsidR="00BF34FA" w:rsidRDefault="00333604">
      <w:r>
        <w:t>6</w:t>
      </w:r>
      <w:r w:rsidR="00BF34FA">
        <w:t>.1</w:t>
      </w:r>
      <w:r w:rsidR="00BF34FA">
        <w:tab/>
        <w:t xml:space="preserve">That </w:t>
      </w:r>
      <w:r w:rsidR="00BF34FA">
        <w:fldChar w:fldCharType="begin"/>
      </w:r>
      <w:r w:rsidR="00BF34FA">
        <w:instrText xml:space="preserve">  </w:instrText>
      </w:r>
      <w:r w:rsidR="00BF34FA">
        <w:fldChar w:fldCharType="end"/>
      </w:r>
      <w:r>
        <w:t xml:space="preserve">the Policy </w:t>
      </w:r>
      <w:r w:rsidR="00D6029A">
        <w:t>and</w:t>
      </w:r>
      <w:r>
        <w:t xml:space="preserve"> Resources Committee note the action taken.</w:t>
      </w:r>
      <w:r w:rsidR="00BF34FA">
        <w:t xml:space="preserve"> </w:t>
      </w:r>
    </w:p>
    <w:p w:rsidR="00BF34FA" w:rsidRDefault="00BF34FA"/>
    <w:p w:rsidR="00BF34FA" w:rsidRDefault="00BF34FA" w:rsidP="009E5FEA">
      <w:pPr>
        <w:ind w:left="1260" w:hanging="1260"/>
      </w:pPr>
      <w:r>
        <w:rPr>
          <w:b/>
          <w:i/>
          <w:color w:val="008000"/>
        </w:rPr>
        <w:tab/>
      </w:r>
      <w:r>
        <w:rPr>
          <w:b/>
          <w:i/>
          <w:color w:val="008000"/>
        </w:rPr>
        <w:fldChar w:fldCharType="begin"/>
      </w:r>
      <w:r>
        <w:rPr>
          <w:b/>
          <w:i/>
          <w:color w:val="008000"/>
        </w:rPr>
        <w:instrText xml:space="preserve">  </w:instrText>
      </w:r>
      <w:r>
        <w:rPr>
          <w:b/>
          <w:i/>
          <w:color w:val="008000"/>
        </w:rPr>
        <w:fldChar w:fldCharType="end"/>
      </w:r>
      <w:r>
        <w:rPr>
          <w:b/>
          <w:i/>
          <w:color w:val="008000"/>
        </w:rPr>
        <w:fldChar w:fldCharType="begin"/>
      </w:r>
      <w:r>
        <w:rPr>
          <w:b/>
          <w:i/>
          <w:color w:val="008000"/>
        </w:rPr>
        <w:instrText xml:space="preserve">  </w:instrText>
      </w:r>
      <w:r>
        <w:rPr>
          <w:b/>
          <w:i/>
          <w:color w:val="008000"/>
        </w:rPr>
        <w:fldChar w:fldCharType="end"/>
      </w:r>
      <w:r>
        <w:t>Report prepared by:</w:t>
      </w:r>
      <w:r w:rsidR="00EC16DD">
        <w:t xml:space="preserve"> </w:t>
      </w:r>
      <w:r w:rsidR="009E5FEA">
        <w:t>Colin South</w:t>
      </w:r>
      <w:r>
        <w:fldChar w:fldCharType="begin"/>
      </w:r>
      <w:r>
        <w:instrText xml:space="preserve">  </w:instrText>
      </w:r>
      <w:r>
        <w:fldChar w:fldCharType="end"/>
      </w:r>
      <w:r w:rsidR="00333604">
        <w:t xml:space="preserve">, </w:t>
      </w:r>
      <w:r w:rsidR="009E5FEA">
        <w:t>Senior Finance Officer.</w:t>
      </w:r>
    </w:p>
    <w:p w:rsidR="00BF34FA" w:rsidRDefault="00BF34FA" w:rsidP="000431C7">
      <w:pPr>
        <w:keepNext/>
        <w:keepLines/>
        <w:ind w:left="1267" w:hanging="1267"/>
        <w:outlineLvl w:val="0"/>
        <w:rPr>
          <w:b/>
        </w:rPr>
      </w:pPr>
      <w:r>
        <w:tab/>
      </w:r>
    </w:p>
    <w:p w:rsidR="00BF34FA" w:rsidRDefault="00BF34FA" w:rsidP="000431C7">
      <w:pPr>
        <w:keepNext/>
        <w:keepLines/>
        <w:ind w:left="1267" w:hanging="1267"/>
        <w:outlineLvl w:val="0"/>
        <w:rPr>
          <w:b/>
        </w:rPr>
      </w:pPr>
    </w:p>
    <w:sectPr w:rsidR="00BF34FA">
      <w:footerReference w:type="default" r:id="rId8"/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58" w:rsidRDefault="00800C58">
      <w:r>
        <w:separator/>
      </w:r>
    </w:p>
  </w:endnote>
  <w:endnote w:type="continuationSeparator" w:id="0">
    <w:p w:rsidR="00800C58" w:rsidRDefault="0080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A" w:rsidRDefault="00A411FA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A411FA" w:rsidRPr="00B84728" w:rsidRDefault="00A411FA" w:rsidP="00B84728">
    <w:pPr>
      <w:pStyle w:val="Footer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58" w:rsidRDefault="00800C58">
      <w:r>
        <w:separator/>
      </w:r>
    </w:p>
  </w:footnote>
  <w:footnote w:type="continuationSeparator" w:id="0">
    <w:p w:rsidR="00800C58" w:rsidRDefault="0080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183"/>
    <w:multiLevelType w:val="hybridMultilevel"/>
    <w:tmpl w:val="69D6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4E2A"/>
    <w:multiLevelType w:val="multilevel"/>
    <w:tmpl w:val="D4A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9B"/>
    <w:rsid w:val="000018C4"/>
    <w:rsid w:val="00034383"/>
    <w:rsid w:val="000431C7"/>
    <w:rsid w:val="000A3E6A"/>
    <w:rsid w:val="000B589C"/>
    <w:rsid w:val="000C56B3"/>
    <w:rsid w:val="000D1B8E"/>
    <w:rsid w:val="000F0D19"/>
    <w:rsid w:val="001072EC"/>
    <w:rsid w:val="001240FF"/>
    <w:rsid w:val="001241F5"/>
    <w:rsid w:val="00136F45"/>
    <w:rsid w:val="0016535A"/>
    <w:rsid w:val="0019493D"/>
    <w:rsid w:val="001A5C6E"/>
    <w:rsid w:val="001A713C"/>
    <w:rsid w:val="001B48A8"/>
    <w:rsid w:val="001C1811"/>
    <w:rsid w:val="001D5FB1"/>
    <w:rsid w:val="001E10FE"/>
    <w:rsid w:val="001F4D1C"/>
    <w:rsid w:val="001F59B8"/>
    <w:rsid w:val="002059D1"/>
    <w:rsid w:val="00227303"/>
    <w:rsid w:val="00232737"/>
    <w:rsid w:val="00251D39"/>
    <w:rsid w:val="002765A4"/>
    <w:rsid w:val="002B32D7"/>
    <w:rsid w:val="002F20CC"/>
    <w:rsid w:val="00333604"/>
    <w:rsid w:val="003863BB"/>
    <w:rsid w:val="003C6509"/>
    <w:rsid w:val="003D5820"/>
    <w:rsid w:val="003F6869"/>
    <w:rsid w:val="00402905"/>
    <w:rsid w:val="00410CEF"/>
    <w:rsid w:val="00413A73"/>
    <w:rsid w:val="004723FB"/>
    <w:rsid w:val="00480EC6"/>
    <w:rsid w:val="00490883"/>
    <w:rsid w:val="0049419B"/>
    <w:rsid w:val="004A73CB"/>
    <w:rsid w:val="004F68E6"/>
    <w:rsid w:val="0052504F"/>
    <w:rsid w:val="005445FF"/>
    <w:rsid w:val="005515A7"/>
    <w:rsid w:val="00552CB2"/>
    <w:rsid w:val="00556ABC"/>
    <w:rsid w:val="00571B48"/>
    <w:rsid w:val="005855B3"/>
    <w:rsid w:val="005B4547"/>
    <w:rsid w:val="005D4FDE"/>
    <w:rsid w:val="005E5CA5"/>
    <w:rsid w:val="005F43FE"/>
    <w:rsid w:val="005F78E0"/>
    <w:rsid w:val="00632561"/>
    <w:rsid w:val="00661DB5"/>
    <w:rsid w:val="006E7BB8"/>
    <w:rsid w:val="007442BC"/>
    <w:rsid w:val="00764533"/>
    <w:rsid w:val="00791B27"/>
    <w:rsid w:val="00791D75"/>
    <w:rsid w:val="007942BA"/>
    <w:rsid w:val="007B0DC7"/>
    <w:rsid w:val="007B5A22"/>
    <w:rsid w:val="007B7DC1"/>
    <w:rsid w:val="00800C58"/>
    <w:rsid w:val="0081610F"/>
    <w:rsid w:val="0083173F"/>
    <w:rsid w:val="008372C3"/>
    <w:rsid w:val="00874DCD"/>
    <w:rsid w:val="008E0364"/>
    <w:rsid w:val="00902EBC"/>
    <w:rsid w:val="00956B1B"/>
    <w:rsid w:val="009608DE"/>
    <w:rsid w:val="009A6284"/>
    <w:rsid w:val="009E5FEA"/>
    <w:rsid w:val="00A07619"/>
    <w:rsid w:val="00A411FA"/>
    <w:rsid w:val="00B01897"/>
    <w:rsid w:val="00B42909"/>
    <w:rsid w:val="00B5043F"/>
    <w:rsid w:val="00B60F75"/>
    <w:rsid w:val="00B61CFC"/>
    <w:rsid w:val="00B71C3D"/>
    <w:rsid w:val="00B84728"/>
    <w:rsid w:val="00B929B5"/>
    <w:rsid w:val="00BB39B1"/>
    <w:rsid w:val="00BD1EA2"/>
    <w:rsid w:val="00BD4A5D"/>
    <w:rsid w:val="00BF34FA"/>
    <w:rsid w:val="00BF76C9"/>
    <w:rsid w:val="00C359F2"/>
    <w:rsid w:val="00C35C1B"/>
    <w:rsid w:val="00C438AD"/>
    <w:rsid w:val="00C44154"/>
    <w:rsid w:val="00C571CC"/>
    <w:rsid w:val="00C70C88"/>
    <w:rsid w:val="00C84446"/>
    <w:rsid w:val="00CB4880"/>
    <w:rsid w:val="00CD6C9B"/>
    <w:rsid w:val="00D16937"/>
    <w:rsid w:val="00D5129E"/>
    <w:rsid w:val="00D6029A"/>
    <w:rsid w:val="00D64FE2"/>
    <w:rsid w:val="00D7229A"/>
    <w:rsid w:val="00D868B6"/>
    <w:rsid w:val="00D956C8"/>
    <w:rsid w:val="00DB2686"/>
    <w:rsid w:val="00DB28EC"/>
    <w:rsid w:val="00DE754C"/>
    <w:rsid w:val="00E06557"/>
    <w:rsid w:val="00E15247"/>
    <w:rsid w:val="00E3147C"/>
    <w:rsid w:val="00E6258F"/>
    <w:rsid w:val="00E701FC"/>
    <w:rsid w:val="00E7205B"/>
    <w:rsid w:val="00EA6863"/>
    <w:rsid w:val="00EC16DD"/>
    <w:rsid w:val="00EC5556"/>
    <w:rsid w:val="00ED11EE"/>
    <w:rsid w:val="00EF7564"/>
    <w:rsid w:val="00EF7749"/>
    <w:rsid w:val="00F07D86"/>
    <w:rsid w:val="00F27CD7"/>
    <w:rsid w:val="00FA0C1C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73CB"/>
    <w:rPr>
      <w:color w:val="0000FF"/>
      <w:u w:val="single"/>
    </w:rPr>
  </w:style>
  <w:style w:type="character" w:styleId="FollowedHyperlink">
    <w:name w:val="FollowedHyperlink"/>
    <w:rsid w:val="004A73C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B42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9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9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90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B2686"/>
    <w:pPr>
      <w:ind w:left="720"/>
      <w:contextualSpacing/>
    </w:pPr>
  </w:style>
  <w:style w:type="character" w:styleId="Strong">
    <w:name w:val="Strong"/>
    <w:uiPriority w:val="22"/>
    <w:qFormat/>
    <w:rsid w:val="008E0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73CB"/>
    <w:rPr>
      <w:color w:val="0000FF"/>
      <w:u w:val="single"/>
    </w:rPr>
  </w:style>
  <w:style w:type="character" w:styleId="FollowedHyperlink">
    <w:name w:val="FollowedHyperlink"/>
    <w:rsid w:val="004A73C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B42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9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9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90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B2686"/>
    <w:pPr>
      <w:ind w:left="720"/>
      <w:contextualSpacing/>
    </w:pPr>
  </w:style>
  <w:style w:type="character" w:styleId="Strong">
    <w:name w:val="Strong"/>
    <w:uiPriority w:val="22"/>
    <w:qFormat/>
    <w:rsid w:val="008E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p\Local%20Settings\Temporary%20Internet%20Files\OLK9\TRDC%20Report%20Template%2015%2008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TRDC Report Template 15 08 12</Template>
  <TotalTime>4</TotalTime>
  <Pages>2</Pages>
  <Words>475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TRDC Report Template (2011 03 31))</vt:lpstr>
    </vt:vector>
  </TitlesOfParts>
  <Company>Pre-installed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TRDC Report Template (2011 03 31))</dc:title>
  <dc:creator>Phill King</dc:creator>
  <cp:lastModifiedBy>Sarah Haythorpe</cp:lastModifiedBy>
  <cp:revision>5</cp:revision>
  <cp:lastPrinted>2017-08-24T13:04:00Z</cp:lastPrinted>
  <dcterms:created xsi:type="dcterms:W3CDTF">2017-08-21T12:22:00Z</dcterms:created>
  <dcterms:modified xsi:type="dcterms:W3CDTF">2017-08-24T13:04:00Z</dcterms:modified>
</cp:coreProperties>
</file>