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67B" w:rsidRDefault="003E467B" w:rsidP="008A256E">
      <w:pPr>
        <w:ind w:left="-142" w:right="-269"/>
        <w:jc w:val="center"/>
        <w:rPr>
          <w:b/>
        </w:rPr>
      </w:pPr>
    </w:p>
    <w:p w:rsidR="003E467B" w:rsidRDefault="003E467B" w:rsidP="008A256E">
      <w:pPr>
        <w:ind w:left="-142" w:right="-269"/>
        <w:jc w:val="center"/>
        <w:rPr>
          <w:b/>
        </w:rPr>
      </w:pPr>
    </w:p>
    <w:p w:rsidR="008A256E" w:rsidRDefault="00821BA0" w:rsidP="008A256E">
      <w:pPr>
        <w:ind w:left="-142" w:right="-269"/>
        <w:jc w:val="center"/>
        <w:rPr>
          <w:b/>
        </w:rPr>
      </w:pPr>
      <w:r>
        <w:rPr>
          <w:b/>
        </w:rPr>
        <w:t xml:space="preserve">POLICY </w:t>
      </w:r>
      <w:r w:rsidR="0067012B">
        <w:rPr>
          <w:b/>
        </w:rPr>
        <w:t>AND</w:t>
      </w:r>
      <w:r>
        <w:rPr>
          <w:b/>
        </w:rPr>
        <w:t xml:space="preserve"> RESOURCES</w:t>
      </w:r>
      <w:r w:rsidR="00F4144B">
        <w:rPr>
          <w:b/>
        </w:rPr>
        <w:t xml:space="preserve"> COMMITTEE </w:t>
      </w:r>
      <w:r w:rsidR="00A6630B">
        <w:rPr>
          <w:b/>
        </w:rPr>
        <w:t>–</w:t>
      </w:r>
      <w:r w:rsidR="00F4144B">
        <w:rPr>
          <w:b/>
        </w:rPr>
        <w:t xml:space="preserve"> </w:t>
      </w:r>
      <w:r w:rsidR="005D4B2F">
        <w:rPr>
          <w:b/>
        </w:rPr>
        <w:t>18 JULY 2016</w:t>
      </w:r>
    </w:p>
    <w:p w:rsidR="0067012B" w:rsidRDefault="0067012B" w:rsidP="008A256E">
      <w:pPr>
        <w:ind w:left="-142" w:right="-269"/>
        <w:jc w:val="center"/>
        <w:rPr>
          <w:b/>
        </w:rPr>
      </w:pPr>
    </w:p>
    <w:p w:rsidR="00F4144B" w:rsidRDefault="00F4144B">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 </w:t>
      </w:r>
      <w:r w:rsidRPr="0070178D">
        <w:rPr>
          <w:b/>
        </w:rPr>
        <w:t>NOT</w:t>
      </w:r>
      <w:r w:rsidRPr="007200AD">
        <w:rPr>
          <w:b/>
        </w:rPr>
        <w:t xml:space="preserve"> DELEGATED</w:t>
      </w:r>
    </w:p>
    <w:p w:rsidR="00FD020F" w:rsidRDefault="00FD020F">
      <w:pPr>
        <w:jc w:val="center"/>
        <w:rPr>
          <w:b/>
        </w:rPr>
      </w:pPr>
    </w:p>
    <w:p w:rsidR="00F4144B" w:rsidRDefault="00BF7203">
      <w:pPr>
        <w:keepNext/>
        <w:ind w:left="1267" w:hanging="1267"/>
        <w:rPr>
          <w:b/>
          <w:i/>
          <w:color w:val="008000"/>
        </w:rPr>
      </w:pPr>
      <w:r>
        <w:rPr>
          <w:b/>
        </w:rPr>
        <w:t>9</w:t>
      </w:r>
      <w:r w:rsidR="007F2FA5">
        <w:rPr>
          <w:b/>
        </w:rPr>
        <w:t>.</w:t>
      </w:r>
      <w:r w:rsidR="00F4144B">
        <w:rPr>
          <w:b/>
        </w:rPr>
        <w:fldChar w:fldCharType="begin"/>
      </w:r>
      <w:r w:rsidR="00F4144B">
        <w:rPr>
          <w:b/>
        </w:rPr>
        <w:instrText xml:space="preserve">  </w:instrText>
      </w:r>
      <w:r w:rsidR="00F4144B">
        <w:rPr>
          <w:b/>
        </w:rPr>
        <w:fldChar w:fldCharType="end"/>
      </w:r>
      <w:r w:rsidR="00F4144B">
        <w:rPr>
          <w:b/>
        </w:rPr>
        <w:tab/>
      </w:r>
      <w:r w:rsidR="00A6630B">
        <w:rPr>
          <w:b/>
        </w:rPr>
        <w:t xml:space="preserve">BUDGET MONITORING – </w:t>
      </w:r>
      <w:r w:rsidR="005D4B2F">
        <w:rPr>
          <w:b/>
        </w:rPr>
        <w:t xml:space="preserve">QUARTER 1 </w:t>
      </w:r>
      <w:r w:rsidR="00A6630B">
        <w:rPr>
          <w:b/>
        </w:rPr>
        <w:t>(</w:t>
      </w:r>
      <w:r w:rsidR="005D4B2F">
        <w:rPr>
          <w:b/>
        </w:rPr>
        <w:t xml:space="preserve">APRIL – </w:t>
      </w:r>
      <w:r w:rsidR="00957837">
        <w:rPr>
          <w:b/>
        </w:rPr>
        <w:t>JU</w:t>
      </w:r>
      <w:r w:rsidR="005D4B2F">
        <w:rPr>
          <w:b/>
        </w:rPr>
        <w:t>NE 2016</w:t>
      </w:r>
      <w:r w:rsidR="00A6630B">
        <w:rPr>
          <w:b/>
        </w:rPr>
        <w:t>)</w:t>
      </w:r>
      <w:r w:rsidR="00F4144B">
        <w:rPr>
          <w:b/>
        </w:rPr>
        <w:fldChar w:fldCharType="begin"/>
      </w:r>
      <w:r w:rsidR="00F4144B">
        <w:rPr>
          <w:b/>
        </w:rPr>
        <w:instrText xml:space="preserve">  </w:instrText>
      </w:r>
      <w:r w:rsidR="00F4144B">
        <w:rPr>
          <w:b/>
        </w:rPr>
        <w:fldChar w:fldCharType="end"/>
      </w:r>
    </w:p>
    <w:p w:rsidR="00F4144B" w:rsidRDefault="00F4144B">
      <w:pPr>
        <w:keepNext/>
        <w:ind w:left="1267" w:hanging="1267"/>
        <w:rPr>
          <w:b/>
          <w:i/>
          <w:color w:val="008000"/>
        </w:rPr>
      </w:pPr>
      <w:r>
        <w:rPr>
          <w:b/>
        </w:rPr>
        <w:tab/>
      </w:r>
      <w:r>
        <w:fldChar w:fldCharType="begin"/>
      </w:r>
      <w:r>
        <w:instrText xml:space="preserve">  </w:instrText>
      </w:r>
      <w:r>
        <w:fldChar w:fldCharType="end"/>
      </w:r>
      <w:r>
        <w:t>(</w:t>
      </w:r>
      <w:proofErr w:type="spellStart"/>
      <w:r>
        <w:t>D</w:t>
      </w:r>
      <w:r w:rsidR="005D4B2F">
        <w:t>o</w:t>
      </w:r>
      <w:r w:rsidR="00F0377C">
        <w:t>F</w:t>
      </w:r>
      <w:proofErr w:type="spellEnd"/>
      <w:r>
        <w:t>)</w:t>
      </w:r>
    </w:p>
    <w:p w:rsidR="00F4144B" w:rsidRDefault="00F4144B">
      <w:pPr>
        <w:ind w:left="1260" w:hanging="1260"/>
      </w:pPr>
    </w:p>
    <w:p w:rsidR="00F4144B" w:rsidRDefault="00F4144B">
      <w:pPr>
        <w:keepNext/>
        <w:ind w:left="1267" w:hanging="1267"/>
        <w:rPr>
          <w:b/>
        </w:rPr>
      </w:pPr>
      <w:r>
        <w:t>1.</w:t>
      </w:r>
      <w:r>
        <w:tab/>
      </w:r>
      <w:r>
        <w:rPr>
          <w:b/>
        </w:rPr>
        <w:t>Summary</w:t>
      </w:r>
    </w:p>
    <w:p w:rsidR="00420328" w:rsidRDefault="00420328">
      <w:pPr>
        <w:keepNext/>
        <w:ind w:left="1267" w:hanging="1267"/>
      </w:pPr>
    </w:p>
    <w:p w:rsidR="00420328" w:rsidRDefault="00420328">
      <w:pPr>
        <w:keepNext/>
        <w:ind w:left="1267" w:hanging="1267"/>
      </w:pPr>
      <w:r>
        <w:t>1.1</w:t>
      </w:r>
      <w:r w:rsidR="008C45E6">
        <w:tab/>
      </w:r>
      <w:r>
        <w:tab/>
        <w:t xml:space="preserve">Budget </w:t>
      </w:r>
      <w:r w:rsidR="005E56BF">
        <w:t>m</w:t>
      </w:r>
      <w:r>
        <w:t>onitoring report is</w:t>
      </w:r>
      <w:r w:rsidR="001712A5">
        <w:t xml:space="preserve"> a key tool in </w:t>
      </w:r>
      <w:r w:rsidR="00BA4783">
        <w:t>scrutinising</w:t>
      </w:r>
      <w:r>
        <w:t xml:space="preserve"> the </w:t>
      </w:r>
      <w:r w:rsidR="001712A5">
        <w:t xml:space="preserve">Council’s </w:t>
      </w:r>
      <w:r>
        <w:t xml:space="preserve">financial </w:t>
      </w:r>
      <w:r w:rsidR="001712A5">
        <w:t>performance. It</w:t>
      </w:r>
      <w:r>
        <w:t xml:space="preserve"> is designed to provide an overview to </w:t>
      </w:r>
      <w:r w:rsidR="001712A5">
        <w:t xml:space="preserve">all </w:t>
      </w:r>
      <w:r>
        <w:t>relevant stakeholders.</w:t>
      </w:r>
      <w:r w:rsidR="007178AB">
        <w:t xml:space="preserve"> </w:t>
      </w:r>
      <w:r>
        <w:t>It is essential that the council monitors its budgets throughout the year to ensure that it is meeting its strategic objectives and that corrective action is taken where necessary.</w:t>
      </w:r>
    </w:p>
    <w:p w:rsidR="00F4144B" w:rsidRDefault="00F4144B">
      <w:pPr>
        <w:keepNext/>
        <w:ind w:left="1267" w:hanging="1267"/>
      </w:pPr>
    </w:p>
    <w:p w:rsidR="003D5D0F" w:rsidRDefault="00420328" w:rsidP="00A6630B">
      <w:pPr>
        <w:ind w:left="1267" w:hanging="1267"/>
      </w:pPr>
      <w:r>
        <w:t>1.</w:t>
      </w:r>
      <w:r w:rsidR="007178AB">
        <w:t>2</w:t>
      </w:r>
      <w:r w:rsidR="00F4144B">
        <w:tab/>
      </w:r>
      <w:r w:rsidR="00A6630B">
        <w:t>This report seeks approval to</w:t>
      </w:r>
      <w:r w:rsidR="002145A5">
        <w:t xml:space="preserve"> a</w:t>
      </w:r>
      <w:r w:rsidR="00A6630B">
        <w:t xml:space="preserve"> change in the</w:t>
      </w:r>
      <w:r w:rsidR="003D5D0F">
        <w:t xml:space="preserve"> Committee’s</w:t>
      </w:r>
      <w:r w:rsidR="00B75474">
        <w:t xml:space="preserve"> 201</w:t>
      </w:r>
      <w:r w:rsidR="00F17085">
        <w:t>6</w:t>
      </w:r>
      <w:r w:rsidR="00B75474">
        <w:t xml:space="preserve"> - 201</w:t>
      </w:r>
      <w:r w:rsidR="00F17085">
        <w:t>9</w:t>
      </w:r>
      <w:r w:rsidR="003D5D0F">
        <w:t xml:space="preserve"> medium</w:t>
      </w:r>
      <w:r w:rsidR="00A6630B">
        <w:t xml:space="preserve">-term </w:t>
      </w:r>
      <w:r w:rsidR="00EF1B00">
        <w:t xml:space="preserve">revenue </w:t>
      </w:r>
      <w:r w:rsidR="00A6630B">
        <w:t xml:space="preserve">financial </w:t>
      </w:r>
      <w:r w:rsidR="0041297B">
        <w:t>plan</w:t>
      </w:r>
      <w:r w:rsidR="00EF1B00">
        <w:t>.</w:t>
      </w:r>
    </w:p>
    <w:p w:rsidR="001342E3" w:rsidRDefault="001342E3" w:rsidP="00A6630B">
      <w:pPr>
        <w:ind w:left="1267" w:hanging="1267"/>
      </w:pPr>
    </w:p>
    <w:p w:rsidR="006E177E" w:rsidRDefault="006E177E" w:rsidP="005C5E36">
      <w:pPr>
        <w:keepNext/>
        <w:numPr>
          <w:ilvl w:val="0"/>
          <w:numId w:val="15"/>
        </w:numPr>
        <w:rPr>
          <w:b/>
        </w:rPr>
      </w:pPr>
      <w:r>
        <w:rPr>
          <w:b/>
        </w:rPr>
        <w:t>Details</w:t>
      </w:r>
    </w:p>
    <w:p w:rsidR="00063A57" w:rsidRDefault="00063A57" w:rsidP="00063A57">
      <w:pPr>
        <w:keepNext/>
        <w:tabs>
          <w:tab w:val="clear" w:pos="1260"/>
        </w:tabs>
        <w:rPr>
          <w:b/>
        </w:rPr>
      </w:pPr>
    </w:p>
    <w:p w:rsidR="00EF1B00" w:rsidRDefault="00DF073A" w:rsidP="00EF1B00">
      <w:pPr>
        <w:ind w:left="1267" w:hanging="1267"/>
      </w:pPr>
      <w:r w:rsidRPr="00DF073A">
        <w:t>2.1</w:t>
      </w:r>
      <w:r>
        <w:tab/>
      </w:r>
      <w:r>
        <w:tab/>
        <w:t xml:space="preserve">In compiling this report, the Finance </w:t>
      </w:r>
      <w:r w:rsidR="00F4341A">
        <w:t>section</w:t>
      </w:r>
      <w:r>
        <w:t xml:space="preserve"> send</w:t>
      </w:r>
      <w:r w:rsidR="00D34C39">
        <w:t>s</w:t>
      </w:r>
      <w:r>
        <w:t xml:space="preserve"> a pro-forma to each service head to confirm that their latest approved budgets either </w:t>
      </w:r>
      <w:r w:rsidR="00EF1B00">
        <w:t>need</w:t>
      </w:r>
      <w:r w:rsidR="00F4341A">
        <w:t xml:space="preserve"> </w:t>
      </w:r>
      <w:r>
        <w:t>chang</w:t>
      </w:r>
      <w:r w:rsidR="00F4341A">
        <w:t>ing</w:t>
      </w:r>
      <w:r>
        <w:t xml:space="preserve"> and</w:t>
      </w:r>
      <w:r w:rsidR="00F4341A">
        <w:t xml:space="preserve"> therefore</w:t>
      </w:r>
      <w:r>
        <w:t xml:space="preserve"> a variance </w:t>
      </w:r>
      <w:r w:rsidR="00F4341A">
        <w:t xml:space="preserve">is </w:t>
      </w:r>
      <w:r>
        <w:t xml:space="preserve">reported or to confirm </w:t>
      </w:r>
      <w:r w:rsidR="00F4341A">
        <w:t xml:space="preserve">that there is </w:t>
      </w:r>
      <w:r>
        <w:t xml:space="preserve">no change. </w:t>
      </w:r>
      <w:r w:rsidR="00EF1B00">
        <w:t>Service</w:t>
      </w:r>
      <w:r>
        <w:t xml:space="preserve"> heads must provide a valid reason for any growth, </w:t>
      </w:r>
      <w:r w:rsidR="00F4341A">
        <w:t xml:space="preserve">and </w:t>
      </w:r>
      <w:r w:rsidR="00EF1B00">
        <w:t>in the first instance</w:t>
      </w:r>
      <w:r w:rsidR="00F4341A">
        <w:t>, try</w:t>
      </w:r>
      <w:r w:rsidR="00EF1B00">
        <w:t xml:space="preserve"> to mitigate </w:t>
      </w:r>
      <w:r w:rsidR="00F4341A">
        <w:t xml:space="preserve">any overspend </w:t>
      </w:r>
      <w:r w:rsidR="00EF1B00">
        <w:t>by identifying compensatory savings in their service area</w:t>
      </w:r>
      <w:r w:rsidR="00F4341A">
        <w:t>.</w:t>
      </w:r>
    </w:p>
    <w:p w:rsidR="00F6577F" w:rsidRDefault="00F6577F" w:rsidP="00EF1B00">
      <w:pPr>
        <w:ind w:left="1267" w:hanging="1267"/>
      </w:pPr>
    </w:p>
    <w:p w:rsidR="00F6577F" w:rsidRDefault="00F6577F" w:rsidP="00F6577F">
      <w:pPr>
        <w:ind w:left="1267" w:hanging="1267"/>
      </w:pPr>
      <w:r>
        <w:t>2.2</w:t>
      </w:r>
      <w:r>
        <w:tab/>
        <w:t>An overall i</w:t>
      </w:r>
      <w:r w:rsidRPr="004E0CF7">
        <w:t xml:space="preserve">ncrease in </w:t>
      </w:r>
      <w:r>
        <w:t xml:space="preserve">the Council’s </w:t>
      </w:r>
      <w:r w:rsidRPr="004E0CF7">
        <w:t xml:space="preserve">budgets requiring the use of balances must be approved by Council. </w:t>
      </w:r>
      <w:proofErr w:type="spellStart"/>
      <w:r w:rsidRPr="004E0CF7">
        <w:t>Virements</w:t>
      </w:r>
      <w:proofErr w:type="spellEnd"/>
      <w:r w:rsidRPr="004E0CF7">
        <w:t xml:space="preserve"> between </w:t>
      </w:r>
      <w:r>
        <w:t>cost centres within each service</w:t>
      </w:r>
      <w:r w:rsidRPr="004E0CF7">
        <w:t xml:space="preserve"> </w:t>
      </w:r>
      <w:r>
        <w:t>are</w:t>
      </w:r>
      <w:r w:rsidRPr="004E0CF7">
        <w:t xml:space="preserve"> approved by </w:t>
      </w:r>
      <w:r>
        <w:t xml:space="preserve">each committee. </w:t>
      </w:r>
      <w:proofErr w:type="spellStart"/>
      <w:r w:rsidRPr="004E0CF7">
        <w:t>Virements</w:t>
      </w:r>
      <w:proofErr w:type="spellEnd"/>
      <w:r w:rsidRPr="004E0CF7">
        <w:t xml:space="preserve"> between service</w:t>
      </w:r>
      <w:r>
        <w:t xml:space="preserve"> committees </w:t>
      </w:r>
      <w:r w:rsidRPr="004E0CF7">
        <w:t>m</w:t>
      </w:r>
      <w:r>
        <w:t>ust</w:t>
      </w:r>
      <w:r w:rsidRPr="004E0CF7">
        <w:t xml:space="preserve"> be approved by </w:t>
      </w:r>
      <w:r>
        <w:t>Council</w:t>
      </w:r>
      <w:r w:rsidRPr="004E0CF7">
        <w:t xml:space="preserve"> along with proposals for the </w:t>
      </w:r>
      <w:r w:rsidRPr="00805D0F">
        <w:t>use of ‘windfall’ income.</w:t>
      </w:r>
    </w:p>
    <w:p w:rsidR="00DF073A" w:rsidRPr="00DF073A" w:rsidRDefault="00DF073A" w:rsidP="00EF1B00">
      <w:pPr>
        <w:ind w:left="1267" w:hanging="1267"/>
      </w:pPr>
      <w:r>
        <w:t>.</w:t>
      </w:r>
    </w:p>
    <w:p w:rsidR="00420328" w:rsidRDefault="009B30AD" w:rsidP="006E177E">
      <w:pPr>
        <w:keepNext/>
        <w:ind w:left="1267" w:hanging="1267"/>
        <w:rPr>
          <w:b/>
          <w:i/>
        </w:rPr>
      </w:pPr>
      <w:r w:rsidRPr="009B30AD">
        <w:t xml:space="preserve">                    </w:t>
      </w:r>
      <w:r w:rsidR="00420328">
        <w:rPr>
          <w:b/>
          <w:i/>
        </w:rPr>
        <w:tab/>
        <w:t>Revenue</w:t>
      </w:r>
    </w:p>
    <w:p w:rsidR="00863115" w:rsidRPr="00863115" w:rsidRDefault="00863115" w:rsidP="006E177E">
      <w:pPr>
        <w:keepNext/>
        <w:ind w:left="1267" w:hanging="1267"/>
        <w:rPr>
          <w:b/>
          <w:i/>
        </w:rPr>
      </w:pPr>
    </w:p>
    <w:p w:rsidR="00F6577F" w:rsidRDefault="006E177E" w:rsidP="006E632E">
      <w:pPr>
        <w:ind w:left="1267" w:hanging="1267"/>
      </w:pPr>
      <w:r>
        <w:t>2.</w:t>
      </w:r>
      <w:r w:rsidR="00F6577F">
        <w:t>3</w:t>
      </w:r>
      <w:r>
        <w:tab/>
      </w:r>
      <w:r w:rsidR="00420328">
        <w:t xml:space="preserve">The </w:t>
      </w:r>
      <w:r w:rsidR="00E52857">
        <w:t xml:space="preserve">original </w:t>
      </w:r>
      <w:r w:rsidR="0080035B">
        <w:t xml:space="preserve">net </w:t>
      </w:r>
      <w:r w:rsidR="008C3FEE">
        <w:t>revenue</w:t>
      </w:r>
      <w:r w:rsidR="0080035B">
        <w:t xml:space="preserve"> </w:t>
      </w:r>
      <w:r w:rsidR="00E52857">
        <w:t>budget</w:t>
      </w:r>
      <w:r w:rsidR="008C3FEE">
        <w:t xml:space="preserve"> for 2016/17 </w:t>
      </w:r>
      <w:r w:rsidR="00DB14F9">
        <w:t>(</w:t>
      </w:r>
      <w:r w:rsidR="00E52857">
        <w:t xml:space="preserve">as approved by </w:t>
      </w:r>
      <w:r w:rsidR="005E56BF">
        <w:t xml:space="preserve">Council </w:t>
      </w:r>
      <w:r w:rsidR="00BD37AD">
        <w:t>in</w:t>
      </w:r>
      <w:r w:rsidR="005E56BF">
        <w:t xml:space="preserve"> February 2016)</w:t>
      </w:r>
      <w:r w:rsidR="008C3FEE">
        <w:t xml:space="preserve"> was </w:t>
      </w:r>
      <w:r w:rsidR="008C3FEE" w:rsidRPr="00DB14F9">
        <w:rPr>
          <w:b/>
        </w:rPr>
        <w:t>£11.78</w:t>
      </w:r>
      <w:r w:rsidR="00FE5B84">
        <w:rPr>
          <w:b/>
        </w:rPr>
        <w:t>2</w:t>
      </w:r>
      <w:r w:rsidR="008C3FEE" w:rsidRPr="00DB14F9">
        <w:rPr>
          <w:b/>
        </w:rPr>
        <w:t xml:space="preserve"> </w:t>
      </w:r>
      <w:r w:rsidR="004B6E0C" w:rsidRPr="00DB14F9">
        <w:rPr>
          <w:b/>
        </w:rPr>
        <w:t>million</w:t>
      </w:r>
      <w:r w:rsidR="004B6E0C">
        <w:t xml:space="preserve">. </w:t>
      </w:r>
      <w:r w:rsidR="005E56BF">
        <w:t xml:space="preserve">The </w:t>
      </w:r>
      <w:r w:rsidR="00E52857">
        <w:t>latest</w:t>
      </w:r>
      <w:r w:rsidR="005E56BF">
        <w:t xml:space="preserve"> </w:t>
      </w:r>
      <w:r w:rsidR="00E52857">
        <w:t>budget</w:t>
      </w:r>
      <w:r w:rsidR="00FE5B84">
        <w:t xml:space="preserve"> is £</w:t>
      </w:r>
      <w:r w:rsidR="00FE5B84" w:rsidRPr="00FE5B84">
        <w:rPr>
          <w:b/>
        </w:rPr>
        <w:t>12.1</w:t>
      </w:r>
      <w:r w:rsidR="00AB5497">
        <w:rPr>
          <w:b/>
        </w:rPr>
        <w:t>89</w:t>
      </w:r>
      <w:r w:rsidR="00FE5B84" w:rsidRPr="00FE5B84">
        <w:rPr>
          <w:b/>
        </w:rPr>
        <w:t xml:space="preserve"> million</w:t>
      </w:r>
      <w:r w:rsidR="00FE5B84">
        <w:t xml:space="preserve"> </w:t>
      </w:r>
      <w:r w:rsidR="00BD37AD">
        <w:t xml:space="preserve">which </w:t>
      </w:r>
      <w:r w:rsidR="00B02DB8">
        <w:t xml:space="preserve">includes </w:t>
      </w:r>
      <w:r w:rsidR="00FE5B84">
        <w:t>the budget carry forwards from 2015/16</w:t>
      </w:r>
      <w:r w:rsidR="00B02DB8">
        <w:t xml:space="preserve"> </w:t>
      </w:r>
      <w:r w:rsidR="00B02DB8" w:rsidRPr="00B02DB8">
        <w:rPr>
          <w:b/>
        </w:rPr>
        <w:t>of £0.408 million</w:t>
      </w:r>
      <w:r w:rsidR="00FE5B84">
        <w:t xml:space="preserve"> as recommended for approval to </w:t>
      </w:r>
      <w:r w:rsidR="00CD3615">
        <w:t>Council by</w:t>
      </w:r>
      <w:r w:rsidR="00FE5B84">
        <w:t xml:space="preserve"> this </w:t>
      </w:r>
      <w:r w:rsidR="00D34C39">
        <w:t>c</w:t>
      </w:r>
      <w:r w:rsidR="00FE5B84">
        <w:t>ommittee in June.</w:t>
      </w:r>
      <w:r w:rsidR="00B02DB8">
        <w:t xml:space="preserve"> </w:t>
      </w:r>
      <w:r w:rsidR="003C51EE">
        <w:t xml:space="preserve"> </w:t>
      </w:r>
    </w:p>
    <w:p w:rsidR="00F6577F" w:rsidRDefault="00F6577F" w:rsidP="006E632E">
      <w:pPr>
        <w:ind w:left="1267" w:hanging="1267"/>
      </w:pPr>
    </w:p>
    <w:p w:rsidR="003A7356" w:rsidRDefault="00F6577F" w:rsidP="006E632E">
      <w:pPr>
        <w:ind w:left="1267" w:hanging="1267"/>
      </w:pPr>
      <w:r>
        <w:t>2.4</w:t>
      </w:r>
      <w:r>
        <w:tab/>
      </w:r>
      <w:r w:rsidR="003C51EE">
        <w:t>After removing</w:t>
      </w:r>
      <w:r w:rsidR="00746B23">
        <w:t xml:space="preserve"> other </w:t>
      </w:r>
      <w:r w:rsidR="002145A5">
        <w:t>non-service</w:t>
      </w:r>
      <w:r w:rsidR="00746B23">
        <w:t xml:space="preserve"> costs (parish precepts and </w:t>
      </w:r>
      <w:r>
        <w:t>i</w:t>
      </w:r>
      <w:r w:rsidR="00746B23">
        <w:t xml:space="preserve">nterest earned on investments) and </w:t>
      </w:r>
      <w:r w:rsidR="002145A5">
        <w:t>i</w:t>
      </w:r>
      <w:r w:rsidR="00746B23">
        <w:t>ndirect costs (internal recharges, capital financing charges &amp; adjustments under statute) the net</w:t>
      </w:r>
      <w:r>
        <w:t xml:space="preserve"> original</w:t>
      </w:r>
      <w:r w:rsidR="00746B23">
        <w:t xml:space="preserve"> direct revenue budget </w:t>
      </w:r>
      <w:r>
        <w:t>was set at</w:t>
      </w:r>
      <w:r w:rsidR="00746B23">
        <w:t xml:space="preserve"> </w:t>
      </w:r>
      <w:r w:rsidR="00746B23" w:rsidRPr="00746B23">
        <w:rPr>
          <w:b/>
        </w:rPr>
        <w:t>£10.775 million</w:t>
      </w:r>
      <w:r w:rsidR="00746B23">
        <w:t xml:space="preserve"> and the latest approved </w:t>
      </w:r>
      <w:r w:rsidR="00746B23" w:rsidRPr="00746B23">
        <w:rPr>
          <w:b/>
        </w:rPr>
        <w:t>£11.182 million</w:t>
      </w:r>
      <w:r w:rsidR="00746B23">
        <w:t xml:space="preserve">. These are the </w:t>
      </w:r>
      <w:r>
        <w:t>budget</w:t>
      </w:r>
      <w:r w:rsidR="003A7356">
        <w:t>s</w:t>
      </w:r>
      <w:r>
        <w:t xml:space="preserve"> </w:t>
      </w:r>
      <w:r w:rsidR="00746B23">
        <w:t xml:space="preserve">that </w:t>
      </w:r>
      <w:r w:rsidR="00D34C39">
        <w:t>s</w:t>
      </w:r>
      <w:r w:rsidR="00533E34">
        <w:t xml:space="preserve">ervice </w:t>
      </w:r>
      <w:r w:rsidR="00D34C39">
        <w:t>c</w:t>
      </w:r>
      <w:r w:rsidR="00533E34">
        <w:t xml:space="preserve">ommittees have a direct </w:t>
      </w:r>
      <w:r>
        <w:t>responsibility for</w:t>
      </w:r>
      <w:r w:rsidR="00533E34">
        <w:t xml:space="preserve">. </w:t>
      </w:r>
    </w:p>
    <w:p w:rsidR="003A7356" w:rsidRDefault="003A7356" w:rsidP="006E632E">
      <w:pPr>
        <w:ind w:left="1267" w:hanging="1267"/>
      </w:pPr>
    </w:p>
    <w:p w:rsidR="006E632E" w:rsidRDefault="003A7356" w:rsidP="006E632E">
      <w:pPr>
        <w:ind w:left="1267" w:hanging="1267"/>
      </w:pPr>
      <w:r>
        <w:t>2.5</w:t>
      </w:r>
      <w:r>
        <w:tab/>
      </w:r>
      <w:r w:rsidR="00533E34">
        <w:t>The fore</w:t>
      </w:r>
      <w:r w:rsidR="00F17085">
        <w:t xml:space="preserve">cast </w:t>
      </w:r>
      <w:r w:rsidR="00533E34">
        <w:t>outturn is</w:t>
      </w:r>
      <w:r w:rsidR="00CD3615">
        <w:t xml:space="preserve"> now</w:t>
      </w:r>
      <w:r w:rsidR="00174BF2">
        <w:t xml:space="preserve"> estimated to be </w:t>
      </w:r>
      <w:r w:rsidR="00EC67E2" w:rsidRPr="00174BF2">
        <w:rPr>
          <w:b/>
        </w:rPr>
        <w:t>£</w:t>
      </w:r>
      <w:r w:rsidR="00A76CA7">
        <w:rPr>
          <w:b/>
        </w:rPr>
        <w:t>11</w:t>
      </w:r>
      <w:r w:rsidR="00174BF2" w:rsidRPr="00174BF2">
        <w:rPr>
          <w:b/>
        </w:rPr>
        <w:t>.</w:t>
      </w:r>
      <w:r w:rsidR="00A76CA7">
        <w:rPr>
          <w:b/>
        </w:rPr>
        <w:t>257</w:t>
      </w:r>
      <w:r>
        <w:rPr>
          <w:b/>
        </w:rPr>
        <w:t xml:space="preserve"> </w:t>
      </w:r>
      <w:r w:rsidR="00174BF2" w:rsidRPr="00174BF2">
        <w:rPr>
          <w:b/>
        </w:rPr>
        <w:t>million</w:t>
      </w:r>
      <w:r w:rsidR="00EC67E2">
        <w:t xml:space="preserve"> which </w:t>
      </w:r>
      <w:r w:rsidR="001712A5">
        <w:t xml:space="preserve">results in </w:t>
      </w:r>
      <w:r w:rsidR="00EC67E2">
        <w:t xml:space="preserve">an </w:t>
      </w:r>
      <w:r w:rsidR="00B636C7" w:rsidRPr="00DF1C0A">
        <w:t>unfavourable</w:t>
      </w:r>
      <w:r w:rsidR="00EC67E2">
        <w:t xml:space="preserve"> variance of </w:t>
      </w:r>
      <w:r w:rsidR="00EC67E2" w:rsidRPr="00174BF2">
        <w:rPr>
          <w:b/>
        </w:rPr>
        <w:t>£</w:t>
      </w:r>
      <w:r w:rsidR="00DF1C0A">
        <w:rPr>
          <w:b/>
        </w:rPr>
        <w:t>0.075 million</w:t>
      </w:r>
      <w:r w:rsidR="00BD37AD">
        <w:rPr>
          <w:b/>
        </w:rPr>
        <w:t>.</w:t>
      </w:r>
    </w:p>
    <w:p w:rsidR="005A1A4C" w:rsidRDefault="005A1A4C" w:rsidP="006E632E">
      <w:pPr>
        <w:ind w:left="1267" w:hanging="1267"/>
      </w:pPr>
    </w:p>
    <w:p w:rsidR="00CD3615" w:rsidRDefault="00F4341A" w:rsidP="006E632E">
      <w:pPr>
        <w:ind w:left="1267" w:hanging="1267"/>
      </w:pPr>
      <w:r>
        <w:t>2.</w:t>
      </w:r>
      <w:r w:rsidR="003A7356">
        <w:t>6</w:t>
      </w:r>
      <w:r w:rsidR="00CD3615">
        <w:tab/>
        <w:t xml:space="preserve">The table below shows the net </w:t>
      </w:r>
      <w:r w:rsidR="00DD486A">
        <w:t>direct expenditure (</w:t>
      </w:r>
      <w:r w:rsidR="00CB2CA2">
        <w:t>service</w:t>
      </w:r>
      <w:r w:rsidR="00DD486A">
        <w:t xml:space="preserve"> costs) budgets, forecast outturn and variance for each </w:t>
      </w:r>
      <w:r w:rsidR="00D34C39">
        <w:t>s</w:t>
      </w:r>
      <w:r w:rsidR="00DD486A">
        <w:t>e</w:t>
      </w:r>
      <w:r w:rsidR="00AB5497">
        <w:t xml:space="preserve">rvice </w:t>
      </w:r>
      <w:r w:rsidR="00D34C39">
        <w:t>c</w:t>
      </w:r>
      <w:r w:rsidR="00AB5497">
        <w:t>ommittee</w:t>
      </w:r>
      <w:r w:rsidR="00DD486A">
        <w:t>.</w:t>
      </w:r>
    </w:p>
    <w:p w:rsidR="003A7356" w:rsidRDefault="003A7356" w:rsidP="006E632E">
      <w:pPr>
        <w:ind w:left="1267" w:hanging="1267"/>
      </w:pPr>
    </w:p>
    <w:p w:rsidR="003A7356" w:rsidRDefault="003A7356" w:rsidP="006E632E">
      <w:pPr>
        <w:ind w:left="1267" w:hanging="1267"/>
      </w:pPr>
    </w:p>
    <w:p w:rsidR="003A7356" w:rsidRDefault="003A7356" w:rsidP="006E632E">
      <w:pPr>
        <w:ind w:left="1267" w:hanging="1267"/>
      </w:pPr>
    </w:p>
    <w:p w:rsidR="003A7356" w:rsidRDefault="003A7356" w:rsidP="006E632E">
      <w:pPr>
        <w:ind w:left="1267" w:hanging="1267"/>
      </w:pPr>
    </w:p>
    <w:p w:rsidR="003A7356" w:rsidRDefault="003A7356" w:rsidP="006E632E">
      <w:pPr>
        <w:ind w:left="1267" w:hanging="1267"/>
      </w:pPr>
    </w:p>
    <w:p w:rsidR="003A7356" w:rsidRDefault="003A7356" w:rsidP="006E632E">
      <w:pPr>
        <w:ind w:left="1267" w:hanging="1267"/>
      </w:pPr>
    </w:p>
    <w:p w:rsidR="00DD486A" w:rsidRPr="00B16B34" w:rsidRDefault="00DD486A" w:rsidP="006E632E">
      <w:pPr>
        <w:ind w:left="1267" w:hanging="1267"/>
        <w:rPr>
          <w:rFonts w:cs="Arial"/>
          <w:szCs w:val="22"/>
        </w:rPr>
      </w:pPr>
    </w:p>
    <w:tbl>
      <w:tblPr>
        <w:tblW w:w="8505" w:type="dxa"/>
        <w:tblInd w:w="1384" w:type="dxa"/>
        <w:tblLayout w:type="fixed"/>
        <w:tblLook w:val="04A0" w:firstRow="1" w:lastRow="0" w:firstColumn="1" w:lastColumn="0" w:noHBand="0" w:noVBand="1"/>
      </w:tblPr>
      <w:tblGrid>
        <w:gridCol w:w="3827"/>
        <w:gridCol w:w="1134"/>
        <w:gridCol w:w="1134"/>
        <w:gridCol w:w="1134"/>
        <w:gridCol w:w="1276"/>
      </w:tblGrid>
      <w:tr w:rsidR="008C45E6" w:rsidRPr="008C45E6" w:rsidTr="008C45E6">
        <w:trPr>
          <w:trHeight w:val="293"/>
        </w:trPr>
        <w:tc>
          <w:tcPr>
            <w:tcW w:w="8505" w:type="dxa"/>
            <w:gridSpan w:val="5"/>
            <w:vMerge w:val="restart"/>
            <w:tcBorders>
              <w:top w:val="single" w:sz="4" w:space="0" w:color="auto"/>
              <w:left w:val="single" w:sz="4" w:space="0" w:color="auto"/>
              <w:bottom w:val="nil"/>
              <w:right w:val="single" w:sz="4" w:space="0" w:color="000000"/>
            </w:tcBorders>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lastRenderedPageBreak/>
              <w:t>2016/17 Revenue  Account – General Fund Summary</w:t>
            </w:r>
          </w:p>
        </w:tc>
      </w:tr>
      <w:tr w:rsidR="008C45E6" w:rsidRPr="008C45E6" w:rsidTr="008C45E6">
        <w:trPr>
          <w:trHeight w:val="293"/>
        </w:trPr>
        <w:tc>
          <w:tcPr>
            <w:tcW w:w="8505" w:type="dxa"/>
            <w:gridSpan w:val="5"/>
            <w:vMerge/>
            <w:tcBorders>
              <w:top w:val="single" w:sz="4" w:space="0" w:color="auto"/>
              <w:left w:val="single" w:sz="4" w:space="0" w:color="auto"/>
              <w:bottom w:val="nil"/>
              <w:right w:val="single" w:sz="4" w:space="0" w:color="000000"/>
            </w:tcBorders>
            <w:vAlign w:val="center"/>
            <w:hideMark/>
          </w:tcPr>
          <w:p w:rsidR="008C45E6" w:rsidRPr="008C45E6" w:rsidRDefault="008C45E6" w:rsidP="008C45E6">
            <w:pPr>
              <w:tabs>
                <w:tab w:val="clear" w:pos="1260"/>
                <w:tab w:val="clear" w:pos="1980"/>
                <w:tab w:val="clear" w:pos="2700"/>
                <w:tab w:val="clear" w:pos="3420"/>
              </w:tabs>
              <w:jc w:val="left"/>
              <w:rPr>
                <w:rFonts w:cs="Arial"/>
                <w:b/>
                <w:bCs/>
                <w:szCs w:val="22"/>
              </w:rPr>
            </w:pPr>
          </w:p>
        </w:tc>
      </w:tr>
      <w:tr w:rsidR="008C45E6" w:rsidRPr="008C45E6" w:rsidTr="008C45E6">
        <w:trPr>
          <w:trHeight w:val="945"/>
        </w:trPr>
        <w:tc>
          <w:tcPr>
            <w:tcW w:w="3827" w:type="dxa"/>
            <w:vMerge w:val="restart"/>
            <w:tcBorders>
              <w:top w:val="single" w:sz="4" w:space="0" w:color="auto"/>
              <w:left w:val="single" w:sz="4" w:space="0" w:color="auto"/>
              <w:bottom w:val="single" w:sz="4" w:space="0" w:color="000000"/>
              <w:right w:val="nil"/>
            </w:tcBorders>
            <w:shd w:val="clear" w:color="auto" w:fill="auto"/>
            <w:noWrap/>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Service Area</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Original Budget</w:t>
            </w:r>
          </w:p>
        </w:tc>
        <w:tc>
          <w:tcPr>
            <w:tcW w:w="1134" w:type="dxa"/>
            <w:tcBorders>
              <w:top w:val="single" w:sz="4" w:space="0" w:color="auto"/>
              <w:left w:val="nil"/>
              <w:bottom w:val="nil"/>
              <w:right w:val="single" w:sz="4" w:space="0" w:color="auto"/>
            </w:tcBorders>
            <w:shd w:val="clear" w:color="auto" w:fill="auto"/>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Latest Budget </w:t>
            </w:r>
          </w:p>
        </w:tc>
        <w:tc>
          <w:tcPr>
            <w:tcW w:w="1134" w:type="dxa"/>
            <w:tcBorders>
              <w:top w:val="single" w:sz="4" w:space="0" w:color="auto"/>
              <w:left w:val="nil"/>
              <w:bottom w:val="nil"/>
              <w:right w:val="single" w:sz="4" w:space="0" w:color="auto"/>
            </w:tcBorders>
            <w:shd w:val="clear" w:color="auto" w:fill="auto"/>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Outturn </w:t>
            </w:r>
          </w:p>
        </w:tc>
        <w:tc>
          <w:tcPr>
            <w:tcW w:w="1276" w:type="dxa"/>
            <w:tcBorders>
              <w:top w:val="single" w:sz="4" w:space="0" w:color="auto"/>
              <w:left w:val="nil"/>
              <w:bottom w:val="nil"/>
              <w:right w:val="single" w:sz="4" w:space="0" w:color="auto"/>
            </w:tcBorders>
            <w:shd w:val="clear" w:color="auto" w:fill="auto"/>
            <w:vAlign w:val="center"/>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Variance </w:t>
            </w:r>
          </w:p>
        </w:tc>
      </w:tr>
      <w:tr w:rsidR="008C45E6" w:rsidRPr="008C45E6" w:rsidTr="008C45E6">
        <w:trPr>
          <w:trHeight w:val="315"/>
        </w:trPr>
        <w:tc>
          <w:tcPr>
            <w:tcW w:w="3827" w:type="dxa"/>
            <w:vMerge/>
            <w:tcBorders>
              <w:top w:val="single" w:sz="4" w:space="0" w:color="auto"/>
              <w:left w:val="single" w:sz="4" w:space="0" w:color="auto"/>
              <w:bottom w:val="single" w:sz="4" w:space="0" w:color="000000"/>
              <w:right w:val="nil"/>
            </w:tcBorders>
            <w:vAlign w:val="center"/>
            <w:hideMark/>
          </w:tcPr>
          <w:p w:rsidR="008C45E6" w:rsidRPr="008C45E6" w:rsidRDefault="008C45E6" w:rsidP="008C45E6">
            <w:pPr>
              <w:tabs>
                <w:tab w:val="clear" w:pos="1260"/>
                <w:tab w:val="clear" w:pos="1980"/>
                <w:tab w:val="clear" w:pos="2700"/>
                <w:tab w:val="clear" w:pos="3420"/>
              </w:tabs>
              <w:jc w:val="left"/>
              <w:rPr>
                <w:rFonts w:cs="Arial"/>
                <w:b/>
                <w:bCs/>
                <w:szCs w:val="22"/>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single" w:sz="4" w:space="0" w:color="auto"/>
            </w:tcBorders>
            <w:shd w:val="clear" w:color="auto" w:fill="auto"/>
            <w:noWrap/>
            <w:vAlign w:val="bottom"/>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nil"/>
            </w:tcBorders>
            <w:shd w:val="clear" w:color="auto" w:fill="auto"/>
            <w:noWrap/>
            <w:vAlign w:val="bottom"/>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276" w:type="dxa"/>
            <w:tcBorders>
              <w:top w:val="nil"/>
              <w:left w:val="single" w:sz="4" w:space="0" w:color="auto"/>
              <w:bottom w:val="nil"/>
              <w:right w:val="single" w:sz="4" w:space="0" w:color="auto"/>
            </w:tcBorders>
            <w:shd w:val="clear" w:color="auto" w:fill="auto"/>
            <w:noWrap/>
            <w:vAlign w:val="bottom"/>
            <w:hideMark/>
          </w:tcPr>
          <w:p w:rsidR="008C45E6" w:rsidRPr="008C45E6" w:rsidRDefault="008C45E6"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r>
      <w:tr w:rsidR="008C45E6" w:rsidRPr="008C45E6" w:rsidTr="008C45E6">
        <w:trPr>
          <w:trHeight w:val="300"/>
        </w:trPr>
        <w:tc>
          <w:tcPr>
            <w:tcW w:w="3827" w:type="dxa"/>
            <w:tcBorders>
              <w:top w:val="nil"/>
              <w:left w:val="single" w:sz="4" w:space="0" w:color="auto"/>
              <w:bottom w:val="nil"/>
              <w:right w:val="nil"/>
            </w:tcBorders>
            <w:shd w:val="clear" w:color="auto" w:fill="auto"/>
            <w:noWrap/>
            <w:vAlign w:val="center"/>
            <w:hideMark/>
          </w:tcPr>
          <w:p w:rsidR="008C45E6" w:rsidRPr="008C45E6" w:rsidRDefault="008C45E6" w:rsidP="00172723">
            <w:pPr>
              <w:tabs>
                <w:tab w:val="clear" w:pos="1260"/>
                <w:tab w:val="clear" w:pos="1980"/>
                <w:tab w:val="clear" w:pos="2700"/>
                <w:tab w:val="clear" w:pos="3420"/>
              </w:tabs>
              <w:jc w:val="left"/>
              <w:rPr>
                <w:rFonts w:cs="Arial"/>
                <w:szCs w:val="22"/>
              </w:rPr>
            </w:pPr>
            <w:r w:rsidRPr="008C45E6">
              <w:rPr>
                <w:rFonts w:cs="Arial"/>
                <w:szCs w:val="22"/>
              </w:rPr>
              <w:t>Leisure, Wellbeing &amp; Health</w:t>
            </w:r>
          </w:p>
        </w:tc>
        <w:tc>
          <w:tcPr>
            <w:tcW w:w="1134" w:type="dxa"/>
            <w:tcBorders>
              <w:top w:val="nil"/>
              <w:left w:val="single" w:sz="4" w:space="0" w:color="auto"/>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2,339</w:t>
            </w:r>
            <w:r w:rsidR="008C45E6" w:rsidRPr="008C45E6">
              <w:rPr>
                <w:rFonts w:cs="Arial"/>
                <w:szCs w:val="22"/>
              </w:rPr>
              <w:t xml:space="preserve"> </w:t>
            </w:r>
          </w:p>
        </w:tc>
        <w:tc>
          <w:tcPr>
            <w:tcW w:w="1134" w:type="dxa"/>
            <w:tcBorders>
              <w:top w:val="nil"/>
              <w:left w:val="nil"/>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2,344</w:t>
            </w:r>
          </w:p>
        </w:tc>
        <w:tc>
          <w:tcPr>
            <w:tcW w:w="1134" w:type="dxa"/>
            <w:tcBorders>
              <w:top w:val="nil"/>
              <w:left w:val="nil"/>
              <w:bottom w:val="nil"/>
              <w:right w:val="nil"/>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2,281</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(63)</w:t>
            </w:r>
          </w:p>
        </w:tc>
      </w:tr>
      <w:tr w:rsidR="008C45E6" w:rsidRPr="008C45E6" w:rsidTr="008C45E6">
        <w:trPr>
          <w:trHeight w:val="300"/>
        </w:trPr>
        <w:tc>
          <w:tcPr>
            <w:tcW w:w="3827" w:type="dxa"/>
            <w:tcBorders>
              <w:top w:val="nil"/>
              <w:left w:val="single" w:sz="4" w:space="0" w:color="auto"/>
              <w:bottom w:val="nil"/>
              <w:right w:val="nil"/>
            </w:tcBorders>
            <w:shd w:val="clear" w:color="auto" w:fill="auto"/>
            <w:noWrap/>
            <w:vAlign w:val="center"/>
            <w:hideMark/>
          </w:tcPr>
          <w:p w:rsidR="008C45E6" w:rsidRPr="008C45E6" w:rsidRDefault="008C45E6" w:rsidP="008C45E6">
            <w:pPr>
              <w:tabs>
                <w:tab w:val="clear" w:pos="1260"/>
                <w:tab w:val="clear" w:pos="1980"/>
                <w:tab w:val="clear" w:pos="2700"/>
                <w:tab w:val="clear" w:pos="3420"/>
              </w:tabs>
              <w:jc w:val="left"/>
              <w:rPr>
                <w:rFonts w:cs="Arial"/>
                <w:szCs w:val="22"/>
              </w:rPr>
            </w:pPr>
            <w:r w:rsidRPr="008C45E6">
              <w:rPr>
                <w:rFonts w:cs="Arial"/>
                <w:szCs w:val="22"/>
              </w:rPr>
              <w:t>Sustainable Development, Planning &amp; Transport</w:t>
            </w:r>
          </w:p>
        </w:tc>
        <w:tc>
          <w:tcPr>
            <w:tcW w:w="1134" w:type="dxa"/>
            <w:tcBorders>
              <w:top w:val="nil"/>
              <w:left w:val="single" w:sz="4" w:space="0" w:color="auto"/>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1,649</w:t>
            </w:r>
          </w:p>
        </w:tc>
        <w:tc>
          <w:tcPr>
            <w:tcW w:w="1134" w:type="dxa"/>
            <w:tcBorders>
              <w:top w:val="nil"/>
              <w:left w:val="nil"/>
              <w:bottom w:val="nil"/>
              <w:right w:val="single" w:sz="4" w:space="0" w:color="auto"/>
            </w:tcBorders>
            <w:shd w:val="clear" w:color="auto" w:fill="auto"/>
            <w:noWrap/>
            <w:vAlign w:val="center"/>
            <w:hideMark/>
          </w:tcPr>
          <w:p w:rsidR="008C45E6" w:rsidRPr="008C45E6" w:rsidRDefault="007D358E" w:rsidP="007D358E">
            <w:pPr>
              <w:tabs>
                <w:tab w:val="clear" w:pos="1260"/>
                <w:tab w:val="clear" w:pos="1980"/>
                <w:tab w:val="clear" w:pos="2700"/>
                <w:tab w:val="clear" w:pos="3420"/>
              </w:tabs>
              <w:jc w:val="right"/>
              <w:rPr>
                <w:rFonts w:cs="Arial"/>
                <w:szCs w:val="22"/>
              </w:rPr>
            </w:pPr>
            <w:r>
              <w:rPr>
                <w:rFonts w:cs="Arial"/>
                <w:szCs w:val="22"/>
              </w:rPr>
              <w:t>1,711</w:t>
            </w:r>
          </w:p>
        </w:tc>
        <w:tc>
          <w:tcPr>
            <w:tcW w:w="1134" w:type="dxa"/>
            <w:tcBorders>
              <w:top w:val="nil"/>
              <w:left w:val="nil"/>
              <w:bottom w:val="nil"/>
              <w:right w:val="nil"/>
            </w:tcBorders>
            <w:shd w:val="clear" w:color="auto" w:fill="auto"/>
            <w:noWrap/>
            <w:vAlign w:val="center"/>
            <w:hideMark/>
          </w:tcPr>
          <w:p w:rsidR="008C45E6" w:rsidRPr="008C45E6" w:rsidRDefault="00A76CA7" w:rsidP="00A76CA7">
            <w:pPr>
              <w:tabs>
                <w:tab w:val="clear" w:pos="1260"/>
                <w:tab w:val="clear" w:pos="1980"/>
                <w:tab w:val="clear" w:pos="2700"/>
                <w:tab w:val="clear" w:pos="3420"/>
              </w:tabs>
              <w:jc w:val="right"/>
              <w:rPr>
                <w:rFonts w:cs="Arial"/>
                <w:szCs w:val="22"/>
              </w:rPr>
            </w:pPr>
            <w:r>
              <w:rPr>
                <w:rFonts w:cs="Arial"/>
                <w:szCs w:val="22"/>
              </w:rPr>
              <w:t>1,716</w:t>
            </w:r>
          </w:p>
        </w:tc>
        <w:tc>
          <w:tcPr>
            <w:tcW w:w="1276" w:type="dxa"/>
            <w:tcBorders>
              <w:top w:val="nil"/>
              <w:left w:val="single" w:sz="4" w:space="0" w:color="auto"/>
              <w:bottom w:val="nil"/>
              <w:right w:val="single" w:sz="4" w:space="0" w:color="auto"/>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5</w:t>
            </w:r>
          </w:p>
        </w:tc>
      </w:tr>
      <w:tr w:rsidR="008C45E6" w:rsidRPr="008C45E6" w:rsidTr="008C45E6">
        <w:trPr>
          <w:trHeight w:val="300"/>
        </w:trPr>
        <w:tc>
          <w:tcPr>
            <w:tcW w:w="3827" w:type="dxa"/>
            <w:tcBorders>
              <w:top w:val="nil"/>
              <w:left w:val="single" w:sz="4" w:space="0" w:color="auto"/>
              <w:bottom w:val="nil"/>
              <w:right w:val="nil"/>
            </w:tcBorders>
            <w:shd w:val="clear" w:color="auto" w:fill="auto"/>
            <w:noWrap/>
            <w:vAlign w:val="center"/>
            <w:hideMark/>
          </w:tcPr>
          <w:p w:rsidR="008C45E6" w:rsidRPr="008C45E6" w:rsidRDefault="008C45E6" w:rsidP="008C45E6">
            <w:pPr>
              <w:tabs>
                <w:tab w:val="clear" w:pos="1260"/>
                <w:tab w:val="clear" w:pos="1980"/>
                <w:tab w:val="clear" w:pos="2700"/>
                <w:tab w:val="clear" w:pos="3420"/>
              </w:tabs>
              <w:jc w:val="left"/>
              <w:rPr>
                <w:rFonts w:cs="Arial"/>
                <w:szCs w:val="22"/>
              </w:rPr>
            </w:pPr>
            <w:r w:rsidRPr="008C45E6">
              <w:rPr>
                <w:rFonts w:cs="Arial"/>
                <w:szCs w:val="22"/>
              </w:rPr>
              <w:t>General Public Services &amp; Community Safety</w:t>
            </w:r>
          </w:p>
        </w:tc>
        <w:tc>
          <w:tcPr>
            <w:tcW w:w="1134" w:type="dxa"/>
            <w:tcBorders>
              <w:top w:val="nil"/>
              <w:left w:val="single" w:sz="4" w:space="0" w:color="auto"/>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2,257</w:t>
            </w:r>
          </w:p>
        </w:tc>
        <w:tc>
          <w:tcPr>
            <w:tcW w:w="1134" w:type="dxa"/>
            <w:tcBorders>
              <w:top w:val="nil"/>
              <w:left w:val="nil"/>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2,257</w:t>
            </w:r>
          </w:p>
        </w:tc>
        <w:tc>
          <w:tcPr>
            <w:tcW w:w="1134" w:type="dxa"/>
            <w:tcBorders>
              <w:top w:val="nil"/>
              <w:left w:val="nil"/>
              <w:bottom w:val="nil"/>
              <w:right w:val="nil"/>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2,320</w:t>
            </w:r>
          </w:p>
        </w:tc>
        <w:tc>
          <w:tcPr>
            <w:tcW w:w="1276" w:type="dxa"/>
            <w:tcBorders>
              <w:top w:val="nil"/>
              <w:left w:val="single" w:sz="4" w:space="0" w:color="auto"/>
              <w:bottom w:val="nil"/>
              <w:right w:val="single" w:sz="4" w:space="0" w:color="auto"/>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63</w:t>
            </w:r>
          </w:p>
        </w:tc>
      </w:tr>
      <w:tr w:rsidR="008C45E6" w:rsidRPr="008C45E6" w:rsidTr="00674638">
        <w:trPr>
          <w:trHeight w:val="300"/>
        </w:trPr>
        <w:tc>
          <w:tcPr>
            <w:tcW w:w="3827" w:type="dxa"/>
            <w:tcBorders>
              <w:top w:val="nil"/>
              <w:left w:val="single" w:sz="4" w:space="0" w:color="auto"/>
              <w:bottom w:val="nil"/>
              <w:right w:val="nil"/>
            </w:tcBorders>
            <w:shd w:val="clear" w:color="auto" w:fill="auto"/>
            <w:noWrap/>
            <w:vAlign w:val="center"/>
            <w:hideMark/>
          </w:tcPr>
          <w:p w:rsidR="008C45E6" w:rsidRPr="008C45E6" w:rsidRDefault="008C45E6" w:rsidP="008C45E6">
            <w:pPr>
              <w:tabs>
                <w:tab w:val="clear" w:pos="1260"/>
                <w:tab w:val="clear" w:pos="1980"/>
                <w:tab w:val="clear" w:pos="2700"/>
                <w:tab w:val="clear" w:pos="3420"/>
              </w:tabs>
              <w:jc w:val="left"/>
              <w:rPr>
                <w:rFonts w:cs="Arial"/>
                <w:szCs w:val="22"/>
              </w:rPr>
            </w:pPr>
            <w:r w:rsidRPr="008C45E6">
              <w:rPr>
                <w:rFonts w:cs="Arial"/>
                <w:szCs w:val="22"/>
              </w:rPr>
              <w:t>Policy &amp; Resources</w:t>
            </w:r>
          </w:p>
        </w:tc>
        <w:tc>
          <w:tcPr>
            <w:tcW w:w="1134" w:type="dxa"/>
            <w:tcBorders>
              <w:top w:val="nil"/>
              <w:left w:val="single" w:sz="4" w:space="0" w:color="auto"/>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4,530</w:t>
            </w:r>
          </w:p>
        </w:tc>
        <w:tc>
          <w:tcPr>
            <w:tcW w:w="1134" w:type="dxa"/>
            <w:tcBorders>
              <w:top w:val="nil"/>
              <w:left w:val="nil"/>
              <w:bottom w:val="nil"/>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szCs w:val="22"/>
              </w:rPr>
            </w:pPr>
            <w:r>
              <w:rPr>
                <w:rFonts w:cs="Arial"/>
                <w:szCs w:val="22"/>
              </w:rPr>
              <w:t>4,870</w:t>
            </w:r>
          </w:p>
        </w:tc>
        <w:tc>
          <w:tcPr>
            <w:tcW w:w="1134" w:type="dxa"/>
            <w:tcBorders>
              <w:top w:val="nil"/>
              <w:left w:val="nil"/>
              <w:right w:val="nil"/>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4,940</w:t>
            </w:r>
          </w:p>
        </w:tc>
        <w:tc>
          <w:tcPr>
            <w:tcW w:w="1276" w:type="dxa"/>
            <w:tcBorders>
              <w:top w:val="nil"/>
              <w:left w:val="single" w:sz="4" w:space="0" w:color="auto"/>
              <w:bottom w:val="nil"/>
              <w:right w:val="single" w:sz="4" w:space="0" w:color="auto"/>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szCs w:val="22"/>
              </w:rPr>
            </w:pPr>
            <w:r>
              <w:rPr>
                <w:rFonts w:cs="Arial"/>
                <w:szCs w:val="22"/>
              </w:rPr>
              <w:t>70</w:t>
            </w:r>
          </w:p>
        </w:tc>
      </w:tr>
      <w:tr w:rsidR="008C45E6" w:rsidRPr="008C45E6" w:rsidTr="00674638">
        <w:trPr>
          <w:trHeight w:val="345"/>
        </w:trPr>
        <w:tc>
          <w:tcPr>
            <w:tcW w:w="3827"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8C45E6" w:rsidRPr="008C45E6" w:rsidRDefault="008C45E6" w:rsidP="008C45E6">
            <w:pPr>
              <w:tabs>
                <w:tab w:val="clear" w:pos="1260"/>
                <w:tab w:val="clear" w:pos="1980"/>
                <w:tab w:val="clear" w:pos="2700"/>
                <w:tab w:val="clear" w:pos="3420"/>
              </w:tabs>
              <w:jc w:val="left"/>
              <w:rPr>
                <w:rFonts w:cs="Arial"/>
                <w:b/>
                <w:bCs/>
                <w:szCs w:val="22"/>
              </w:rPr>
            </w:pPr>
            <w:r w:rsidRPr="008C45E6">
              <w:rPr>
                <w:rFonts w:cs="Arial"/>
                <w:b/>
                <w:bCs/>
                <w:szCs w:val="22"/>
              </w:rPr>
              <w:t>Net General Fund</w:t>
            </w:r>
          </w:p>
        </w:tc>
        <w:tc>
          <w:tcPr>
            <w:tcW w:w="1134" w:type="dxa"/>
            <w:tcBorders>
              <w:top w:val="double" w:sz="6" w:space="0" w:color="auto"/>
              <w:left w:val="nil"/>
              <w:bottom w:val="double" w:sz="6" w:space="0" w:color="auto"/>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b/>
                <w:bCs/>
                <w:szCs w:val="22"/>
              </w:rPr>
            </w:pPr>
            <w:r>
              <w:rPr>
                <w:rFonts w:cs="Arial"/>
                <w:b/>
                <w:bCs/>
                <w:szCs w:val="22"/>
              </w:rPr>
              <w:t>10,775</w:t>
            </w:r>
            <w:r w:rsidR="008C45E6" w:rsidRPr="008C45E6">
              <w:rPr>
                <w:rFonts w:cs="Arial"/>
                <w:b/>
                <w:bCs/>
                <w:szCs w:val="22"/>
              </w:rPr>
              <w:t xml:space="preserve"> </w:t>
            </w:r>
          </w:p>
        </w:tc>
        <w:tc>
          <w:tcPr>
            <w:tcW w:w="1134" w:type="dxa"/>
            <w:tcBorders>
              <w:top w:val="double" w:sz="6" w:space="0" w:color="auto"/>
              <w:left w:val="nil"/>
              <w:bottom w:val="double" w:sz="6" w:space="0" w:color="auto"/>
              <w:right w:val="single" w:sz="4" w:space="0" w:color="auto"/>
            </w:tcBorders>
            <w:shd w:val="clear" w:color="auto" w:fill="auto"/>
            <w:noWrap/>
            <w:vAlign w:val="center"/>
            <w:hideMark/>
          </w:tcPr>
          <w:p w:rsidR="008C45E6" w:rsidRPr="008C45E6" w:rsidRDefault="007D358E" w:rsidP="008C45E6">
            <w:pPr>
              <w:tabs>
                <w:tab w:val="clear" w:pos="1260"/>
                <w:tab w:val="clear" w:pos="1980"/>
                <w:tab w:val="clear" w:pos="2700"/>
                <w:tab w:val="clear" w:pos="3420"/>
              </w:tabs>
              <w:jc w:val="right"/>
              <w:rPr>
                <w:rFonts w:cs="Arial"/>
                <w:b/>
                <w:bCs/>
                <w:szCs w:val="22"/>
              </w:rPr>
            </w:pPr>
            <w:r>
              <w:rPr>
                <w:rFonts w:cs="Arial"/>
                <w:b/>
                <w:bCs/>
                <w:szCs w:val="22"/>
              </w:rPr>
              <w:t>11,182</w:t>
            </w:r>
          </w:p>
        </w:tc>
        <w:tc>
          <w:tcPr>
            <w:tcW w:w="1134" w:type="dxa"/>
            <w:tcBorders>
              <w:top w:val="single" w:sz="8" w:space="0" w:color="auto"/>
              <w:left w:val="nil"/>
              <w:bottom w:val="double" w:sz="6" w:space="0" w:color="auto"/>
              <w:right w:val="single" w:sz="4" w:space="0" w:color="auto"/>
            </w:tcBorders>
            <w:shd w:val="clear" w:color="auto" w:fill="auto"/>
            <w:noWrap/>
            <w:vAlign w:val="center"/>
            <w:hideMark/>
          </w:tcPr>
          <w:p w:rsidR="008C45E6" w:rsidRPr="008C45E6" w:rsidRDefault="00A76CA7" w:rsidP="00A76CA7">
            <w:pPr>
              <w:tabs>
                <w:tab w:val="clear" w:pos="1260"/>
                <w:tab w:val="clear" w:pos="1980"/>
                <w:tab w:val="clear" w:pos="2700"/>
                <w:tab w:val="clear" w:pos="3420"/>
              </w:tabs>
              <w:jc w:val="right"/>
              <w:rPr>
                <w:rFonts w:cs="Arial"/>
                <w:b/>
                <w:bCs/>
                <w:szCs w:val="22"/>
              </w:rPr>
            </w:pPr>
            <w:r>
              <w:rPr>
                <w:rFonts w:cs="Arial"/>
                <w:b/>
                <w:bCs/>
                <w:szCs w:val="22"/>
              </w:rPr>
              <w:t>11,257</w:t>
            </w:r>
          </w:p>
        </w:tc>
        <w:tc>
          <w:tcPr>
            <w:tcW w:w="1276" w:type="dxa"/>
            <w:tcBorders>
              <w:top w:val="double" w:sz="6" w:space="0" w:color="auto"/>
              <w:left w:val="nil"/>
              <w:bottom w:val="double" w:sz="6" w:space="0" w:color="auto"/>
              <w:right w:val="double" w:sz="6" w:space="0" w:color="auto"/>
            </w:tcBorders>
            <w:shd w:val="clear" w:color="auto" w:fill="auto"/>
            <w:noWrap/>
            <w:vAlign w:val="center"/>
            <w:hideMark/>
          </w:tcPr>
          <w:p w:rsidR="008C45E6" w:rsidRPr="008C45E6" w:rsidRDefault="00A76CA7" w:rsidP="008C45E6">
            <w:pPr>
              <w:tabs>
                <w:tab w:val="clear" w:pos="1260"/>
                <w:tab w:val="clear" w:pos="1980"/>
                <w:tab w:val="clear" w:pos="2700"/>
                <w:tab w:val="clear" w:pos="3420"/>
              </w:tabs>
              <w:jc w:val="right"/>
              <w:rPr>
                <w:rFonts w:cs="Arial"/>
                <w:b/>
                <w:bCs/>
                <w:szCs w:val="22"/>
              </w:rPr>
            </w:pPr>
            <w:r>
              <w:rPr>
                <w:rFonts w:cs="Arial"/>
                <w:b/>
                <w:bCs/>
                <w:szCs w:val="22"/>
              </w:rPr>
              <w:t>75</w:t>
            </w:r>
          </w:p>
        </w:tc>
      </w:tr>
    </w:tbl>
    <w:p w:rsidR="006239CF" w:rsidRDefault="006239CF" w:rsidP="006E632E">
      <w:pPr>
        <w:ind w:left="1267" w:hanging="1267"/>
        <w:rPr>
          <w:rFonts w:cs="Arial"/>
          <w:szCs w:val="22"/>
        </w:rPr>
      </w:pPr>
    </w:p>
    <w:p w:rsidR="006239CF" w:rsidRDefault="006239CF" w:rsidP="006E632E">
      <w:pPr>
        <w:ind w:left="1267" w:hanging="1267"/>
        <w:rPr>
          <w:rFonts w:cs="Arial"/>
          <w:szCs w:val="22"/>
        </w:rPr>
      </w:pPr>
      <w:r>
        <w:rPr>
          <w:rFonts w:cs="Arial"/>
          <w:szCs w:val="22"/>
        </w:rPr>
        <w:t>2.</w:t>
      </w:r>
      <w:r w:rsidR="003A7356">
        <w:rPr>
          <w:rFonts w:cs="Arial"/>
          <w:szCs w:val="22"/>
        </w:rPr>
        <w:t>7</w:t>
      </w:r>
      <w:r>
        <w:rPr>
          <w:rFonts w:cs="Arial"/>
          <w:szCs w:val="22"/>
        </w:rPr>
        <w:tab/>
        <w:t xml:space="preserve">The trend </w:t>
      </w:r>
      <w:r w:rsidR="003A19C3">
        <w:rPr>
          <w:rFonts w:cs="Arial"/>
          <w:szCs w:val="22"/>
        </w:rPr>
        <w:t>over the financial year (2016/17) is plotted</w:t>
      </w:r>
      <w:r>
        <w:rPr>
          <w:rFonts w:cs="Arial"/>
          <w:szCs w:val="22"/>
        </w:rPr>
        <w:t xml:space="preserve"> </w:t>
      </w:r>
      <w:r w:rsidR="00D27EFC">
        <w:rPr>
          <w:rFonts w:cs="Arial"/>
          <w:szCs w:val="22"/>
        </w:rPr>
        <w:t>o</w:t>
      </w:r>
      <w:r>
        <w:rPr>
          <w:rFonts w:cs="Arial"/>
          <w:szCs w:val="22"/>
        </w:rPr>
        <w:t>n the graph below;</w:t>
      </w:r>
    </w:p>
    <w:p w:rsidR="006239CF" w:rsidRDefault="006239CF" w:rsidP="006E632E">
      <w:pPr>
        <w:ind w:left="1267" w:hanging="1267"/>
        <w:rPr>
          <w:rFonts w:cs="Arial"/>
          <w:szCs w:val="22"/>
        </w:rPr>
      </w:pPr>
    </w:p>
    <w:p w:rsidR="006239CF" w:rsidRDefault="00F04C17" w:rsidP="003A19C3">
      <w:pPr>
        <w:ind w:left="1267" w:firstLine="9"/>
        <w:rPr>
          <w:rFonts w:cs="Arial"/>
          <w:szCs w:val="22"/>
        </w:rPr>
      </w:pPr>
      <w:r>
        <w:rPr>
          <w:rFonts w:cs="Arial"/>
          <w:noProof/>
          <w:szCs w:val="22"/>
        </w:rPr>
        <w:drawing>
          <wp:inline distT="0" distB="0" distL="0" distR="0" wp14:anchorId="18A883A6" wp14:editId="13CF46F5">
            <wp:extent cx="5286375" cy="26479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39CF" w:rsidRPr="00B16B34" w:rsidRDefault="006239CF" w:rsidP="006E632E">
      <w:pPr>
        <w:ind w:left="1267" w:hanging="1267"/>
        <w:rPr>
          <w:rFonts w:cs="Arial"/>
          <w:szCs w:val="22"/>
        </w:rPr>
      </w:pPr>
    </w:p>
    <w:p w:rsidR="00157D77" w:rsidRDefault="006E177E" w:rsidP="006E632E">
      <w:pPr>
        <w:ind w:left="1267" w:hanging="1267"/>
        <w:rPr>
          <w:rFonts w:cs="Arial"/>
          <w:b/>
          <w:szCs w:val="22"/>
        </w:rPr>
      </w:pPr>
      <w:r w:rsidRPr="00B16B34">
        <w:rPr>
          <w:rFonts w:cs="Arial"/>
          <w:szCs w:val="22"/>
        </w:rPr>
        <w:t>2.</w:t>
      </w:r>
      <w:r w:rsidR="003A7356">
        <w:rPr>
          <w:rFonts w:cs="Arial"/>
          <w:szCs w:val="22"/>
        </w:rPr>
        <w:t>8</w:t>
      </w:r>
      <w:r w:rsidR="00157D77">
        <w:rPr>
          <w:rFonts w:cs="Arial"/>
          <w:szCs w:val="22"/>
        </w:rPr>
        <w:tab/>
      </w:r>
      <w:r w:rsidR="00172723">
        <w:rPr>
          <w:rFonts w:cs="Arial"/>
          <w:szCs w:val="22"/>
        </w:rPr>
        <w:tab/>
      </w:r>
      <w:r w:rsidR="00157D77">
        <w:rPr>
          <w:rFonts w:cs="Arial"/>
          <w:szCs w:val="22"/>
        </w:rPr>
        <w:t xml:space="preserve">The </w:t>
      </w:r>
      <w:r w:rsidR="003A7356">
        <w:rPr>
          <w:rFonts w:cs="Arial"/>
          <w:szCs w:val="22"/>
        </w:rPr>
        <w:t>main</w:t>
      </w:r>
      <w:r w:rsidR="00157D77">
        <w:rPr>
          <w:rFonts w:cs="Arial"/>
          <w:szCs w:val="22"/>
        </w:rPr>
        <w:t xml:space="preserve"> variance</w:t>
      </w:r>
      <w:r w:rsidR="006239CF">
        <w:rPr>
          <w:rFonts w:cs="Arial"/>
          <w:szCs w:val="22"/>
        </w:rPr>
        <w:t xml:space="preserve"> that </w:t>
      </w:r>
      <w:r w:rsidR="006034D7">
        <w:rPr>
          <w:rFonts w:cs="Arial"/>
          <w:szCs w:val="22"/>
        </w:rPr>
        <w:t>contributes</w:t>
      </w:r>
      <w:r w:rsidR="006239CF">
        <w:rPr>
          <w:rFonts w:cs="Arial"/>
          <w:szCs w:val="22"/>
        </w:rPr>
        <w:t xml:space="preserve"> to the total variance </w:t>
      </w:r>
      <w:r w:rsidR="006239CF" w:rsidRPr="006034D7">
        <w:rPr>
          <w:rFonts w:cs="Arial"/>
          <w:szCs w:val="22"/>
        </w:rPr>
        <w:t>of £</w:t>
      </w:r>
      <w:r w:rsidR="003A7356">
        <w:rPr>
          <w:rFonts w:cs="Arial"/>
          <w:szCs w:val="22"/>
        </w:rPr>
        <w:t>0</w:t>
      </w:r>
      <w:r w:rsidR="006034D7" w:rsidRPr="006034D7">
        <w:rPr>
          <w:rFonts w:cs="Arial"/>
          <w:szCs w:val="22"/>
        </w:rPr>
        <w:t>.075</w:t>
      </w:r>
      <w:r w:rsidR="003A7356">
        <w:rPr>
          <w:rFonts w:cs="Arial"/>
          <w:szCs w:val="22"/>
        </w:rPr>
        <w:t xml:space="preserve"> </w:t>
      </w:r>
      <w:r w:rsidR="006034D7" w:rsidRPr="006034D7">
        <w:rPr>
          <w:rFonts w:cs="Arial"/>
          <w:szCs w:val="22"/>
        </w:rPr>
        <w:t>million</w:t>
      </w:r>
      <w:r w:rsidR="006034D7">
        <w:rPr>
          <w:rFonts w:cs="Arial"/>
          <w:szCs w:val="22"/>
        </w:rPr>
        <w:t xml:space="preserve"> is the additional £0.070 million relating to the payment of business rates on the shops taken back into Council ownership at South </w:t>
      </w:r>
      <w:proofErr w:type="spellStart"/>
      <w:r w:rsidR="006034D7">
        <w:rPr>
          <w:rFonts w:cs="Arial"/>
          <w:szCs w:val="22"/>
        </w:rPr>
        <w:t>Oxhey</w:t>
      </w:r>
      <w:proofErr w:type="spellEnd"/>
      <w:r w:rsidR="006034D7">
        <w:rPr>
          <w:rFonts w:cs="Arial"/>
          <w:szCs w:val="22"/>
        </w:rPr>
        <w:t xml:space="preserve"> pending the redevelopment of the area. The </w:t>
      </w:r>
      <w:r w:rsidR="003D7268">
        <w:rPr>
          <w:rFonts w:cs="Arial"/>
          <w:szCs w:val="22"/>
        </w:rPr>
        <w:t>details of all variances are</w:t>
      </w:r>
      <w:r w:rsidR="00172723" w:rsidRPr="00B16B34">
        <w:rPr>
          <w:rFonts w:cs="Arial"/>
          <w:szCs w:val="22"/>
        </w:rPr>
        <w:t xml:space="preserve"> </w:t>
      </w:r>
      <w:r w:rsidR="00172723">
        <w:rPr>
          <w:rFonts w:cs="Arial"/>
          <w:szCs w:val="22"/>
        </w:rPr>
        <w:t xml:space="preserve">shown </w:t>
      </w:r>
      <w:r w:rsidR="00E23A25">
        <w:rPr>
          <w:rFonts w:cs="Arial"/>
          <w:szCs w:val="22"/>
        </w:rPr>
        <w:t xml:space="preserve">at </w:t>
      </w:r>
      <w:r w:rsidR="00E23A25" w:rsidRPr="00D30152">
        <w:rPr>
          <w:rFonts w:cs="Arial"/>
          <w:b/>
          <w:szCs w:val="22"/>
        </w:rPr>
        <w:t>Appendix</w:t>
      </w:r>
      <w:r w:rsidR="00172723" w:rsidRPr="007E0F9B">
        <w:rPr>
          <w:rFonts w:cs="Arial"/>
          <w:b/>
          <w:szCs w:val="22"/>
        </w:rPr>
        <w:t xml:space="preserve"> 3</w:t>
      </w:r>
      <w:r w:rsidR="00172723">
        <w:rPr>
          <w:rFonts w:cs="Arial"/>
          <w:b/>
          <w:szCs w:val="22"/>
        </w:rPr>
        <w:t>.</w:t>
      </w:r>
    </w:p>
    <w:p w:rsidR="00157D77" w:rsidRDefault="00157D77" w:rsidP="006E632E">
      <w:pPr>
        <w:ind w:left="1267" w:hanging="1267"/>
        <w:rPr>
          <w:rFonts w:cs="Arial"/>
          <w:szCs w:val="22"/>
        </w:rPr>
      </w:pPr>
      <w:r>
        <w:rPr>
          <w:rFonts w:cs="Arial"/>
          <w:szCs w:val="22"/>
        </w:rPr>
        <w:tab/>
      </w:r>
    </w:p>
    <w:p w:rsidR="00AB0AE0" w:rsidRDefault="00AB0AE0" w:rsidP="006E632E">
      <w:pPr>
        <w:ind w:left="1267" w:hanging="1267"/>
        <w:rPr>
          <w:rFonts w:cs="Arial"/>
          <w:szCs w:val="22"/>
        </w:rPr>
      </w:pPr>
      <w:r>
        <w:rPr>
          <w:rFonts w:cs="Arial"/>
          <w:szCs w:val="22"/>
        </w:rPr>
        <w:t>2.</w:t>
      </w:r>
      <w:r w:rsidR="003A7356">
        <w:rPr>
          <w:rFonts w:cs="Arial"/>
          <w:szCs w:val="22"/>
        </w:rPr>
        <w:t>9</w:t>
      </w:r>
      <w:r>
        <w:rPr>
          <w:rFonts w:cs="Arial"/>
          <w:szCs w:val="22"/>
        </w:rPr>
        <w:tab/>
      </w:r>
      <w:r w:rsidR="00C63536">
        <w:rPr>
          <w:rFonts w:cs="Arial"/>
          <w:szCs w:val="22"/>
        </w:rPr>
        <w:t>The effect of the variance</w:t>
      </w:r>
      <w:r w:rsidR="003D7268">
        <w:rPr>
          <w:rFonts w:cs="Arial"/>
          <w:szCs w:val="22"/>
        </w:rPr>
        <w:t>s</w:t>
      </w:r>
      <w:r w:rsidR="00C63536">
        <w:rPr>
          <w:rFonts w:cs="Arial"/>
          <w:szCs w:val="22"/>
        </w:rPr>
        <w:t xml:space="preserve"> on the Council’s</w:t>
      </w:r>
      <w:r w:rsidR="002A370A">
        <w:rPr>
          <w:rFonts w:cs="Arial"/>
          <w:szCs w:val="22"/>
        </w:rPr>
        <w:t xml:space="preserve"> (surplus)/deficit for the year and </w:t>
      </w:r>
      <w:r w:rsidR="00C63536">
        <w:rPr>
          <w:rFonts w:cs="Arial"/>
          <w:szCs w:val="22"/>
        </w:rPr>
        <w:t xml:space="preserve">the </w:t>
      </w:r>
      <w:r>
        <w:rPr>
          <w:rFonts w:cs="Arial"/>
          <w:szCs w:val="22"/>
        </w:rPr>
        <w:t>general fund balance over the medium term is shown in the table below</w:t>
      </w:r>
      <w:r w:rsidR="002A370A">
        <w:rPr>
          <w:rFonts w:cs="Arial"/>
          <w:szCs w:val="22"/>
        </w:rPr>
        <w:t>.</w:t>
      </w:r>
    </w:p>
    <w:p w:rsidR="00AB0AE0" w:rsidRDefault="00AB0AE0" w:rsidP="006E632E">
      <w:pPr>
        <w:ind w:left="1267" w:hanging="1267"/>
        <w:rPr>
          <w:rFonts w:cs="Arial"/>
          <w:szCs w:val="22"/>
        </w:rPr>
      </w:pPr>
    </w:p>
    <w:tbl>
      <w:tblPr>
        <w:tblStyle w:val="TableGrid"/>
        <w:tblW w:w="0" w:type="auto"/>
        <w:tblInd w:w="1267" w:type="dxa"/>
        <w:tblLayout w:type="fixed"/>
        <w:tblLook w:val="04A0" w:firstRow="1" w:lastRow="0" w:firstColumn="1" w:lastColumn="0" w:noHBand="0" w:noVBand="1"/>
      </w:tblPr>
      <w:tblGrid>
        <w:gridCol w:w="2755"/>
        <w:gridCol w:w="1048"/>
        <w:gridCol w:w="1275"/>
        <w:gridCol w:w="1134"/>
        <w:gridCol w:w="1276"/>
        <w:gridCol w:w="1216"/>
      </w:tblGrid>
      <w:tr w:rsidR="00AB0AE0" w:rsidTr="001D686A">
        <w:tc>
          <w:tcPr>
            <w:tcW w:w="2755" w:type="dxa"/>
            <w:vMerge w:val="restart"/>
          </w:tcPr>
          <w:p w:rsidR="00C63536" w:rsidRPr="00C63536" w:rsidRDefault="00C63536" w:rsidP="00C63536">
            <w:pPr>
              <w:jc w:val="center"/>
              <w:rPr>
                <w:rFonts w:cs="Arial"/>
                <w:b/>
                <w:szCs w:val="22"/>
              </w:rPr>
            </w:pPr>
          </w:p>
          <w:p w:rsidR="00194A36" w:rsidRDefault="00194A36" w:rsidP="00194A36">
            <w:pPr>
              <w:jc w:val="center"/>
              <w:rPr>
                <w:rFonts w:cs="Arial"/>
                <w:b/>
                <w:szCs w:val="22"/>
              </w:rPr>
            </w:pPr>
          </w:p>
          <w:p w:rsidR="00AB0AE0" w:rsidRPr="00C63536" w:rsidRDefault="00AB0AE0" w:rsidP="00194A36">
            <w:pPr>
              <w:jc w:val="center"/>
              <w:rPr>
                <w:rFonts w:cs="Arial"/>
                <w:b/>
                <w:szCs w:val="22"/>
              </w:rPr>
            </w:pPr>
            <w:r w:rsidRPr="00C63536">
              <w:rPr>
                <w:rFonts w:cs="Arial"/>
                <w:b/>
                <w:szCs w:val="22"/>
              </w:rPr>
              <w:t>Movement  on General Fund</w:t>
            </w:r>
          </w:p>
        </w:tc>
        <w:tc>
          <w:tcPr>
            <w:tcW w:w="1048" w:type="dxa"/>
          </w:tcPr>
          <w:p w:rsidR="00AB0AE0" w:rsidRPr="00C63536" w:rsidRDefault="00AB0AE0" w:rsidP="00C63536">
            <w:pPr>
              <w:jc w:val="center"/>
              <w:rPr>
                <w:rFonts w:cs="Arial"/>
                <w:b/>
                <w:szCs w:val="22"/>
              </w:rPr>
            </w:pPr>
            <w:r w:rsidRPr="00C63536">
              <w:rPr>
                <w:rFonts w:cs="Arial"/>
                <w:b/>
                <w:szCs w:val="22"/>
              </w:rPr>
              <w:t>2016/17</w:t>
            </w:r>
          </w:p>
        </w:tc>
        <w:tc>
          <w:tcPr>
            <w:tcW w:w="1275" w:type="dxa"/>
          </w:tcPr>
          <w:p w:rsidR="00AB0AE0" w:rsidRPr="00C63536" w:rsidRDefault="00AB0AE0" w:rsidP="00C63536">
            <w:pPr>
              <w:jc w:val="center"/>
              <w:rPr>
                <w:rFonts w:cs="Arial"/>
                <w:b/>
                <w:szCs w:val="22"/>
              </w:rPr>
            </w:pPr>
            <w:r w:rsidRPr="00C63536">
              <w:rPr>
                <w:rFonts w:cs="Arial"/>
                <w:b/>
                <w:szCs w:val="22"/>
              </w:rPr>
              <w:t>2016/17</w:t>
            </w:r>
          </w:p>
        </w:tc>
        <w:tc>
          <w:tcPr>
            <w:tcW w:w="1134" w:type="dxa"/>
          </w:tcPr>
          <w:p w:rsidR="00AB0AE0" w:rsidRPr="00C63536" w:rsidRDefault="00AB0AE0" w:rsidP="00D34C39">
            <w:pPr>
              <w:jc w:val="center"/>
              <w:rPr>
                <w:rFonts w:cs="Arial"/>
                <w:b/>
                <w:szCs w:val="22"/>
              </w:rPr>
            </w:pPr>
            <w:r w:rsidRPr="00C63536">
              <w:rPr>
                <w:rFonts w:cs="Arial"/>
                <w:b/>
                <w:szCs w:val="22"/>
              </w:rPr>
              <w:t>2016/17</w:t>
            </w:r>
          </w:p>
        </w:tc>
        <w:tc>
          <w:tcPr>
            <w:tcW w:w="1276" w:type="dxa"/>
          </w:tcPr>
          <w:p w:rsidR="00AB0AE0" w:rsidRPr="00C63536" w:rsidRDefault="00AB0AE0" w:rsidP="00C63536">
            <w:pPr>
              <w:jc w:val="center"/>
              <w:rPr>
                <w:rFonts w:cs="Arial"/>
                <w:b/>
                <w:szCs w:val="22"/>
              </w:rPr>
            </w:pPr>
            <w:r w:rsidRPr="00C63536">
              <w:rPr>
                <w:rFonts w:cs="Arial"/>
                <w:b/>
                <w:szCs w:val="22"/>
              </w:rPr>
              <w:t>2017/18</w:t>
            </w:r>
          </w:p>
        </w:tc>
        <w:tc>
          <w:tcPr>
            <w:tcW w:w="1216" w:type="dxa"/>
          </w:tcPr>
          <w:p w:rsidR="00AB0AE0" w:rsidRPr="00C63536" w:rsidRDefault="00AB0AE0" w:rsidP="00C63536">
            <w:pPr>
              <w:jc w:val="center"/>
              <w:rPr>
                <w:rFonts w:cs="Arial"/>
                <w:b/>
                <w:szCs w:val="22"/>
              </w:rPr>
            </w:pPr>
            <w:r w:rsidRPr="00C63536">
              <w:rPr>
                <w:rFonts w:cs="Arial"/>
                <w:b/>
                <w:szCs w:val="22"/>
              </w:rPr>
              <w:t>2018/19</w:t>
            </w:r>
          </w:p>
          <w:p w:rsidR="00AB0AE0" w:rsidRPr="00C63536" w:rsidRDefault="00AB0AE0" w:rsidP="00C63536">
            <w:pPr>
              <w:jc w:val="center"/>
              <w:rPr>
                <w:rFonts w:cs="Arial"/>
                <w:b/>
                <w:szCs w:val="22"/>
              </w:rPr>
            </w:pPr>
          </w:p>
        </w:tc>
      </w:tr>
      <w:tr w:rsidR="003D05AD" w:rsidTr="001D686A">
        <w:tc>
          <w:tcPr>
            <w:tcW w:w="2755" w:type="dxa"/>
            <w:vMerge/>
          </w:tcPr>
          <w:p w:rsidR="003D05AD" w:rsidRPr="00C63536" w:rsidRDefault="003D05AD" w:rsidP="006E632E">
            <w:pPr>
              <w:rPr>
                <w:rFonts w:cs="Arial"/>
                <w:b/>
                <w:szCs w:val="22"/>
              </w:rPr>
            </w:pPr>
          </w:p>
        </w:tc>
        <w:tc>
          <w:tcPr>
            <w:tcW w:w="1048" w:type="dxa"/>
          </w:tcPr>
          <w:p w:rsidR="003D05AD" w:rsidRPr="00C63536" w:rsidRDefault="003D05AD" w:rsidP="006E632E">
            <w:pPr>
              <w:rPr>
                <w:rFonts w:cs="Arial"/>
                <w:b/>
                <w:szCs w:val="22"/>
              </w:rPr>
            </w:pPr>
            <w:r w:rsidRPr="00C63536">
              <w:rPr>
                <w:rFonts w:cs="Arial"/>
                <w:b/>
                <w:szCs w:val="22"/>
              </w:rPr>
              <w:t>Original Budget</w:t>
            </w:r>
          </w:p>
        </w:tc>
        <w:tc>
          <w:tcPr>
            <w:tcW w:w="1275" w:type="dxa"/>
          </w:tcPr>
          <w:p w:rsidR="003D05AD" w:rsidRPr="00C63536" w:rsidRDefault="003D05AD" w:rsidP="006E632E">
            <w:pPr>
              <w:rPr>
                <w:rFonts w:cs="Arial"/>
                <w:b/>
                <w:szCs w:val="22"/>
              </w:rPr>
            </w:pPr>
            <w:r w:rsidRPr="00C63536">
              <w:rPr>
                <w:rFonts w:cs="Arial"/>
                <w:b/>
                <w:szCs w:val="22"/>
              </w:rPr>
              <w:t>Latest Approved</w:t>
            </w:r>
          </w:p>
        </w:tc>
        <w:tc>
          <w:tcPr>
            <w:tcW w:w="1134" w:type="dxa"/>
          </w:tcPr>
          <w:p w:rsidR="003D05AD" w:rsidRPr="00C63536" w:rsidRDefault="003D05AD" w:rsidP="006E632E">
            <w:pPr>
              <w:rPr>
                <w:rFonts w:cs="Arial"/>
                <w:b/>
                <w:szCs w:val="22"/>
              </w:rPr>
            </w:pPr>
            <w:r w:rsidRPr="00C63536">
              <w:rPr>
                <w:rFonts w:cs="Arial"/>
                <w:b/>
                <w:szCs w:val="22"/>
              </w:rPr>
              <w:t>Outturn Forecast</w:t>
            </w:r>
          </w:p>
        </w:tc>
        <w:tc>
          <w:tcPr>
            <w:tcW w:w="1276" w:type="dxa"/>
          </w:tcPr>
          <w:p w:rsidR="003D05AD" w:rsidRPr="00C63536" w:rsidRDefault="003D05AD" w:rsidP="002D793E">
            <w:pPr>
              <w:rPr>
                <w:rFonts w:cs="Arial"/>
                <w:b/>
                <w:szCs w:val="22"/>
              </w:rPr>
            </w:pPr>
            <w:r w:rsidRPr="00C63536">
              <w:rPr>
                <w:rFonts w:cs="Arial"/>
                <w:b/>
                <w:szCs w:val="22"/>
              </w:rPr>
              <w:t>Outturn Forecast</w:t>
            </w:r>
          </w:p>
        </w:tc>
        <w:tc>
          <w:tcPr>
            <w:tcW w:w="1216" w:type="dxa"/>
          </w:tcPr>
          <w:p w:rsidR="003D05AD" w:rsidRPr="00C63536" w:rsidRDefault="003D05AD" w:rsidP="002D793E">
            <w:pPr>
              <w:rPr>
                <w:rFonts w:cs="Arial"/>
                <w:b/>
                <w:szCs w:val="22"/>
              </w:rPr>
            </w:pPr>
            <w:r w:rsidRPr="00C63536">
              <w:rPr>
                <w:rFonts w:cs="Arial"/>
                <w:b/>
                <w:szCs w:val="22"/>
              </w:rPr>
              <w:t>Outturn Forecast</w:t>
            </w:r>
          </w:p>
        </w:tc>
      </w:tr>
      <w:tr w:rsidR="00C63536" w:rsidTr="001D686A">
        <w:tc>
          <w:tcPr>
            <w:tcW w:w="2755" w:type="dxa"/>
            <w:vMerge/>
          </w:tcPr>
          <w:p w:rsidR="00C63536" w:rsidRPr="00C63536" w:rsidRDefault="00C63536" w:rsidP="006E632E">
            <w:pPr>
              <w:rPr>
                <w:rFonts w:cs="Arial"/>
                <w:b/>
                <w:szCs w:val="22"/>
              </w:rPr>
            </w:pPr>
          </w:p>
        </w:tc>
        <w:tc>
          <w:tcPr>
            <w:tcW w:w="1048" w:type="dxa"/>
          </w:tcPr>
          <w:p w:rsidR="00C63536" w:rsidRPr="00C63536" w:rsidRDefault="00C63536" w:rsidP="00C63536">
            <w:pPr>
              <w:jc w:val="center"/>
              <w:rPr>
                <w:rFonts w:cs="Arial"/>
                <w:b/>
                <w:szCs w:val="22"/>
              </w:rPr>
            </w:pPr>
            <w:r w:rsidRPr="00C63536">
              <w:rPr>
                <w:rFonts w:cs="Arial"/>
                <w:b/>
                <w:szCs w:val="22"/>
              </w:rPr>
              <w:t>£</w:t>
            </w:r>
            <w:r>
              <w:rPr>
                <w:rFonts w:cs="Arial"/>
                <w:b/>
                <w:szCs w:val="22"/>
              </w:rPr>
              <w:t>000</w:t>
            </w:r>
          </w:p>
        </w:tc>
        <w:tc>
          <w:tcPr>
            <w:tcW w:w="1275" w:type="dxa"/>
          </w:tcPr>
          <w:p w:rsidR="00C63536" w:rsidRPr="00C63536" w:rsidRDefault="00C63536" w:rsidP="002D793E">
            <w:pPr>
              <w:jc w:val="center"/>
              <w:rPr>
                <w:rFonts w:cs="Arial"/>
                <w:b/>
                <w:szCs w:val="22"/>
              </w:rPr>
            </w:pPr>
            <w:r w:rsidRPr="00C63536">
              <w:rPr>
                <w:rFonts w:cs="Arial"/>
                <w:b/>
                <w:szCs w:val="22"/>
              </w:rPr>
              <w:t>£</w:t>
            </w:r>
            <w:r>
              <w:rPr>
                <w:rFonts w:cs="Arial"/>
                <w:b/>
                <w:szCs w:val="22"/>
              </w:rPr>
              <w:t>000</w:t>
            </w:r>
          </w:p>
        </w:tc>
        <w:tc>
          <w:tcPr>
            <w:tcW w:w="1134" w:type="dxa"/>
          </w:tcPr>
          <w:p w:rsidR="00C63536" w:rsidRPr="00C63536" w:rsidRDefault="00C63536" w:rsidP="002D793E">
            <w:pPr>
              <w:jc w:val="center"/>
              <w:rPr>
                <w:rFonts w:cs="Arial"/>
                <w:b/>
                <w:szCs w:val="22"/>
              </w:rPr>
            </w:pPr>
            <w:r w:rsidRPr="00C63536">
              <w:rPr>
                <w:rFonts w:cs="Arial"/>
                <w:b/>
                <w:szCs w:val="22"/>
              </w:rPr>
              <w:t>£</w:t>
            </w:r>
            <w:r>
              <w:rPr>
                <w:rFonts w:cs="Arial"/>
                <w:b/>
                <w:szCs w:val="22"/>
              </w:rPr>
              <w:t>000</w:t>
            </w:r>
          </w:p>
        </w:tc>
        <w:tc>
          <w:tcPr>
            <w:tcW w:w="1276" w:type="dxa"/>
          </w:tcPr>
          <w:p w:rsidR="00C63536" w:rsidRPr="00C63536" w:rsidRDefault="00C63536" w:rsidP="00C63536">
            <w:pPr>
              <w:jc w:val="center"/>
              <w:rPr>
                <w:rFonts w:cs="Arial"/>
                <w:b/>
                <w:szCs w:val="22"/>
              </w:rPr>
            </w:pPr>
            <w:r w:rsidRPr="00C63536">
              <w:rPr>
                <w:rFonts w:cs="Arial"/>
                <w:b/>
                <w:szCs w:val="22"/>
              </w:rPr>
              <w:t>£</w:t>
            </w:r>
            <w:r>
              <w:rPr>
                <w:rFonts w:cs="Arial"/>
                <w:b/>
                <w:szCs w:val="22"/>
              </w:rPr>
              <w:t>000</w:t>
            </w:r>
          </w:p>
        </w:tc>
        <w:tc>
          <w:tcPr>
            <w:tcW w:w="1216" w:type="dxa"/>
          </w:tcPr>
          <w:p w:rsidR="00C63536" w:rsidRPr="00C63536" w:rsidRDefault="00C63536" w:rsidP="002D793E">
            <w:pPr>
              <w:jc w:val="center"/>
              <w:rPr>
                <w:rFonts w:cs="Arial"/>
                <w:b/>
                <w:szCs w:val="22"/>
              </w:rPr>
            </w:pPr>
            <w:r w:rsidRPr="00C63536">
              <w:rPr>
                <w:rFonts w:cs="Arial"/>
                <w:b/>
                <w:szCs w:val="22"/>
              </w:rPr>
              <w:t>£</w:t>
            </w:r>
            <w:r>
              <w:rPr>
                <w:rFonts w:cs="Arial"/>
                <w:b/>
                <w:szCs w:val="22"/>
              </w:rPr>
              <w:t>000</w:t>
            </w:r>
          </w:p>
        </w:tc>
      </w:tr>
      <w:tr w:rsidR="001D686A" w:rsidTr="001D686A">
        <w:tc>
          <w:tcPr>
            <w:tcW w:w="2755" w:type="dxa"/>
          </w:tcPr>
          <w:p w:rsidR="001D686A" w:rsidRDefault="001D686A" w:rsidP="00C63536">
            <w:pPr>
              <w:jc w:val="left"/>
              <w:rPr>
                <w:rFonts w:cs="Arial"/>
                <w:szCs w:val="22"/>
              </w:rPr>
            </w:pPr>
            <w:r>
              <w:rPr>
                <w:rFonts w:cs="Arial"/>
                <w:szCs w:val="22"/>
              </w:rPr>
              <w:t>Balance B/F at 1 April</w:t>
            </w:r>
          </w:p>
        </w:tc>
        <w:tc>
          <w:tcPr>
            <w:tcW w:w="1048" w:type="dxa"/>
          </w:tcPr>
          <w:p w:rsidR="001D686A" w:rsidRDefault="001D686A" w:rsidP="00C63536">
            <w:pPr>
              <w:jc w:val="right"/>
              <w:rPr>
                <w:rFonts w:cs="Arial"/>
                <w:szCs w:val="22"/>
              </w:rPr>
            </w:pPr>
            <w:r>
              <w:rPr>
                <w:rFonts w:cs="Arial"/>
                <w:szCs w:val="22"/>
              </w:rPr>
              <w:t>(4,727)</w:t>
            </w:r>
          </w:p>
        </w:tc>
        <w:tc>
          <w:tcPr>
            <w:tcW w:w="1275" w:type="dxa"/>
          </w:tcPr>
          <w:p w:rsidR="001D686A" w:rsidRDefault="001D686A" w:rsidP="00C63536">
            <w:pPr>
              <w:jc w:val="right"/>
              <w:rPr>
                <w:rFonts w:cs="Arial"/>
                <w:szCs w:val="22"/>
              </w:rPr>
            </w:pPr>
            <w:r>
              <w:rPr>
                <w:rFonts w:cs="Arial"/>
                <w:szCs w:val="22"/>
              </w:rPr>
              <w:t>(4,396)</w:t>
            </w:r>
          </w:p>
        </w:tc>
        <w:tc>
          <w:tcPr>
            <w:tcW w:w="1134" w:type="dxa"/>
          </w:tcPr>
          <w:p w:rsidR="001D686A" w:rsidRPr="00194A36" w:rsidRDefault="001D686A" w:rsidP="002D793E">
            <w:pPr>
              <w:jc w:val="right"/>
              <w:rPr>
                <w:rFonts w:cs="Arial"/>
                <w:szCs w:val="22"/>
              </w:rPr>
            </w:pPr>
            <w:r w:rsidRPr="00194A36">
              <w:rPr>
                <w:rFonts w:cs="Arial"/>
                <w:szCs w:val="22"/>
              </w:rPr>
              <w:t>(4,396)</w:t>
            </w:r>
          </w:p>
        </w:tc>
        <w:tc>
          <w:tcPr>
            <w:tcW w:w="1276" w:type="dxa"/>
          </w:tcPr>
          <w:p w:rsidR="001D686A" w:rsidRPr="00194A36" w:rsidRDefault="007A341F" w:rsidP="00194A36">
            <w:pPr>
              <w:jc w:val="right"/>
              <w:rPr>
                <w:rFonts w:cs="Arial"/>
                <w:szCs w:val="22"/>
              </w:rPr>
            </w:pPr>
            <w:r w:rsidRPr="00194A36">
              <w:rPr>
                <w:rFonts w:cs="Arial"/>
                <w:szCs w:val="22"/>
              </w:rPr>
              <w:t>(</w:t>
            </w:r>
            <w:r w:rsidR="001D686A" w:rsidRPr="00194A36">
              <w:rPr>
                <w:rFonts w:cs="Arial"/>
                <w:szCs w:val="22"/>
              </w:rPr>
              <w:t>3,9</w:t>
            </w:r>
            <w:r w:rsidR="00194A36" w:rsidRPr="00194A36">
              <w:rPr>
                <w:rFonts w:cs="Arial"/>
                <w:szCs w:val="22"/>
              </w:rPr>
              <w:t>19</w:t>
            </w:r>
            <w:r w:rsidRPr="00194A36">
              <w:rPr>
                <w:rFonts w:cs="Arial"/>
                <w:szCs w:val="22"/>
              </w:rPr>
              <w:t>)</w:t>
            </w:r>
          </w:p>
        </w:tc>
        <w:tc>
          <w:tcPr>
            <w:tcW w:w="1216" w:type="dxa"/>
          </w:tcPr>
          <w:p w:rsidR="001D686A" w:rsidRPr="00194A36" w:rsidRDefault="001D686A" w:rsidP="00194A36">
            <w:pPr>
              <w:jc w:val="right"/>
              <w:rPr>
                <w:rFonts w:cs="Arial"/>
                <w:szCs w:val="22"/>
              </w:rPr>
            </w:pPr>
            <w:r w:rsidRPr="00194A36">
              <w:rPr>
                <w:rFonts w:cs="Arial"/>
                <w:szCs w:val="22"/>
              </w:rPr>
              <w:t>(3,9</w:t>
            </w:r>
            <w:r w:rsidR="00194A36" w:rsidRPr="00194A36">
              <w:rPr>
                <w:rFonts w:cs="Arial"/>
                <w:szCs w:val="22"/>
              </w:rPr>
              <w:t>05</w:t>
            </w:r>
            <w:r w:rsidRPr="00194A36">
              <w:rPr>
                <w:rFonts w:cs="Arial"/>
                <w:szCs w:val="22"/>
              </w:rPr>
              <w:t>)</w:t>
            </w:r>
          </w:p>
        </w:tc>
      </w:tr>
      <w:tr w:rsidR="001D686A" w:rsidTr="001D686A">
        <w:tc>
          <w:tcPr>
            <w:tcW w:w="2755" w:type="dxa"/>
          </w:tcPr>
          <w:p w:rsidR="001D686A" w:rsidRDefault="001D686A" w:rsidP="00194A36">
            <w:pPr>
              <w:jc w:val="left"/>
              <w:rPr>
                <w:rFonts w:cs="Arial"/>
                <w:szCs w:val="22"/>
              </w:rPr>
            </w:pPr>
            <w:r>
              <w:rPr>
                <w:rFonts w:cs="Arial"/>
                <w:szCs w:val="22"/>
              </w:rPr>
              <w:t>(</w:t>
            </w:r>
            <w:r w:rsidR="007A341F">
              <w:rPr>
                <w:rFonts w:cs="Arial"/>
                <w:szCs w:val="22"/>
              </w:rPr>
              <w:t>S</w:t>
            </w:r>
            <w:r>
              <w:rPr>
                <w:rFonts w:cs="Arial"/>
                <w:szCs w:val="22"/>
              </w:rPr>
              <w:t>urplus)/deficit for year</w:t>
            </w:r>
          </w:p>
        </w:tc>
        <w:tc>
          <w:tcPr>
            <w:tcW w:w="1048" w:type="dxa"/>
          </w:tcPr>
          <w:p w:rsidR="001D686A" w:rsidRDefault="001D686A" w:rsidP="00C63536">
            <w:pPr>
              <w:jc w:val="right"/>
              <w:rPr>
                <w:rFonts w:cs="Arial"/>
                <w:szCs w:val="22"/>
              </w:rPr>
            </w:pPr>
            <w:r>
              <w:rPr>
                <w:rFonts w:cs="Arial"/>
                <w:szCs w:val="22"/>
              </w:rPr>
              <w:t>(5)</w:t>
            </w:r>
          </w:p>
        </w:tc>
        <w:tc>
          <w:tcPr>
            <w:tcW w:w="1275" w:type="dxa"/>
          </w:tcPr>
          <w:p w:rsidR="001D686A" w:rsidRDefault="001D686A" w:rsidP="00C63536">
            <w:pPr>
              <w:jc w:val="right"/>
              <w:rPr>
                <w:rFonts w:cs="Arial"/>
                <w:szCs w:val="22"/>
              </w:rPr>
            </w:pPr>
            <w:r>
              <w:rPr>
                <w:rFonts w:cs="Arial"/>
                <w:szCs w:val="22"/>
              </w:rPr>
              <w:t>402</w:t>
            </w:r>
          </w:p>
        </w:tc>
        <w:tc>
          <w:tcPr>
            <w:tcW w:w="1134" w:type="dxa"/>
          </w:tcPr>
          <w:p w:rsidR="001D686A" w:rsidRPr="00194A36" w:rsidRDefault="001D686A" w:rsidP="00194A36">
            <w:pPr>
              <w:jc w:val="right"/>
              <w:rPr>
                <w:rFonts w:cs="Arial"/>
                <w:szCs w:val="22"/>
              </w:rPr>
            </w:pPr>
            <w:r w:rsidRPr="00194A36">
              <w:rPr>
                <w:rFonts w:cs="Arial"/>
                <w:szCs w:val="22"/>
              </w:rPr>
              <w:t>4</w:t>
            </w:r>
            <w:r w:rsidR="00194A36" w:rsidRPr="00194A36">
              <w:rPr>
                <w:rFonts w:cs="Arial"/>
                <w:szCs w:val="22"/>
              </w:rPr>
              <w:t>77</w:t>
            </w:r>
          </w:p>
        </w:tc>
        <w:tc>
          <w:tcPr>
            <w:tcW w:w="1276" w:type="dxa"/>
          </w:tcPr>
          <w:p w:rsidR="001D686A" w:rsidRPr="00194A36" w:rsidRDefault="00194A36" w:rsidP="00C63536">
            <w:pPr>
              <w:jc w:val="right"/>
              <w:rPr>
                <w:rFonts w:cs="Arial"/>
                <w:szCs w:val="22"/>
              </w:rPr>
            </w:pPr>
            <w:r w:rsidRPr="00194A36">
              <w:rPr>
                <w:rFonts w:cs="Arial"/>
                <w:szCs w:val="22"/>
              </w:rPr>
              <w:t>14</w:t>
            </w:r>
          </w:p>
        </w:tc>
        <w:tc>
          <w:tcPr>
            <w:tcW w:w="1216" w:type="dxa"/>
          </w:tcPr>
          <w:p w:rsidR="001D686A" w:rsidRPr="00194A36" w:rsidRDefault="007A341F" w:rsidP="00194A36">
            <w:pPr>
              <w:jc w:val="right"/>
              <w:rPr>
                <w:rFonts w:cs="Arial"/>
                <w:szCs w:val="22"/>
              </w:rPr>
            </w:pPr>
            <w:r w:rsidRPr="00194A36">
              <w:rPr>
                <w:rFonts w:cs="Arial"/>
                <w:szCs w:val="22"/>
              </w:rPr>
              <w:t>(</w:t>
            </w:r>
            <w:r w:rsidR="00194A36" w:rsidRPr="00194A36">
              <w:rPr>
                <w:rFonts w:cs="Arial"/>
                <w:szCs w:val="22"/>
              </w:rPr>
              <w:t>37</w:t>
            </w:r>
            <w:r w:rsidRPr="00194A36">
              <w:rPr>
                <w:rFonts w:cs="Arial"/>
                <w:szCs w:val="22"/>
              </w:rPr>
              <w:t>)</w:t>
            </w:r>
          </w:p>
        </w:tc>
      </w:tr>
      <w:tr w:rsidR="001D686A" w:rsidTr="001D686A">
        <w:tc>
          <w:tcPr>
            <w:tcW w:w="2755" w:type="dxa"/>
          </w:tcPr>
          <w:p w:rsidR="001D686A" w:rsidRDefault="001D686A" w:rsidP="001D686A">
            <w:pPr>
              <w:jc w:val="left"/>
              <w:rPr>
                <w:rFonts w:cs="Arial"/>
                <w:szCs w:val="22"/>
              </w:rPr>
            </w:pPr>
            <w:r>
              <w:rPr>
                <w:rFonts w:cs="Arial"/>
                <w:szCs w:val="22"/>
              </w:rPr>
              <w:t>Balance at 31 March</w:t>
            </w:r>
          </w:p>
        </w:tc>
        <w:tc>
          <w:tcPr>
            <w:tcW w:w="1048" w:type="dxa"/>
          </w:tcPr>
          <w:p w:rsidR="001D686A" w:rsidRPr="001D686A" w:rsidRDefault="001D686A" w:rsidP="00C63536">
            <w:pPr>
              <w:jc w:val="right"/>
              <w:rPr>
                <w:rFonts w:cs="Arial"/>
                <w:b/>
                <w:szCs w:val="22"/>
              </w:rPr>
            </w:pPr>
            <w:r w:rsidRPr="001D686A">
              <w:rPr>
                <w:rFonts w:cs="Arial"/>
                <w:b/>
                <w:szCs w:val="22"/>
              </w:rPr>
              <w:t>(4,732)</w:t>
            </w:r>
          </w:p>
        </w:tc>
        <w:tc>
          <w:tcPr>
            <w:tcW w:w="1275" w:type="dxa"/>
          </w:tcPr>
          <w:p w:rsidR="001D686A" w:rsidRPr="001D686A" w:rsidRDefault="001D686A" w:rsidP="00C63536">
            <w:pPr>
              <w:jc w:val="right"/>
              <w:rPr>
                <w:rFonts w:cs="Arial"/>
                <w:b/>
                <w:szCs w:val="22"/>
              </w:rPr>
            </w:pPr>
            <w:r w:rsidRPr="001D686A">
              <w:rPr>
                <w:rFonts w:cs="Arial"/>
                <w:b/>
                <w:szCs w:val="22"/>
              </w:rPr>
              <w:t>(3,994)</w:t>
            </w:r>
          </w:p>
        </w:tc>
        <w:tc>
          <w:tcPr>
            <w:tcW w:w="1134" w:type="dxa"/>
          </w:tcPr>
          <w:p w:rsidR="001D686A" w:rsidRPr="00194A36" w:rsidRDefault="001D686A" w:rsidP="00194A36">
            <w:pPr>
              <w:jc w:val="right"/>
              <w:rPr>
                <w:rFonts w:cs="Arial"/>
                <w:b/>
                <w:szCs w:val="22"/>
              </w:rPr>
            </w:pPr>
            <w:r w:rsidRPr="00194A36">
              <w:rPr>
                <w:rFonts w:cs="Arial"/>
                <w:b/>
                <w:szCs w:val="22"/>
              </w:rPr>
              <w:t>(3,9</w:t>
            </w:r>
            <w:r w:rsidR="00194A36" w:rsidRPr="00194A36">
              <w:rPr>
                <w:rFonts w:cs="Arial"/>
                <w:b/>
                <w:szCs w:val="22"/>
              </w:rPr>
              <w:t>19</w:t>
            </w:r>
            <w:r w:rsidRPr="00194A36">
              <w:rPr>
                <w:rFonts w:cs="Arial"/>
                <w:b/>
                <w:szCs w:val="22"/>
              </w:rPr>
              <w:t>)</w:t>
            </w:r>
          </w:p>
        </w:tc>
        <w:tc>
          <w:tcPr>
            <w:tcW w:w="1276" w:type="dxa"/>
          </w:tcPr>
          <w:p w:rsidR="001D686A" w:rsidRPr="00194A36" w:rsidRDefault="001D686A" w:rsidP="00194A36">
            <w:pPr>
              <w:jc w:val="right"/>
              <w:rPr>
                <w:rFonts w:cs="Arial"/>
                <w:b/>
                <w:szCs w:val="22"/>
              </w:rPr>
            </w:pPr>
            <w:r w:rsidRPr="00194A36">
              <w:rPr>
                <w:rFonts w:cs="Arial"/>
                <w:b/>
                <w:szCs w:val="22"/>
              </w:rPr>
              <w:t>(3,9</w:t>
            </w:r>
            <w:r w:rsidR="00194A36" w:rsidRPr="00194A36">
              <w:rPr>
                <w:rFonts w:cs="Arial"/>
                <w:b/>
                <w:szCs w:val="22"/>
              </w:rPr>
              <w:t>05</w:t>
            </w:r>
            <w:r w:rsidRPr="00194A36">
              <w:rPr>
                <w:rFonts w:cs="Arial"/>
                <w:b/>
                <w:szCs w:val="22"/>
              </w:rPr>
              <w:t>)</w:t>
            </w:r>
          </w:p>
        </w:tc>
        <w:tc>
          <w:tcPr>
            <w:tcW w:w="1216" w:type="dxa"/>
          </w:tcPr>
          <w:p w:rsidR="001D686A" w:rsidRPr="00194A36" w:rsidRDefault="001D686A" w:rsidP="00194A36">
            <w:pPr>
              <w:jc w:val="right"/>
              <w:rPr>
                <w:rFonts w:cs="Arial"/>
                <w:b/>
                <w:szCs w:val="22"/>
              </w:rPr>
            </w:pPr>
            <w:r w:rsidRPr="00194A36">
              <w:rPr>
                <w:rFonts w:cs="Arial"/>
                <w:b/>
                <w:szCs w:val="22"/>
              </w:rPr>
              <w:t>(3,9</w:t>
            </w:r>
            <w:r w:rsidR="00194A36" w:rsidRPr="00194A36">
              <w:rPr>
                <w:rFonts w:cs="Arial"/>
                <w:b/>
                <w:szCs w:val="22"/>
              </w:rPr>
              <w:t>42</w:t>
            </w:r>
            <w:r w:rsidRPr="00194A36">
              <w:rPr>
                <w:rFonts w:cs="Arial"/>
                <w:b/>
                <w:szCs w:val="22"/>
              </w:rPr>
              <w:t>)</w:t>
            </w:r>
          </w:p>
        </w:tc>
      </w:tr>
    </w:tbl>
    <w:p w:rsidR="00AB0AE0" w:rsidRDefault="00AB0AE0" w:rsidP="006E632E">
      <w:pPr>
        <w:ind w:left="1267" w:hanging="1267"/>
        <w:rPr>
          <w:rFonts w:cs="Arial"/>
          <w:szCs w:val="22"/>
        </w:rPr>
      </w:pPr>
    </w:p>
    <w:p w:rsidR="00AB0AE0" w:rsidRDefault="001D686A" w:rsidP="006E632E">
      <w:pPr>
        <w:ind w:left="1267" w:hanging="1267"/>
        <w:rPr>
          <w:rFonts w:cs="Arial"/>
          <w:szCs w:val="22"/>
        </w:rPr>
      </w:pPr>
      <w:r>
        <w:rPr>
          <w:rFonts w:cs="Arial"/>
          <w:szCs w:val="22"/>
        </w:rPr>
        <w:tab/>
        <w:t>A minimum pru</w:t>
      </w:r>
      <w:r w:rsidR="00F9724C">
        <w:rPr>
          <w:rFonts w:cs="Arial"/>
          <w:szCs w:val="22"/>
        </w:rPr>
        <w:t xml:space="preserve">dent general fund balance of </w:t>
      </w:r>
      <w:r w:rsidR="003A7356">
        <w:rPr>
          <w:rFonts w:cs="Arial"/>
          <w:szCs w:val="22"/>
        </w:rPr>
        <w:t xml:space="preserve">not less than </w:t>
      </w:r>
      <w:r w:rsidR="00F9724C">
        <w:rPr>
          <w:rFonts w:cs="Arial"/>
          <w:szCs w:val="22"/>
        </w:rPr>
        <w:t>£2</w:t>
      </w:r>
      <w:r>
        <w:rPr>
          <w:rFonts w:cs="Arial"/>
          <w:szCs w:val="22"/>
        </w:rPr>
        <w:t xml:space="preserve"> million is </w:t>
      </w:r>
      <w:r w:rsidR="00FE2932">
        <w:rPr>
          <w:rFonts w:cs="Arial"/>
          <w:szCs w:val="22"/>
        </w:rPr>
        <w:t>considered</w:t>
      </w:r>
      <w:r w:rsidR="007A341F">
        <w:rPr>
          <w:rFonts w:cs="Arial"/>
          <w:szCs w:val="22"/>
        </w:rPr>
        <w:t xml:space="preserve"> </w:t>
      </w:r>
      <w:r>
        <w:rPr>
          <w:rFonts w:cs="Arial"/>
          <w:szCs w:val="22"/>
        </w:rPr>
        <w:t xml:space="preserve">appropriate. </w:t>
      </w:r>
    </w:p>
    <w:p w:rsidR="006E632E" w:rsidRDefault="006E632E" w:rsidP="006E632E">
      <w:pPr>
        <w:ind w:left="1267" w:hanging="1267"/>
        <w:rPr>
          <w:rFonts w:cs="Arial"/>
          <w:szCs w:val="22"/>
        </w:rPr>
      </w:pPr>
    </w:p>
    <w:p w:rsidR="003A7356" w:rsidRDefault="003A7356" w:rsidP="00181F47">
      <w:pPr>
        <w:ind w:left="1267" w:hanging="1267"/>
        <w:rPr>
          <w:rFonts w:cs="Arial"/>
          <w:szCs w:val="22"/>
        </w:rPr>
      </w:pPr>
    </w:p>
    <w:p w:rsidR="00181F47" w:rsidRDefault="00672E45" w:rsidP="00181F47">
      <w:pPr>
        <w:ind w:left="1267" w:hanging="1267"/>
        <w:rPr>
          <w:rFonts w:cs="Arial"/>
          <w:szCs w:val="22"/>
        </w:rPr>
      </w:pPr>
      <w:r w:rsidRPr="00B16B34">
        <w:rPr>
          <w:rFonts w:cs="Arial"/>
          <w:szCs w:val="22"/>
        </w:rPr>
        <w:lastRenderedPageBreak/>
        <w:t>2.</w:t>
      </w:r>
      <w:r w:rsidR="003A7356">
        <w:rPr>
          <w:rFonts w:cs="Arial"/>
          <w:szCs w:val="22"/>
        </w:rPr>
        <w:t>10</w:t>
      </w:r>
      <w:r w:rsidRPr="00B16B34">
        <w:rPr>
          <w:rFonts w:cs="Arial"/>
          <w:szCs w:val="22"/>
        </w:rPr>
        <w:tab/>
      </w:r>
      <w:r w:rsidRPr="007E0F9B">
        <w:rPr>
          <w:rFonts w:cs="Arial"/>
          <w:b/>
          <w:szCs w:val="22"/>
        </w:rPr>
        <w:t xml:space="preserve">Appendix </w:t>
      </w:r>
      <w:r w:rsidR="00A81F67">
        <w:rPr>
          <w:rFonts w:cs="Arial"/>
          <w:b/>
          <w:szCs w:val="22"/>
        </w:rPr>
        <w:t>1</w:t>
      </w:r>
      <w:r w:rsidR="006368E4" w:rsidRPr="00B16B34">
        <w:rPr>
          <w:rFonts w:cs="Arial"/>
          <w:szCs w:val="22"/>
        </w:rPr>
        <w:t xml:space="preserve"> </w:t>
      </w:r>
      <w:r w:rsidR="00C42DD6" w:rsidRPr="00B16B34">
        <w:rPr>
          <w:rFonts w:cs="Arial"/>
          <w:szCs w:val="22"/>
        </w:rPr>
        <w:t xml:space="preserve">shows the medium term revenue budget </w:t>
      </w:r>
      <w:r w:rsidR="001712A5" w:rsidRPr="00B16B34">
        <w:rPr>
          <w:rFonts w:cs="Arial"/>
          <w:szCs w:val="22"/>
        </w:rPr>
        <w:t xml:space="preserve">by cost centre </w:t>
      </w:r>
      <w:r w:rsidR="00C42DD6" w:rsidRPr="00B16B34">
        <w:rPr>
          <w:rFonts w:cs="Arial"/>
          <w:szCs w:val="22"/>
        </w:rPr>
        <w:t xml:space="preserve">by </w:t>
      </w:r>
      <w:r w:rsidR="00B636C7" w:rsidRPr="00B16B34">
        <w:rPr>
          <w:rFonts w:cs="Arial"/>
          <w:szCs w:val="22"/>
        </w:rPr>
        <w:t>C</w:t>
      </w:r>
      <w:r w:rsidR="00C42DD6" w:rsidRPr="00B16B34">
        <w:rPr>
          <w:rFonts w:cs="Arial"/>
          <w:szCs w:val="22"/>
        </w:rPr>
        <w:t>ommittee.</w:t>
      </w:r>
    </w:p>
    <w:p w:rsidR="00A81F67" w:rsidRDefault="00A81F67" w:rsidP="00181F47">
      <w:pPr>
        <w:ind w:left="1267" w:hanging="1267"/>
        <w:rPr>
          <w:rFonts w:cs="Arial"/>
          <w:szCs w:val="22"/>
        </w:rPr>
      </w:pPr>
    </w:p>
    <w:p w:rsidR="00A81F67" w:rsidRDefault="00A81F67" w:rsidP="00172723">
      <w:pPr>
        <w:ind w:left="1267" w:hanging="1267"/>
      </w:pPr>
      <w:r>
        <w:rPr>
          <w:rFonts w:cs="Arial"/>
          <w:szCs w:val="22"/>
        </w:rPr>
        <w:t>2.</w:t>
      </w:r>
      <w:r w:rsidR="003A7356">
        <w:rPr>
          <w:rFonts w:cs="Arial"/>
          <w:szCs w:val="22"/>
        </w:rPr>
        <w:t>11</w:t>
      </w:r>
      <w:r>
        <w:rPr>
          <w:rFonts w:cs="Arial"/>
          <w:szCs w:val="22"/>
        </w:rPr>
        <w:tab/>
      </w:r>
      <w:r w:rsidRPr="007E0F9B">
        <w:rPr>
          <w:rFonts w:cs="Arial"/>
          <w:b/>
          <w:szCs w:val="22"/>
        </w:rPr>
        <w:t xml:space="preserve">Appendix </w:t>
      </w:r>
      <w:r>
        <w:rPr>
          <w:rFonts w:cs="Arial"/>
          <w:b/>
          <w:szCs w:val="22"/>
        </w:rPr>
        <w:t>2</w:t>
      </w:r>
      <w:r w:rsidRPr="00B16B34">
        <w:rPr>
          <w:rFonts w:cs="Arial"/>
          <w:szCs w:val="22"/>
        </w:rPr>
        <w:t xml:space="preserve"> shows the </w:t>
      </w:r>
      <w:r>
        <w:rPr>
          <w:rFonts w:cs="Arial"/>
          <w:szCs w:val="22"/>
        </w:rPr>
        <w:t>e</w:t>
      </w:r>
      <w:r w:rsidR="00D27EFC">
        <w:t>xplanations of r</w:t>
      </w:r>
      <w:r>
        <w:t xml:space="preserve">evenue </w:t>
      </w:r>
      <w:r w:rsidR="00D27EFC">
        <w:t>v</w:t>
      </w:r>
      <w:r>
        <w:t>ariances reported this Period.</w:t>
      </w:r>
    </w:p>
    <w:p w:rsidR="00A81F67" w:rsidRDefault="00A81F67" w:rsidP="00172723">
      <w:pPr>
        <w:ind w:left="1267" w:hanging="1267"/>
      </w:pPr>
    </w:p>
    <w:p w:rsidR="00EC67E2" w:rsidRPr="00B16B34" w:rsidRDefault="00C46A80" w:rsidP="00172723">
      <w:pPr>
        <w:ind w:left="1267" w:hanging="1267"/>
        <w:rPr>
          <w:rFonts w:cs="Arial"/>
          <w:szCs w:val="22"/>
        </w:rPr>
      </w:pPr>
      <w:r w:rsidRPr="00B16B34">
        <w:rPr>
          <w:rFonts w:cs="Arial"/>
          <w:szCs w:val="22"/>
        </w:rPr>
        <w:t>2.</w:t>
      </w:r>
      <w:r w:rsidR="003A7356">
        <w:rPr>
          <w:rFonts w:cs="Arial"/>
          <w:szCs w:val="22"/>
        </w:rPr>
        <w:t>12</w:t>
      </w:r>
      <w:r w:rsidRPr="00B16B34">
        <w:rPr>
          <w:rFonts w:cs="Arial"/>
          <w:szCs w:val="22"/>
        </w:rPr>
        <w:tab/>
      </w:r>
      <w:r w:rsidR="00EC67E2" w:rsidRPr="00B25D25">
        <w:rPr>
          <w:rFonts w:cs="Arial"/>
          <w:b/>
          <w:szCs w:val="22"/>
        </w:rPr>
        <w:t xml:space="preserve">Appendix </w:t>
      </w:r>
      <w:r w:rsidR="00A81F67">
        <w:rPr>
          <w:rFonts w:cs="Arial"/>
          <w:b/>
          <w:szCs w:val="22"/>
        </w:rPr>
        <w:t>3</w:t>
      </w:r>
      <w:r w:rsidR="00EC67E2" w:rsidRPr="00B16B34">
        <w:rPr>
          <w:rFonts w:cs="Arial"/>
          <w:szCs w:val="22"/>
        </w:rPr>
        <w:t xml:space="preserve"> shows the </w:t>
      </w:r>
      <w:r w:rsidR="001712A5" w:rsidRPr="00B16B34">
        <w:rPr>
          <w:rFonts w:cs="Arial"/>
          <w:szCs w:val="22"/>
        </w:rPr>
        <w:t>Council’s key budget indicators for service income.</w:t>
      </w:r>
    </w:p>
    <w:p w:rsidR="00EC67E2" w:rsidRPr="00B16B34" w:rsidRDefault="00EC67E2" w:rsidP="00EC67E2">
      <w:pPr>
        <w:tabs>
          <w:tab w:val="clear" w:pos="1260"/>
        </w:tabs>
        <w:rPr>
          <w:rFonts w:cs="Arial"/>
          <w:szCs w:val="22"/>
        </w:rPr>
      </w:pPr>
    </w:p>
    <w:p w:rsidR="00EC67E2" w:rsidRPr="00A81F67" w:rsidRDefault="00EC67E2" w:rsidP="00EC67E2">
      <w:pPr>
        <w:rPr>
          <w:rFonts w:cs="Arial"/>
          <w:szCs w:val="22"/>
        </w:rPr>
      </w:pPr>
      <w:r w:rsidRPr="00B16B34">
        <w:rPr>
          <w:rFonts w:cs="Arial"/>
          <w:szCs w:val="22"/>
        </w:rPr>
        <w:t>2.</w:t>
      </w:r>
      <w:r w:rsidR="003A7356">
        <w:rPr>
          <w:rFonts w:cs="Arial"/>
          <w:szCs w:val="22"/>
        </w:rPr>
        <w:t>13</w:t>
      </w:r>
      <w:r w:rsidRPr="00A81F67">
        <w:rPr>
          <w:rFonts w:cs="Arial"/>
          <w:szCs w:val="22"/>
        </w:rPr>
        <w:t xml:space="preserve">              </w:t>
      </w:r>
      <w:r w:rsidRPr="00A81F67">
        <w:rPr>
          <w:rFonts w:cs="Arial"/>
          <w:b/>
          <w:szCs w:val="22"/>
        </w:rPr>
        <w:t xml:space="preserve">Appendix </w:t>
      </w:r>
      <w:r w:rsidR="00A81F67">
        <w:rPr>
          <w:rFonts w:cs="Arial"/>
          <w:b/>
          <w:szCs w:val="22"/>
        </w:rPr>
        <w:t>4</w:t>
      </w:r>
      <w:r w:rsidRPr="00A81F67">
        <w:rPr>
          <w:rFonts w:cs="Arial"/>
          <w:szCs w:val="22"/>
        </w:rPr>
        <w:t xml:space="preserve"> </w:t>
      </w:r>
      <w:r w:rsidR="008D4B88" w:rsidRPr="00A81F67">
        <w:rPr>
          <w:rFonts w:cs="Arial"/>
          <w:szCs w:val="22"/>
        </w:rPr>
        <w:t>shows the Council</w:t>
      </w:r>
      <w:r w:rsidR="00B636C7" w:rsidRPr="00A81F67">
        <w:rPr>
          <w:rFonts w:cs="Arial"/>
          <w:szCs w:val="22"/>
        </w:rPr>
        <w:t>’</w:t>
      </w:r>
      <w:r w:rsidR="008D4B88" w:rsidRPr="00A81F67">
        <w:rPr>
          <w:rFonts w:cs="Arial"/>
          <w:szCs w:val="22"/>
        </w:rPr>
        <w:t xml:space="preserve">s </w:t>
      </w:r>
      <w:r w:rsidR="00A81F67">
        <w:rPr>
          <w:rFonts w:cs="Arial"/>
          <w:szCs w:val="22"/>
        </w:rPr>
        <w:t>k</w:t>
      </w:r>
      <w:r w:rsidR="008D4B88" w:rsidRPr="00A81F67">
        <w:rPr>
          <w:rFonts w:cs="Arial"/>
          <w:szCs w:val="22"/>
        </w:rPr>
        <w:t xml:space="preserve">ey </w:t>
      </w:r>
      <w:r w:rsidR="00A81F67">
        <w:rPr>
          <w:rFonts w:cs="Arial"/>
          <w:szCs w:val="22"/>
        </w:rPr>
        <w:t>b</w:t>
      </w:r>
      <w:r w:rsidR="008D4B88" w:rsidRPr="00A81F67">
        <w:rPr>
          <w:rFonts w:cs="Arial"/>
          <w:szCs w:val="22"/>
        </w:rPr>
        <w:t>udgetary</w:t>
      </w:r>
      <w:r w:rsidR="00A81F67">
        <w:rPr>
          <w:rFonts w:cs="Arial"/>
          <w:szCs w:val="22"/>
        </w:rPr>
        <w:t xml:space="preserve"> &amp; financial r</w:t>
      </w:r>
      <w:r w:rsidR="008D4B88" w:rsidRPr="00A81F67">
        <w:rPr>
          <w:rFonts w:cs="Arial"/>
          <w:szCs w:val="22"/>
        </w:rPr>
        <w:t>isks</w:t>
      </w:r>
      <w:r w:rsidR="001712A5" w:rsidRPr="00A81F67">
        <w:rPr>
          <w:rFonts w:cs="Arial"/>
          <w:szCs w:val="22"/>
        </w:rPr>
        <w:t>.</w:t>
      </w:r>
      <w:r w:rsidR="008D4B88" w:rsidRPr="00A81F67">
        <w:rPr>
          <w:rFonts w:cs="Arial"/>
          <w:szCs w:val="22"/>
        </w:rPr>
        <w:t xml:space="preserve"> </w:t>
      </w:r>
    </w:p>
    <w:p w:rsidR="003A7356" w:rsidRDefault="003A7356" w:rsidP="006E177E">
      <w:pPr>
        <w:keepNext/>
        <w:ind w:left="1267" w:hanging="1267"/>
      </w:pPr>
    </w:p>
    <w:p w:rsidR="006368E4" w:rsidRPr="00D972D6" w:rsidRDefault="00D972D6" w:rsidP="006E177E">
      <w:pPr>
        <w:keepNext/>
        <w:ind w:left="1267" w:hanging="1267"/>
        <w:rPr>
          <w:b/>
          <w:i/>
        </w:rPr>
      </w:pPr>
      <w:r>
        <w:tab/>
      </w:r>
      <w:r w:rsidR="006368E4" w:rsidRPr="00D972D6">
        <w:rPr>
          <w:b/>
          <w:i/>
        </w:rPr>
        <w:t>Capital</w:t>
      </w:r>
    </w:p>
    <w:p w:rsidR="009C64F1" w:rsidRDefault="009C64F1" w:rsidP="006E177E">
      <w:pPr>
        <w:keepNext/>
        <w:ind w:left="1267" w:hanging="1267"/>
        <w:rPr>
          <w:b/>
        </w:rPr>
      </w:pPr>
    </w:p>
    <w:p w:rsidR="009C64F1" w:rsidRDefault="009C64F1" w:rsidP="009C64F1">
      <w:pPr>
        <w:ind w:left="1267" w:hanging="1267"/>
      </w:pPr>
      <w:r>
        <w:t>2.</w:t>
      </w:r>
      <w:r w:rsidR="00D972D6">
        <w:t>1</w:t>
      </w:r>
      <w:r w:rsidR="003A7356">
        <w:t>4</w:t>
      </w:r>
      <w:r>
        <w:tab/>
        <w:t xml:space="preserve">The original budget for 2016/17 (as approved by Council in February 2016) was </w:t>
      </w:r>
      <w:r>
        <w:rPr>
          <w:b/>
        </w:rPr>
        <w:t>£6</w:t>
      </w:r>
      <w:r w:rsidRPr="00DB14F9">
        <w:rPr>
          <w:b/>
        </w:rPr>
        <w:t>.</w:t>
      </w:r>
      <w:r>
        <w:rPr>
          <w:b/>
        </w:rPr>
        <w:t>656</w:t>
      </w:r>
      <w:r w:rsidRPr="00DB14F9">
        <w:rPr>
          <w:b/>
        </w:rPr>
        <w:t xml:space="preserve"> million</w:t>
      </w:r>
      <w:r>
        <w:t>.</w:t>
      </w:r>
      <w:r w:rsidR="00F17085">
        <w:t xml:space="preserve"> </w:t>
      </w:r>
      <w:r>
        <w:t xml:space="preserve">The latest budget is </w:t>
      </w:r>
      <w:r w:rsidRPr="009C64F1">
        <w:rPr>
          <w:b/>
        </w:rPr>
        <w:t>£</w:t>
      </w:r>
      <w:r w:rsidR="00F17085">
        <w:rPr>
          <w:b/>
        </w:rPr>
        <w:t>9.478</w:t>
      </w:r>
      <w:r w:rsidRPr="00FE5B84">
        <w:rPr>
          <w:b/>
        </w:rPr>
        <w:t xml:space="preserve"> million</w:t>
      </w:r>
      <w:r>
        <w:t xml:space="preserve"> which includes rephasing</w:t>
      </w:r>
      <w:r w:rsidR="00C73882">
        <w:t xml:space="preserve"> of </w:t>
      </w:r>
      <w:r w:rsidR="00C73882" w:rsidRPr="00C73882">
        <w:rPr>
          <w:b/>
        </w:rPr>
        <w:t>£0.482 million</w:t>
      </w:r>
      <w:r w:rsidR="00C73882">
        <w:t xml:space="preserve"> as approved by </w:t>
      </w:r>
      <w:r>
        <w:t>Council at its meeting</w:t>
      </w:r>
      <w:r w:rsidR="00C73882">
        <w:t xml:space="preserve"> in May</w:t>
      </w:r>
      <w:r>
        <w:t xml:space="preserve"> </w:t>
      </w:r>
      <w:r w:rsidR="00F17085">
        <w:t xml:space="preserve">and additional  rephasing of </w:t>
      </w:r>
      <w:r w:rsidR="00F17085" w:rsidRPr="00F17085">
        <w:rPr>
          <w:b/>
        </w:rPr>
        <w:t>£</w:t>
      </w:r>
      <w:r w:rsidR="00F17085">
        <w:rPr>
          <w:b/>
        </w:rPr>
        <w:t>2.340</w:t>
      </w:r>
      <w:r w:rsidR="00F17085" w:rsidRPr="00F17085">
        <w:rPr>
          <w:b/>
        </w:rPr>
        <w:t xml:space="preserve"> million</w:t>
      </w:r>
      <w:r w:rsidR="00F17085">
        <w:t xml:space="preserve"> that was included in</w:t>
      </w:r>
      <w:r>
        <w:t xml:space="preserve"> the </w:t>
      </w:r>
      <w:r w:rsidR="00890A8C">
        <w:t>o</w:t>
      </w:r>
      <w:r>
        <w:t>utturn report presented to P</w:t>
      </w:r>
      <w:r w:rsidR="00F17085">
        <w:t xml:space="preserve">olicy &amp; Resources Committee </w:t>
      </w:r>
      <w:r>
        <w:t xml:space="preserve">in June </w:t>
      </w:r>
      <w:r w:rsidR="00C73882">
        <w:t xml:space="preserve">and </w:t>
      </w:r>
      <w:r>
        <w:t xml:space="preserve">recommended for approval to Council </w:t>
      </w:r>
      <w:r w:rsidR="00F17085">
        <w:t>.</w:t>
      </w:r>
      <w:r>
        <w:t xml:space="preserve"> The</w:t>
      </w:r>
      <w:r w:rsidR="00F17085">
        <w:t xml:space="preserve"> forecast outturn </w:t>
      </w:r>
      <w:r w:rsidR="00B35FEB">
        <w:t>has not changed from the latest budget; therefore there are no variances to report this period.</w:t>
      </w:r>
    </w:p>
    <w:p w:rsidR="00674638" w:rsidRDefault="00674638" w:rsidP="00674638">
      <w:pPr>
        <w:ind w:left="1267" w:hanging="1267"/>
        <w:rPr>
          <w:rFonts w:cs="Arial"/>
          <w:szCs w:val="22"/>
        </w:rPr>
      </w:pPr>
    </w:p>
    <w:p w:rsidR="00A81F67" w:rsidRDefault="00674638" w:rsidP="00A81F67">
      <w:pPr>
        <w:keepNext/>
        <w:ind w:left="1267" w:hanging="1267"/>
        <w:rPr>
          <w:rFonts w:cs="Arial"/>
          <w:szCs w:val="22"/>
        </w:rPr>
      </w:pPr>
      <w:r w:rsidRPr="00B16B34">
        <w:rPr>
          <w:rFonts w:cs="Arial"/>
          <w:szCs w:val="22"/>
        </w:rPr>
        <w:t>2.</w:t>
      </w:r>
      <w:r w:rsidR="00A81F67">
        <w:rPr>
          <w:rFonts w:cs="Arial"/>
          <w:szCs w:val="22"/>
        </w:rPr>
        <w:t>1</w:t>
      </w:r>
      <w:r w:rsidR="003A7356">
        <w:rPr>
          <w:rFonts w:cs="Arial"/>
          <w:szCs w:val="22"/>
        </w:rPr>
        <w:t>5</w:t>
      </w:r>
      <w:r>
        <w:rPr>
          <w:rFonts w:cs="Arial"/>
          <w:szCs w:val="22"/>
        </w:rPr>
        <w:tab/>
      </w:r>
      <w:r w:rsidR="00A81F67">
        <w:tab/>
      </w:r>
      <w:r w:rsidR="00A81F67" w:rsidRPr="00F17085">
        <w:rPr>
          <w:b/>
        </w:rPr>
        <w:t xml:space="preserve">Appendix </w:t>
      </w:r>
      <w:r w:rsidR="00A81F67">
        <w:rPr>
          <w:b/>
        </w:rPr>
        <w:t>5</w:t>
      </w:r>
      <w:r w:rsidR="00A81F67">
        <w:t xml:space="preserve"> shows the Council</w:t>
      </w:r>
      <w:r w:rsidR="00842B6A">
        <w:t>’</w:t>
      </w:r>
      <w:r w:rsidR="00A81F67">
        <w:t>s</w:t>
      </w:r>
      <w:bookmarkStart w:id="0" w:name="_GoBack"/>
      <w:bookmarkEnd w:id="0"/>
      <w:r w:rsidR="00A81F67">
        <w:t xml:space="preserve"> medium term capital investment programme 2016 -2019 by cost centre by Committee</w:t>
      </w:r>
      <w:r w:rsidR="00A81F67">
        <w:rPr>
          <w:rFonts w:cs="Arial"/>
          <w:szCs w:val="22"/>
        </w:rPr>
        <w:t xml:space="preserve"> </w:t>
      </w:r>
    </w:p>
    <w:p w:rsidR="00A81F67" w:rsidRDefault="00A81F67" w:rsidP="00A81F67">
      <w:pPr>
        <w:keepNext/>
        <w:ind w:left="1267" w:hanging="1267"/>
        <w:rPr>
          <w:rFonts w:cs="Arial"/>
          <w:szCs w:val="22"/>
        </w:rPr>
      </w:pPr>
    </w:p>
    <w:p w:rsidR="00674638" w:rsidRDefault="00A81F67" w:rsidP="00A81F67">
      <w:pPr>
        <w:keepNext/>
        <w:ind w:left="1267" w:hanging="1267"/>
        <w:rPr>
          <w:rFonts w:cs="Arial"/>
          <w:b/>
          <w:szCs w:val="22"/>
        </w:rPr>
      </w:pPr>
      <w:r>
        <w:rPr>
          <w:rFonts w:cs="Arial"/>
          <w:szCs w:val="22"/>
        </w:rPr>
        <w:t>2.1</w:t>
      </w:r>
      <w:r w:rsidR="003A7356">
        <w:rPr>
          <w:rFonts w:cs="Arial"/>
          <w:szCs w:val="22"/>
        </w:rPr>
        <w:t>6</w:t>
      </w:r>
      <w:r>
        <w:rPr>
          <w:rFonts w:cs="Arial"/>
          <w:szCs w:val="22"/>
        </w:rPr>
        <w:tab/>
      </w:r>
      <w:r w:rsidR="00B35FEB">
        <w:rPr>
          <w:rFonts w:cs="Arial"/>
          <w:szCs w:val="22"/>
        </w:rPr>
        <w:t xml:space="preserve">Funding of the capital programme is </w:t>
      </w:r>
      <w:r w:rsidR="00674638">
        <w:rPr>
          <w:rFonts w:cs="Arial"/>
          <w:szCs w:val="22"/>
        </w:rPr>
        <w:t xml:space="preserve">shown at </w:t>
      </w:r>
      <w:r w:rsidR="00674638" w:rsidRPr="00D30152">
        <w:rPr>
          <w:rFonts w:cs="Arial"/>
          <w:b/>
          <w:szCs w:val="22"/>
        </w:rPr>
        <w:t>Appendix</w:t>
      </w:r>
      <w:r w:rsidR="00674638" w:rsidRPr="007E0F9B">
        <w:rPr>
          <w:rFonts w:cs="Arial"/>
          <w:b/>
          <w:szCs w:val="22"/>
        </w:rPr>
        <w:t xml:space="preserve"> </w:t>
      </w:r>
      <w:r w:rsidR="00B35FEB">
        <w:rPr>
          <w:rFonts w:cs="Arial"/>
          <w:b/>
          <w:szCs w:val="22"/>
        </w:rPr>
        <w:t>6</w:t>
      </w:r>
      <w:r w:rsidR="00674638">
        <w:rPr>
          <w:rFonts w:cs="Arial"/>
          <w:b/>
          <w:szCs w:val="22"/>
        </w:rPr>
        <w:t>.</w:t>
      </w:r>
    </w:p>
    <w:p w:rsidR="00674638" w:rsidRDefault="00674638" w:rsidP="00674638">
      <w:pPr>
        <w:ind w:left="1267" w:hanging="1267"/>
        <w:rPr>
          <w:rFonts w:cs="Arial"/>
          <w:b/>
          <w:szCs w:val="22"/>
        </w:rPr>
      </w:pPr>
    </w:p>
    <w:p w:rsidR="00F4144B" w:rsidRDefault="006E177E" w:rsidP="000F504C">
      <w:pPr>
        <w:ind w:left="1267" w:hanging="1267"/>
        <w:jc w:val="left"/>
      </w:pPr>
      <w:r>
        <w:fldChar w:fldCharType="begin"/>
      </w:r>
      <w:r>
        <w:instrText xml:space="preserve">  </w:instrText>
      </w:r>
      <w:r>
        <w:fldChar w:fldCharType="end"/>
      </w:r>
      <w:r w:rsidR="00F4144B">
        <w:t>3.</w:t>
      </w:r>
      <w:r w:rsidR="00F4144B">
        <w:tab/>
      </w:r>
      <w:r w:rsidR="00F4144B">
        <w:rPr>
          <w:b/>
        </w:rPr>
        <w:t>Options/Reasons for Recommendation</w:t>
      </w:r>
    </w:p>
    <w:p w:rsidR="00F4144B" w:rsidRDefault="00F4144B">
      <w:pPr>
        <w:keepNext/>
        <w:ind w:left="1267" w:hanging="1267"/>
      </w:pPr>
    </w:p>
    <w:p w:rsidR="00A6630B" w:rsidRDefault="00CF3D9A" w:rsidP="00CF3D9A">
      <w:pPr>
        <w:ind w:left="1267" w:hanging="1267"/>
      </w:pPr>
      <w:r>
        <w:t>3.1</w:t>
      </w:r>
      <w:r>
        <w:tab/>
      </w:r>
      <w:r w:rsidR="00F4144B">
        <w:fldChar w:fldCharType="begin"/>
      </w:r>
      <w:r w:rsidR="00F4144B">
        <w:instrText xml:space="preserve">  </w:instrText>
      </w:r>
      <w:r w:rsidR="00F4144B">
        <w:fldChar w:fldCharType="end"/>
      </w:r>
      <w:r w:rsidR="00A6630B">
        <w:t xml:space="preserve">The recommendations below enable the </w:t>
      </w:r>
      <w:r w:rsidR="00BE4FC7">
        <w:t>Committee</w:t>
      </w:r>
      <w:r w:rsidR="00A6630B">
        <w:t xml:space="preserve"> to make recommendations to Council concerning the</w:t>
      </w:r>
      <w:r w:rsidR="00011910">
        <w:t>ir</w:t>
      </w:r>
      <w:r w:rsidR="00A6630B">
        <w:t xml:space="preserve"> budget.</w:t>
      </w:r>
    </w:p>
    <w:p w:rsidR="00F4144B" w:rsidRDefault="00F4144B">
      <w:pPr>
        <w:ind w:left="1267" w:hanging="1267"/>
      </w:pPr>
    </w:p>
    <w:p w:rsidR="00F4144B" w:rsidRDefault="00F4144B">
      <w:pPr>
        <w:keepNext/>
        <w:ind w:left="1267" w:hanging="1267"/>
        <w:rPr>
          <w:b/>
        </w:rPr>
      </w:pPr>
      <w:r>
        <w:t>4.</w:t>
      </w:r>
      <w:r>
        <w:tab/>
      </w:r>
      <w:r>
        <w:rPr>
          <w:b/>
        </w:rPr>
        <w:t>Policy</w:t>
      </w:r>
      <w:r w:rsidR="00CF3D9A">
        <w:rPr>
          <w:b/>
        </w:rPr>
        <w:t xml:space="preserve"> </w:t>
      </w:r>
      <w:r>
        <w:rPr>
          <w:b/>
        </w:rPr>
        <w:t>/</w:t>
      </w:r>
      <w:r w:rsidR="00CF3D9A">
        <w:rPr>
          <w:b/>
        </w:rPr>
        <w:t xml:space="preserve"> </w:t>
      </w:r>
      <w:r>
        <w:rPr>
          <w:b/>
        </w:rPr>
        <w:t>Budget Reference and Implications</w:t>
      </w:r>
    </w:p>
    <w:p w:rsidR="00F62C05" w:rsidRDefault="00F62C05" w:rsidP="00F62C05">
      <w:pPr>
        <w:ind w:left="1267" w:hanging="1267"/>
      </w:pPr>
      <w:r>
        <w:tab/>
      </w:r>
    </w:p>
    <w:p w:rsidR="005A1298" w:rsidRDefault="005A1298" w:rsidP="005A1298">
      <w:pPr>
        <w:ind w:left="1267" w:hanging="1267"/>
        <w:rPr>
          <w:b/>
          <w:i/>
          <w:color w:val="008000"/>
        </w:rPr>
      </w:pPr>
      <w:r w:rsidRPr="00B35FEB">
        <w:t>4.1</w:t>
      </w:r>
      <w:r w:rsidRPr="00B35FEB">
        <w:tab/>
      </w:r>
      <w:r w:rsidR="00E5034C" w:rsidRPr="00B35FEB">
        <w:t xml:space="preserve">In accordance with the Council’s financial procedure rules, if the </w:t>
      </w:r>
      <w:r w:rsidRPr="00B35FEB">
        <w:t xml:space="preserve">recommendations </w:t>
      </w:r>
      <w:r w:rsidR="00E5034C" w:rsidRPr="00B35FEB">
        <w:t>are accepted, this will amend the Council’s budgets</w:t>
      </w:r>
      <w:r w:rsidR="00B35FEB">
        <w:t>.</w:t>
      </w:r>
    </w:p>
    <w:p w:rsidR="00F4144B" w:rsidRDefault="00F4144B">
      <w:pPr>
        <w:keepNext/>
        <w:ind w:left="1267" w:hanging="1267"/>
      </w:pPr>
    </w:p>
    <w:p w:rsidR="00011910" w:rsidRDefault="00F4144B" w:rsidP="00F6577F">
      <w:pPr>
        <w:ind w:left="1267" w:hanging="1267"/>
      </w:pPr>
      <w:r>
        <w:t>4.</w:t>
      </w:r>
      <w:r w:rsidR="00F62C05">
        <w:t>2</w:t>
      </w:r>
      <w:r>
        <w:tab/>
      </w:r>
      <w:r w:rsidR="00A6630B" w:rsidRPr="004E0CF7">
        <w:t xml:space="preserve">There are no substantial changes to Council policy resulting from this report. </w:t>
      </w:r>
    </w:p>
    <w:p w:rsidR="00F4144B" w:rsidRDefault="00011910">
      <w:pPr>
        <w:ind w:left="1267" w:hanging="1267"/>
      </w:pPr>
      <w:r>
        <w:tab/>
      </w:r>
    </w:p>
    <w:p w:rsidR="00F4144B" w:rsidRDefault="009E0C43">
      <w:pPr>
        <w:keepNext/>
        <w:ind w:left="1267" w:hanging="1267"/>
      </w:pPr>
      <w:r>
        <w:t>5.</w:t>
      </w:r>
      <w:r w:rsidR="00F4144B">
        <w:fldChar w:fldCharType="begin"/>
      </w:r>
      <w:r w:rsidR="00F4144B">
        <w:instrText xml:space="preserve">  </w:instrText>
      </w:r>
      <w:r w:rsidR="00F4144B">
        <w:fldChar w:fldCharType="end"/>
      </w:r>
      <w:r w:rsidR="00F4144B">
        <w:tab/>
      </w:r>
      <w:r w:rsidR="00F4144B">
        <w:rPr>
          <w:b/>
        </w:rPr>
        <w:t xml:space="preserve">Legal, Equal Opportunities, Staffing, Environmental, Community Safety, </w:t>
      </w:r>
      <w:r w:rsidR="000F504C">
        <w:rPr>
          <w:b/>
        </w:rPr>
        <w:t xml:space="preserve">Public Health, </w:t>
      </w:r>
      <w:r w:rsidR="00F4144B">
        <w:rPr>
          <w:b/>
        </w:rPr>
        <w:t>Customer Services Centre, Communications &amp; Website, and Health &amp; Safety Implications</w:t>
      </w:r>
    </w:p>
    <w:p w:rsidR="00F4144B" w:rsidRDefault="00F4144B">
      <w:pPr>
        <w:keepNext/>
        <w:ind w:left="1267" w:hanging="1267"/>
      </w:pPr>
    </w:p>
    <w:p w:rsidR="00F4144B" w:rsidRDefault="009E0C43">
      <w:pPr>
        <w:ind w:left="1267" w:hanging="1267"/>
      </w:pPr>
      <w:r>
        <w:t>5.1</w:t>
      </w:r>
      <w:r w:rsidR="00F4144B">
        <w:fldChar w:fldCharType="begin"/>
      </w:r>
      <w:r w:rsidR="00F4144B">
        <w:instrText xml:space="preserve">  </w:instrText>
      </w:r>
      <w:r w:rsidR="00F4144B">
        <w:fldChar w:fldCharType="end"/>
      </w:r>
      <w:r w:rsidR="00F4144B">
        <w:tab/>
        <w:t>None specific.</w:t>
      </w:r>
    </w:p>
    <w:p w:rsidR="00F4144B" w:rsidRDefault="00F4144B">
      <w:pPr>
        <w:ind w:left="1267" w:hanging="1267"/>
      </w:pPr>
    </w:p>
    <w:p w:rsidR="00C37CBD" w:rsidRDefault="00C37CBD" w:rsidP="00C37CBD">
      <w:pPr>
        <w:keepNext/>
        <w:ind w:left="1267" w:hanging="1267"/>
      </w:pPr>
      <w:r>
        <w:t>6.</w:t>
      </w:r>
      <w:r>
        <w:tab/>
      </w:r>
      <w:r>
        <w:rPr>
          <w:b/>
        </w:rPr>
        <w:t>Financial Implications</w:t>
      </w:r>
    </w:p>
    <w:p w:rsidR="00D2402D" w:rsidRPr="00D2402D" w:rsidRDefault="00885C90" w:rsidP="00C37CBD">
      <w:pPr>
        <w:keepNext/>
        <w:ind w:left="1267" w:hanging="1267"/>
        <w:rPr>
          <w:b/>
          <w:i/>
        </w:rPr>
      </w:pPr>
      <w:r>
        <w:t xml:space="preserve">                      </w:t>
      </w:r>
    </w:p>
    <w:p w:rsidR="00C37CBD" w:rsidRDefault="00C37CBD" w:rsidP="00C37CBD">
      <w:pPr>
        <w:keepNext/>
        <w:tabs>
          <w:tab w:val="left" w:pos="567"/>
        </w:tabs>
        <w:ind w:left="1267" w:hanging="1267"/>
      </w:pPr>
      <w:r>
        <w:t>6.1</w:t>
      </w:r>
      <w:r>
        <w:rPr>
          <w:i/>
        </w:rPr>
        <w:tab/>
      </w:r>
      <w:r>
        <w:rPr>
          <w:i/>
        </w:rPr>
        <w:tab/>
      </w:r>
      <w:r w:rsidR="006E177E">
        <w:t>The following revenue</w:t>
      </w:r>
      <w:r w:rsidR="00466E0D">
        <w:t xml:space="preserve"> and capital</w:t>
      </w:r>
      <w:r w:rsidR="006E177E">
        <w:t xml:space="preserve"> variations have been identified for </w:t>
      </w:r>
      <w:r w:rsidR="00991A84">
        <w:t>all</w:t>
      </w:r>
      <w:r w:rsidR="0044131D">
        <w:t xml:space="preserve"> </w:t>
      </w:r>
      <w:r w:rsidR="003A7356">
        <w:t xml:space="preserve">Service </w:t>
      </w:r>
      <w:r w:rsidR="00562EAF">
        <w:t>Committee</w:t>
      </w:r>
      <w:r w:rsidR="0044131D">
        <w:t>s</w:t>
      </w:r>
      <w:r w:rsidR="00D30152">
        <w:t xml:space="preserve"> for Quarter 1</w:t>
      </w:r>
      <w:r w:rsidR="00562EAF">
        <w:t xml:space="preserve"> </w:t>
      </w:r>
    </w:p>
    <w:p w:rsidR="00BA4783" w:rsidRDefault="00BA4783" w:rsidP="00C37CBD"/>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134"/>
        <w:gridCol w:w="1134"/>
        <w:gridCol w:w="1134"/>
      </w:tblGrid>
      <w:tr w:rsidR="00957837" w:rsidTr="00957837">
        <w:tc>
          <w:tcPr>
            <w:tcW w:w="4394" w:type="dxa"/>
          </w:tcPr>
          <w:p w:rsidR="00D30152" w:rsidRDefault="00D30152" w:rsidP="00D82603">
            <w:pPr>
              <w:widowControl w:val="0"/>
              <w:jc w:val="center"/>
              <w:rPr>
                <w:sz w:val="20"/>
              </w:rPr>
            </w:pPr>
          </w:p>
          <w:p w:rsidR="00957837" w:rsidRDefault="00D30152" w:rsidP="00D30152">
            <w:pPr>
              <w:widowControl w:val="0"/>
              <w:jc w:val="center"/>
              <w:rPr>
                <w:sz w:val="20"/>
              </w:rPr>
            </w:pPr>
            <w:r>
              <w:rPr>
                <w:sz w:val="20"/>
              </w:rPr>
              <w:t>Variance</w:t>
            </w:r>
          </w:p>
        </w:tc>
        <w:tc>
          <w:tcPr>
            <w:tcW w:w="1134" w:type="dxa"/>
            <w:tcBorders>
              <w:bottom w:val="single" w:sz="4" w:space="0" w:color="auto"/>
            </w:tcBorders>
          </w:tcPr>
          <w:p w:rsidR="00957837" w:rsidRDefault="00957837" w:rsidP="00D82603">
            <w:pPr>
              <w:widowControl w:val="0"/>
              <w:jc w:val="center"/>
              <w:rPr>
                <w:sz w:val="20"/>
              </w:rPr>
            </w:pPr>
            <w:r>
              <w:rPr>
                <w:sz w:val="20"/>
              </w:rPr>
              <w:t>201</w:t>
            </w:r>
            <w:r w:rsidR="00D30152">
              <w:rPr>
                <w:sz w:val="20"/>
              </w:rPr>
              <w:t>6/17</w:t>
            </w:r>
          </w:p>
          <w:p w:rsidR="00957837" w:rsidRDefault="00957837" w:rsidP="00D82603">
            <w:pPr>
              <w:widowControl w:val="0"/>
              <w:jc w:val="center"/>
              <w:rPr>
                <w:sz w:val="20"/>
              </w:rPr>
            </w:pPr>
            <w:r>
              <w:rPr>
                <w:sz w:val="20"/>
              </w:rPr>
              <w:t>£</w:t>
            </w:r>
          </w:p>
        </w:tc>
        <w:tc>
          <w:tcPr>
            <w:tcW w:w="1134" w:type="dxa"/>
            <w:tcBorders>
              <w:bottom w:val="single" w:sz="4" w:space="0" w:color="auto"/>
            </w:tcBorders>
          </w:tcPr>
          <w:p w:rsidR="00957837" w:rsidRDefault="00957837" w:rsidP="00D82603">
            <w:pPr>
              <w:widowControl w:val="0"/>
              <w:jc w:val="center"/>
              <w:rPr>
                <w:sz w:val="20"/>
              </w:rPr>
            </w:pPr>
            <w:r>
              <w:rPr>
                <w:sz w:val="20"/>
              </w:rPr>
              <w:t>201</w:t>
            </w:r>
            <w:r w:rsidR="00D30152">
              <w:rPr>
                <w:sz w:val="20"/>
              </w:rPr>
              <w:t>7</w:t>
            </w:r>
            <w:r>
              <w:rPr>
                <w:sz w:val="20"/>
              </w:rPr>
              <w:t>/1</w:t>
            </w:r>
            <w:r w:rsidR="00D30152">
              <w:rPr>
                <w:sz w:val="20"/>
              </w:rPr>
              <w:t>8</w:t>
            </w:r>
          </w:p>
          <w:p w:rsidR="00957837" w:rsidRDefault="00957837" w:rsidP="00D82603">
            <w:pPr>
              <w:widowControl w:val="0"/>
              <w:jc w:val="center"/>
              <w:rPr>
                <w:sz w:val="20"/>
              </w:rPr>
            </w:pPr>
            <w:r>
              <w:rPr>
                <w:sz w:val="20"/>
              </w:rPr>
              <w:t>£</w:t>
            </w:r>
          </w:p>
        </w:tc>
        <w:tc>
          <w:tcPr>
            <w:tcW w:w="1134" w:type="dxa"/>
            <w:tcBorders>
              <w:bottom w:val="single" w:sz="4" w:space="0" w:color="auto"/>
            </w:tcBorders>
          </w:tcPr>
          <w:p w:rsidR="00957837" w:rsidRDefault="00957837" w:rsidP="00D82603">
            <w:pPr>
              <w:widowControl w:val="0"/>
              <w:jc w:val="center"/>
              <w:rPr>
                <w:sz w:val="20"/>
              </w:rPr>
            </w:pPr>
            <w:r>
              <w:rPr>
                <w:sz w:val="20"/>
              </w:rPr>
              <w:t>201</w:t>
            </w:r>
            <w:r w:rsidR="00D30152">
              <w:rPr>
                <w:sz w:val="20"/>
              </w:rPr>
              <w:t>8</w:t>
            </w:r>
            <w:r>
              <w:rPr>
                <w:sz w:val="20"/>
              </w:rPr>
              <w:t>/1</w:t>
            </w:r>
            <w:r w:rsidR="00D30152">
              <w:rPr>
                <w:sz w:val="20"/>
              </w:rPr>
              <w:t>9</w:t>
            </w:r>
          </w:p>
          <w:p w:rsidR="00957837" w:rsidRDefault="00957837" w:rsidP="00D82603">
            <w:pPr>
              <w:widowControl w:val="0"/>
              <w:jc w:val="center"/>
              <w:rPr>
                <w:sz w:val="20"/>
              </w:rPr>
            </w:pPr>
            <w:r>
              <w:rPr>
                <w:sz w:val="20"/>
              </w:rPr>
              <w:t>£</w:t>
            </w:r>
          </w:p>
        </w:tc>
      </w:tr>
      <w:tr w:rsidR="00957837" w:rsidTr="00957837">
        <w:tc>
          <w:tcPr>
            <w:tcW w:w="4394" w:type="dxa"/>
          </w:tcPr>
          <w:p w:rsidR="00957837" w:rsidRDefault="00D30152" w:rsidP="00466E0D">
            <w:pPr>
              <w:widowControl w:val="0"/>
              <w:spacing w:before="60" w:after="60"/>
              <w:rPr>
                <w:sz w:val="20"/>
              </w:rPr>
            </w:pPr>
            <w:r w:rsidRPr="00466E0D">
              <w:rPr>
                <w:b/>
                <w:sz w:val="20"/>
              </w:rPr>
              <w:t>Revenue</w:t>
            </w:r>
            <w:r w:rsidR="00466E0D">
              <w:rPr>
                <w:b/>
                <w:sz w:val="20"/>
              </w:rPr>
              <w:t xml:space="preserve"> </w:t>
            </w:r>
            <w:r w:rsidR="00466E0D">
              <w:rPr>
                <w:sz w:val="20"/>
              </w:rPr>
              <w:t xml:space="preserve">- </w:t>
            </w:r>
            <w:r>
              <w:rPr>
                <w:sz w:val="20"/>
              </w:rPr>
              <w:t>(Favourable</w:t>
            </w:r>
            <w:r w:rsidR="00466E0D">
              <w:rPr>
                <w:sz w:val="20"/>
              </w:rPr>
              <w:t xml:space="preserve"> )</w:t>
            </w:r>
            <w:r>
              <w:rPr>
                <w:sz w:val="20"/>
              </w:rPr>
              <w:t>/</w:t>
            </w:r>
            <w:r w:rsidR="00466E0D">
              <w:rPr>
                <w:sz w:val="20"/>
              </w:rPr>
              <w:t xml:space="preserve"> </w:t>
            </w:r>
            <w:r>
              <w:rPr>
                <w:sz w:val="20"/>
              </w:rPr>
              <w:t>Unfavourable</w:t>
            </w:r>
          </w:p>
        </w:tc>
        <w:tc>
          <w:tcPr>
            <w:tcW w:w="1134" w:type="dxa"/>
            <w:shd w:val="clear" w:color="auto" w:fill="FFFFFF"/>
          </w:tcPr>
          <w:p w:rsidR="00957837" w:rsidRPr="00C7625C" w:rsidRDefault="00B35FEB" w:rsidP="00D82603">
            <w:pPr>
              <w:widowControl w:val="0"/>
              <w:spacing w:before="60" w:after="60"/>
              <w:jc w:val="right"/>
              <w:rPr>
                <w:sz w:val="20"/>
              </w:rPr>
            </w:pPr>
            <w:r>
              <w:rPr>
                <w:sz w:val="20"/>
              </w:rPr>
              <w:t>74,660</w:t>
            </w:r>
          </w:p>
        </w:tc>
        <w:tc>
          <w:tcPr>
            <w:tcW w:w="1134" w:type="dxa"/>
            <w:shd w:val="clear" w:color="auto" w:fill="FFFFFF"/>
          </w:tcPr>
          <w:p w:rsidR="00957837" w:rsidRPr="00C7625C" w:rsidRDefault="00B35FEB" w:rsidP="00D82603">
            <w:pPr>
              <w:widowControl w:val="0"/>
              <w:spacing w:before="60" w:after="60"/>
              <w:ind w:right="7"/>
              <w:jc w:val="right"/>
              <w:rPr>
                <w:sz w:val="20"/>
              </w:rPr>
            </w:pPr>
            <w:r>
              <w:rPr>
                <w:sz w:val="20"/>
              </w:rPr>
              <w:t>(13,950)</w:t>
            </w:r>
          </w:p>
        </w:tc>
        <w:tc>
          <w:tcPr>
            <w:tcW w:w="1134" w:type="dxa"/>
            <w:shd w:val="clear" w:color="auto" w:fill="FFFFFF"/>
          </w:tcPr>
          <w:p w:rsidR="00957837" w:rsidRPr="00C7625C" w:rsidRDefault="00B35FEB" w:rsidP="00D82603">
            <w:pPr>
              <w:widowControl w:val="0"/>
              <w:spacing w:before="60" w:after="60"/>
              <w:ind w:right="7"/>
              <w:jc w:val="right"/>
              <w:rPr>
                <w:sz w:val="20"/>
              </w:rPr>
            </w:pPr>
            <w:r>
              <w:rPr>
                <w:sz w:val="20"/>
              </w:rPr>
              <w:t>(13,950)</w:t>
            </w:r>
          </w:p>
        </w:tc>
      </w:tr>
      <w:tr w:rsidR="00466E0D" w:rsidTr="00957837">
        <w:tc>
          <w:tcPr>
            <w:tcW w:w="4394" w:type="dxa"/>
          </w:tcPr>
          <w:p w:rsidR="00466E0D" w:rsidRDefault="00466E0D" w:rsidP="00466E0D">
            <w:pPr>
              <w:widowControl w:val="0"/>
              <w:spacing w:before="60" w:after="60"/>
              <w:rPr>
                <w:sz w:val="20"/>
              </w:rPr>
            </w:pPr>
            <w:r>
              <w:rPr>
                <w:b/>
                <w:sz w:val="20"/>
              </w:rPr>
              <w:t>Capital</w:t>
            </w:r>
            <w:r>
              <w:rPr>
                <w:sz w:val="20"/>
              </w:rPr>
              <w:t xml:space="preserve"> - Increase / (Decrease)</w:t>
            </w:r>
          </w:p>
        </w:tc>
        <w:tc>
          <w:tcPr>
            <w:tcW w:w="1134" w:type="dxa"/>
            <w:shd w:val="clear" w:color="auto" w:fill="FFFFFF"/>
          </w:tcPr>
          <w:p w:rsidR="00466E0D" w:rsidRPr="00C7625C" w:rsidRDefault="00B35FEB" w:rsidP="00D82603">
            <w:pPr>
              <w:widowControl w:val="0"/>
              <w:spacing w:before="60" w:after="60"/>
              <w:jc w:val="right"/>
              <w:rPr>
                <w:sz w:val="20"/>
              </w:rPr>
            </w:pPr>
            <w:r>
              <w:rPr>
                <w:sz w:val="20"/>
              </w:rPr>
              <w:t>0</w:t>
            </w:r>
          </w:p>
        </w:tc>
        <w:tc>
          <w:tcPr>
            <w:tcW w:w="1134" w:type="dxa"/>
            <w:shd w:val="clear" w:color="auto" w:fill="FFFFFF"/>
          </w:tcPr>
          <w:p w:rsidR="00466E0D" w:rsidRPr="00C7625C" w:rsidRDefault="00B35FEB" w:rsidP="00D82603">
            <w:pPr>
              <w:widowControl w:val="0"/>
              <w:spacing w:before="60" w:after="60"/>
              <w:ind w:right="7"/>
              <w:jc w:val="right"/>
              <w:rPr>
                <w:sz w:val="20"/>
              </w:rPr>
            </w:pPr>
            <w:r>
              <w:rPr>
                <w:sz w:val="20"/>
              </w:rPr>
              <w:t>0</w:t>
            </w:r>
          </w:p>
        </w:tc>
        <w:tc>
          <w:tcPr>
            <w:tcW w:w="1134" w:type="dxa"/>
            <w:shd w:val="clear" w:color="auto" w:fill="FFFFFF"/>
          </w:tcPr>
          <w:p w:rsidR="00466E0D" w:rsidRPr="00C7625C" w:rsidRDefault="00B35FEB" w:rsidP="00D82603">
            <w:pPr>
              <w:widowControl w:val="0"/>
              <w:spacing w:before="60" w:after="60"/>
              <w:ind w:right="7"/>
              <w:jc w:val="right"/>
              <w:rPr>
                <w:sz w:val="20"/>
              </w:rPr>
            </w:pPr>
            <w:r>
              <w:rPr>
                <w:sz w:val="20"/>
              </w:rPr>
              <w:t>0</w:t>
            </w:r>
          </w:p>
        </w:tc>
      </w:tr>
    </w:tbl>
    <w:p w:rsidR="00735FB1" w:rsidRDefault="00735FB1" w:rsidP="00735FB1">
      <w:pPr>
        <w:keepNext/>
        <w:tabs>
          <w:tab w:val="clear" w:pos="1260"/>
        </w:tabs>
      </w:pPr>
      <w:r>
        <w:t xml:space="preserve">      </w:t>
      </w:r>
    </w:p>
    <w:p w:rsidR="00C37CBD" w:rsidRDefault="005A3853" w:rsidP="00E01F01">
      <w:pPr>
        <w:keepNext/>
        <w:tabs>
          <w:tab w:val="clear" w:pos="1260"/>
        </w:tabs>
        <w:rPr>
          <w:b/>
        </w:rPr>
      </w:pPr>
      <w:r w:rsidRPr="00D97B2B">
        <w:t>7</w:t>
      </w:r>
      <w:r w:rsidR="00D97B2B">
        <w:t>.</w:t>
      </w:r>
      <w:r w:rsidR="00E01F01">
        <w:rPr>
          <w:b/>
        </w:rPr>
        <w:t xml:space="preserve">                   </w:t>
      </w:r>
      <w:r w:rsidR="00C37CBD">
        <w:rPr>
          <w:b/>
        </w:rPr>
        <w:t xml:space="preserve">Risk </w:t>
      </w:r>
      <w:r w:rsidR="00E37DDC">
        <w:rPr>
          <w:b/>
        </w:rPr>
        <w:t>Management Implications</w:t>
      </w:r>
    </w:p>
    <w:p w:rsidR="00C37CBD" w:rsidRDefault="00C37CBD" w:rsidP="00C37CBD">
      <w:pPr>
        <w:ind w:left="1260" w:hanging="1260"/>
      </w:pPr>
      <w:r>
        <w:rPr>
          <w:b/>
          <w:i/>
          <w:color w:val="008000"/>
        </w:rPr>
        <w:tab/>
      </w:r>
    </w:p>
    <w:p w:rsidR="00C37CBD" w:rsidRDefault="005A3853" w:rsidP="00C37CBD">
      <w:pPr>
        <w:ind w:left="1276" w:hanging="1276"/>
      </w:pPr>
      <w:r>
        <w:t>7</w:t>
      </w:r>
      <w:r w:rsidR="00D972D6">
        <w:t>.1</w:t>
      </w:r>
      <w:r w:rsidR="00C37CBD">
        <w:tab/>
        <w:t>There are no risks to the Council in agreeing the recommendations.</w:t>
      </w:r>
    </w:p>
    <w:p w:rsidR="00C37CBD" w:rsidRDefault="00C37CBD" w:rsidP="00C37CBD"/>
    <w:p w:rsidR="00C37CBD" w:rsidRDefault="005A3853" w:rsidP="00C37CBD">
      <w:pPr>
        <w:ind w:left="1260" w:hanging="1260"/>
        <w:rPr>
          <w:i/>
        </w:rPr>
      </w:pPr>
      <w:r>
        <w:t>7</w:t>
      </w:r>
      <w:r w:rsidR="00C37CBD">
        <w:t>.</w:t>
      </w:r>
      <w:r w:rsidR="00D972D6">
        <w:t>2</w:t>
      </w:r>
      <w:r w:rsidR="00C37CBD">
        <w:tab/>
      </w:r>
      <w:r w:rsidR="00C37CBD" w:rsidRPr="00466E0D">
        <w:rPr>
          <w:i/>
        </w:rPr>
        <w:t xml:space="preserve">The following table gives the risks if the recommendations are rejected, together with a scored assessment of their impact and likelihood: </w:t>
      </w:r>
    </w:p>
    <w:p w:rsidR="00AF634A" w:rsidRPr="00466E0D" w:rsidRDefault="00AF634A" w:rsidP="00C37CBD">
      <w:pPr>
        <w:ind w:left="1260" w:hanging="1260"/>
        <w:rPr>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C37CBD" w:rsidRPr="00466E0D" w:rsidTr="00D82603">
        <w:tc>
          <w:tcPr>
            <w:tcW w:w="5384" w:type="dxa"/>
            <w:gridSpan w:val="2"/>
          </w:tcPr>
          <w:p w:rsidR="00C37CBD" w:rsidRPr="00466E0D" w:rsidRDefault="00C37CBD" w:rsidP="00D82603">
            <w:pPr>
              <w:jc w:val="center"/>
              <w:rPr>
                <w:i/>
                <w:sz w:val="20"/>
              </w:rPr>
            </w:pPr>
            <w:r w:rsidRPr="00466E0D">
              <w:rPr>
                <w:i/>
                <w:sz w:val="20"/>
              </w:rPr>
              <w:t>Description of Risk</w:t>
            </w:r>
          </w:p>
        </w:tc>
        <w:tc>
          <w:tcPr>
            <w:tcW w:w="1170" w:type="dxa"/>
          </w:tcPr>
          <w:p w:rsidR="00C37CBD" w:rsidRPr="00466E0D" w:rsidRDefault="00C37CBD" w:rsidP="00D82603">
            <w:pPr>
              <w:jc w:val="center"/>
              <w:rPr>
                <w:i/>
                <w:sz w:val="20"/>
              </w:rPr>
            </w:pPr>
            <w:r w:rsidRPr="00466E0D">
              <w:rPr>
                <w:i/>
                <w:sz w:val="20"/>
              </w:rPr>
              <w:t>Impact</w:t>
            </w:r>
          </w:p>
        </w:tc>
        <w:tc>
          <w:tcPr>
            <w:tcW w:w="1350" w:type="dxa"/>
          </w:tcPr>
          <w:p w:rsidR="00C37CBD" w:rsidRPr="00466E0D" w:rsidRDefault="00C37CBD" w:rsidP="00D82603">
            <w:pPr>
              <w:ind w:left="34"/>
              <w:jc w:val="center"/>
              <w:rPr>
                <w:i/>
                <w:sz w:val="20"/>
              </w:rPr>
            </w:pPr>
            <w:r w:rsidRPr="00466E0D">
              <w:rPr>
                <w:i/>
                <w:sz w:val="20"/>
              </w:rPr>
              <w:t>Likelihood</w:t>
            </w:r>
          </w:p>
        </w:tc>
      </w:tr>
      <w:tr w:rsidR="00C37CBD" w:rsidRPr="00466E0D" w:rsidTr="00D82603">
        <w:tc>
          <w:tcPr>
            <w:tcW w:w="328" w:type="dxa"/>
          </w:tcPr>
          <w:p w:rsidR="00C37CBD" w:rsidRPr="00466E0D" w:rsidRDefault="00C37CBD" w:rsidP="00D82603">
            <w:pPr>
              <w:jc w:val="left"/>
              <w:rPr>
                <w:i/>
                <w:sz w:val="20"/>
              </w:rPr>
            </w:pPr>
            <w:r w:rsidRPr="00466E0D">
              <w:rPr>
                <w:i/>
                <w:sz w:val="20"/>
              </w:rPr>
              <w:t>1</w:t>
            </w:r>
          </w:p>
        </w:tc>
        <w:tc>
          <w:tcPr>
            <w:tcW w:w="5056" w:type="dxa"/>
          </w:tcPr>
          <w:p w:rsidR="00C37CBD" w:rsidRPr="00466E0D" w:rsidRDefault="00C37CBD" w:rsidP="00D82603">
            <w:pPr>
              <w:jc w:val="left"/>
              <w:rPr>
                <w:i/>
                <w:sz w:val="20"/>
              </w:rPr>
            </w:pPr>
            <w:r w:rsidRPr="00466E0D">
              <w:rPr>
                <w:i/>
                <w:sz w:val="20"/>
              </w:rPr>
              <w:t>The Council’s Medium-Term Financial Plan would be out of date and officers would not have accurate budgets to work to.</w:t>
            </w:r>
          </w:p>
        </w:tc>
        <w:tc>
          <w:tcPr>
            <w:tcW w:w="1170" w:type="dxa"/>
          </w:tcPr>
          <w:p w:rsidR="00C37CBD" w:rsidRPr="00466E0D" w:rsidRDefault="00C37CBD" w:rsidP="00D82603">
            <w:pPr>
              <w:jc w:val="center"/>
              <w:rPr>
                <w:i/>
                <w:sz w:val="20"/>
              </w:rPr>
            </w:pPr>
          </w:p>
          <w:p w:rsidR="00C37CBD" w:rsidRPr="00466E0D" w:rsidRDefault="00C37CBD" w:rsidP="00D82603">
            <w:pPr>
              <w:jc w:val="center"/>
              <w:rPr>
                <w:i/>
                <w:sz w:val="20"/>
              </w:rPr>
            </w:pPr>
            <w:r w:rsidRPr="00466E0D">
              <w:rPr>
                <w:i/>
                <w:sz w:val="20"/>
              </w:rPr>
              <w:t>III</w:t>
            </w:r>
          </w:p>
        </w:tc>
        <w:tc>
          <w:tcPr>
            <w:tcW w:w="1350" w:type="dxa"/>
          </w:tcPr>
          <w:p w:rsidR="00C37CBD" w:rsidRPr="00466E0D" w:rsidRDefault="00C37CBD" w:rsidP="00D82603">
            <w:pPr>
              <w:jc w:val="center"/>
              <w:rPr>
                <w:i/>
                <w:sz w:val="20"/>
              </w:rPr>
            </w:pPr>
          </w:p>
          <w:p w:rsidR="00C37CBD" w:rsidRPr="00466E0D" w:rsidRDefault="00C37CBD" w:rsidP="00D82603">
            <w:pPr>
              <w:jc w:val="center"/>
              <w:rPr>
                <w:i/>
                <w:sz w:val="20"/>
              </w:rPr>
            </w:pPr>
            <w:r w:rsidRPr="00466E0D">
              <w:rPr>
                <w:i/>
                <w:sz w:val="20"/>
              </w:rPr>
              <w:t>A</w:t>
            </w:r>
          </w:p>
        </w:tc>
      </w:tr>
    </w:tbl>
    <w:p w:rsidR="00C37CBD" w:rsidRDefault="00C37CBD" w:rsidP="00C37CBD"/>
    <w:p w:rsidR="00C37CBD" w:rsidRDefault="005A3853" w:rsidP="00C37CBD">
      <w:pPr>
        <w:ind w:left="1276" w:hanging="1276"/>
      </w:pPr>
      <w:r>
        <w:t>7</w:t>
      </w:r>
      <w:r w:rsidR="00C37CBD">
        <w:t>.</w:t>
      </w:r>
      <w:r w:rsidR="00D972D6">
        <w:t>3</w:t>
      </w:r>
      <w:r w:rsidR="00C37CBD">
        <w:tab/>
        <w:t xml:space="preserve">The Council has determined its aversion to risk and is prepared to tolerate risks where the combination of impact and likelihood are plotted in the shaded area of the matrix. The remaining risks require a treatment plan. </w:t>
      </w:r>
      <w:r w:rsidR="00D972D6" w:rsidRPr="00A36804">
        <w:t xml:space="preserve">The risk </w:t>
      </w:r>
      <w:r w:rsidR="00D972D6">
        <w:t>is</w:t>
      </w:r>
      <w:r w:rsidR="00D972D6" w:rsidRPr="00A36804">
        <w:t xml:space="preserve"> managed within the </w:t>
      </w:r>
      <w:r w:rsidR="00D972D6">
        <w:t>Finance services s</w:t>
      </w:r>
      <w:r w:rsidR="00D972D6" w:rsidRPr="00A36804">
        <w:t xml:space="preserve">ervice </w:t>
      </w:r>
      <w:r w:rsidR="00D972D6">
        <w:t>p</w:t>
      </w:r>
      <w:r w:rsidR="00D972D6" w:rsidRPr="00A36804">
        <w:t>lan</w:t>
      </w:r>
      <w:r w:rsidR="003A7356">
        <w:t>.</w:t>
      </w:r>
    </w:p>
    <w:p w:rsidR="00C37CBD" w:rsidRDefault="00C37CBD" w:rsidP="00C37CBD">
      <w:pPr>
        <w:ind w:left="1276" w:hanging="1276"/>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C37CBD" w:rsidTr="00D82603">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C37CBD" w:rsidRDefault="00C81C40" w:rsidP="00D82603">
            <w:pPr>
              <w:keepNext/>
              <w:keepLines/>
              <w:ind w:left="113" w:right="113"/>
              <w:jc w:val="center"/>
              <w:rPr>
                <w:b/>
                <w:szCs w:val="22"/>
              </w:rPr>
            </w:pPr>
            <w:r>
              <w:rPr>
                <w:b/>
                <w:noProof/>
                <w:szCs w:val="22"/>
              </w:rPr>
              <mc:AlternateContent>
                <mc:Choice Requires="wps">
                  <w:drawing>
                    <wp:anchor distT="0" distB="0" distL="114300" distR="114300" simplePos="0" relativeHeight="251657216" behindDoc="0" locked="0" layoutInCell="0" allowOverlap="1">
                      <wp:simplePos x="0" y="0"/>
                      <wp:positionH relativeFrom="column">
                        <wp:posOffset>1115695</wp:posOffset>
                      </wp:positionH>
                      <wp:positionV relativeFrom="paragraph">
                        <wp:posOffset>107950</wp:posOffset>
                      </wp:positionV>
                      <wp:extent cx="0" cy="129667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mc:Fallback>
              </mc:AlternateContent>
            </w:r>
            <w:r>
              <w:rPr>
                <w:noProof/>
                <w:szCs w:val="22"/>
              </w:rPr>
              <mc:AlternateContent>
                <mc:Choice Requires="wps">
                  <w:drawing>
                    <wp:anchor distT="0" distB="0" distL="114300" distR="114300" simplePos="0" relativeHeight="251658240" behindDoc="0" locked="0" layoutInCell="0" allowOverlap="1">
                      <wp:simplePos x="0" y="0"/>
                      <wp:positionH relativeFrom="column">
                        <wp:posOffset>1298575</wp:posOffset>
                      </wp:positionH>
                      <wp:positionV relativeFrom="paragraph">
                        <wp:posOffset>1388110</wp:posOffset>
                      </wp:positionV>
                      <wp:extent cx="2286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mc:Fallback>
              </mc:AlternateContent>
            </w:r>
            <w:r w:rsidR="00C37CBD">
              <w:rPr>
                <w:b/>
                <w:szCs w:val="22"/>
              </w:rPr>
              <w:t>Likelihood</w:t>
            </w:r>
          </w:p>
        </w:tc>
        <w:tc>
          <w:tcPr>
            <w:tcW w:w="452" w:type="dxa"/>
            <w:tcBorders>
              <w:top w:val="single" w:sz="4" w:space="0" w:color="auto"/>
              <w:left w:val="single" w:sz="4" w:space="0" w:color="auto"/>
            </w:tcBorders>
          </w:tcPr>
          <w:p w:rsidR="00C37CBD" w:rsidRDefault="00C37CBD" w:rsidP="00D82603">
            <w:pPr>
              <w:keepNext/>
              <w:keepLines/>
            </w:pPr>
            <w:r>
              <w:t>A</w:t>
            </w:r>
          </w:p>
        </w:tc>
        <w:tc>
          <w:tcPr>
            <w:tcW w:w="723" w:type="dxa"/>
            <w:tcBorders>
              <w:top w:val="single" w:sz="4" w:space="0" w:color="auto"/>
            </w:tcBorders>
            <w:shd w:val="pct15" w:color="auto" w:fill="FFFFFF"/>
          </w:tcPr>
          <w:p w:rsidR="00C37CBD" w:rsidRDefault="00C37CBD" w:rsidP="00D82603">
            <w:pPr>
              <w:keepNext/>
              <w:keepLines/>
            </w:pPr>
          </w:p>
        </w:tc>
        <w:tc>
          <w:tcPr>
            <w:tcW w:w="723" w:type="dxa"/>
            <w:tcBorders>
              <w:top w:val="single" w:sz="4" w:space="0" w:color="auto"/>
            </w:tcBorders>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r>
              <w:t>1</w:t>
            </w: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Impact</w:t>
            </w:r>
          </w:p>
        </w:tc>
        <w:tc>
          <w:tcPr>
            <w:tcW w:w="1608" w:type="dxa"/>
            <w:tcBorders>
              <w:top w:val="nil"/>
              <w:left w:val="nil"/>
              <w:bottom w:val="nil"/>
              <w:right w:val="nil"/>
            </w:tcBorders>
          </w:tcPr>
          <w:p w:rsidR="00C37CBD" w:rsidRDefault="00C37CBD" w:rsidP="00D82603">
            <w:pPr>
              <w:keepNext/>
              <w:keepLines/>
              <w:rPr>
                <w:sz w:val="16"/>
              </w:rPr>
            </w:pPr>
            <w:r>
              <w:rPr>
                <w:sz w:val="16"/>
              </w:rPr>
              <w:t>Likelihood</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B</w:t>
            </w:r>
          </w:p>
        </w:tc>
        <w:tc>
          <w:tcPr>
            <w:tcW w:w="723" w:type="dxa"/>
            <w:shd w:val="pct15" w:color="auto" w:fill="FFFFFF"/>
          </w:tcPr>
          <w:p w:rsidR="00C37CBD" w:rsidRDefault="00C37CBD" w:rsidP="00D82603">
            <w:pPr>
              <w:keepNext/>
              <w:keepLines/>
            </w:pPr>
          </w:p>
        </w:tc>
        <w:tc>
          <w:tcPr>
            <w:tcW w:w="723" w:type="dxa"/>
          </w:tcPr>
          <w:p w:rsidR="00C37CBD" w:rsidRDefault="00C37CBD" w:rsidP="00D82603">
            <w:pPr>
              <w:keepNext/>
              <w:keepLines/>
            </w:pPr>
          </w:p>
        </w:tc>
        <w:tc>
          <w:tcPr>
            <w:tcW w:w="724" w:type="dxa"/>
            <w:tcBorders>
              <w:bottom w:val="single" w:sz="4" w:space="0" w:color="auto"/>
            </w:tcBorders>
          </w:tcPr>
          <w:p w:rsidR="00C37CBD" w:rsidRDefault="00C37CBD" w:rsidP="00D82603">
            <w:pPr>
              <w:keepNext/>
              <w:keepLines/>
            </w:pPr>
          </w:p>
        </w:tc>
        <w:tc>
          <w:tcPr>
            <w:tcW w:w="723" w:type="dxa"/>
            <w:tcBorders>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V = Catastrophic</w:t>
            </w:r>
          </w:p>
        </w:tc>
        <w:tc>
          <w:tcPr>
            <w:tcW w:w="1608" w:type="dxa"/>
            <w:tcBorders>
              <w:top w:val="nil"/>
              <w:left w:val="nil"/>
              <w:bottom w:val="nil"/>
              <w:right w:val="nil"/>
            </w:tcBorders>
          </w:tcPr>
          <w:p w:rsidR="00C37CBD" w:rsidRDefault="00C37CBD" w:rsidP="00D82603">
            <w:pPr>
              <w:keepNext/>
              <w:keepLines/>
              <w:rPr>
                <w:sz w:val="16"/>
              </w:rPr>
            </w:pPr>
            <w:r>
              <w:rPr>
                <w:sz w:val="16"/>
              </w:rPr>
              <w:t>A = &gt;98%</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C</w:t>
            </w:r>
          </w:p>
        </w:tc>
        <w:tc>
          <w:tcPr>
            <w:tcW w:w="723" w:type="dxa"/>
            <w:shd w:val="pct15" w:color="auto" w:fill="FFFFFF"/>
          </w:tcPr>
          <w:p w:rsidR="00C37CBD" w:rsidRDefault="00C37CBD" w:rsidP="00D82603">
            <w:pPr>
              <w:keepNext/>
              <w:keepLines/>
            </w:pPr>
          </w:p>
        </w:tc>
        <w:tc>
          <w:tcPr>
            <w:tcW w:w="723" w:type="dxa"/>
            <w:tcBorders>
              <w:top w:val="single" w:sz="4" w:space="0" w:color="auto"/>
              <w:bottom w:val="single" w:sz="4" w:space="0" w:color="auto"/>
            </w:tcBorders>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IV = Critical</w:t>
            </w:r>
          </w:p>
        </w:tc>
        <w:tc>
          <w:tcPr>
            <w:tcW w:w="1608" w:type="dxa"/>
            <w:tcBorders>
              <w:top w:val="nil"/>
              <w:left w:val="nil"/>
              <w:bottom w:val="nil"/>
              <w:right w:val="nil"/>
            </w:tcBorders>
          </w:tcPr>
          <w:p w:rsidR="00C37CBD" w:rsidRDefault="00C37CBD" w:rsidP="00D82603">
            <w:pPr>
              <w:keepNext/>
              <w:keepLines/>
              <w:rPr>
                <w:sz w:val="16"/>
              </w:rPr>
            </w:pPr>
            <w:r>
              <w:rPr>
                <w:sz w:val="16"/>
              </w:rPr>
              <w:t>B = 75% - 97%</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D</w:t>
            </w:r>
          </w:p>
        </w:tc>
        <w:tc>
          <w:tcPr>
            <w:tcW w:w="723" w:type="dxa"/>
            <w:tcBorders>
              <w:bottom w:val="single" w:sz="4" w:space="0" w:color="auto"/>
            </w:tcBorders>
            <w:shd w:val="pct15" w:color="auto" w:fill="FFFFFF"/>
          </w:tcPr>
          <w:p w:rsidR="00C37CBD" w:rsidRDefault="00C37CBD" w:rsidP="00D82603">
            <w:pPr>
              <w:keepNext/>
              <w:keepLines/>
            </w:pPr>
          </w:p>
        </w:tc>
        <w:tc>
          <w:tcPr>
            <w:tcW w:w="723" w:type="dxa"/>
            <w:tcBorders>
              <w:top w:val="single" w:sz="4" w:space="0" w:color="auto"/>
            </w:tcBorders>
            <w:shd w:val="pct15" w:color="auto" w:fill="FFFFFF"/>
          </w:tcPr>
          <w:p w:rsidR="00C37CBD" w:rsidRDefault="00C37CBD" w:rsidP="00D82603">
            <w:pPr>
              <w:keepNext/>
              <w:keepLines/>
            </w:pPr>
          </w:p>
        </w:tc>
        <w:tc>
          <w:tcPr>
            <w:tcW w:w="724" w:type="dxa"/>
            <w:tcBorders>
              <w:top w:val="single" w:sz="4" w:space="0" w:color="auto"/>
              <w:bottom w:val="single" w:sz="4" w:space="0" w:color="auto"/>
            </w:tcBorders>
          </w:tcPr>
          <w:p w:rsidR="00C37CBD" w:rsidRDefault="00C37CBD" w:rsidP="00D82603">
            <w:pPr>
              <w:keepNext/>
              <w:keepLines/>
            </w:pPr>
          </w:p>
        </w:tc>
        <w:tc>
          <w:tcPr>
            <w:tcW w:w="723"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III = Significant</w:t>
            </w:r>
          </w:p>
        </w:tc>
        <w:tc>
          <w:tcPr>
            <w:tcW w:w="1608" w:type="dxa"/>
            <w:tcBorders>
              <w:top w:val="nil"/>
              <w:left w:val="nil"/>
              <w:bottom w:val="nil"/>
              <w:right w:val="nil"/>
            </w:tcBorders>
          </w:tcPr>
          <w:p w:rsidR="00C37CBD" w:rsidRDefault="00C37CBD" w:rsidP="00D82603">
            <w:pPr>
              <w:keepNext/>
              <w:keepLines/>
              <w:rPr>
                <w:sz w:val="16"/>
              </w:rPr>
            </w:pPr>
            <w:r>
              <w:rPr>
                <w:sz w:val="16"/>
              </w:rPr>
              <w:t>C = 50% - 74%</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E</w:t>
            </w:r>
          </w:p>
        </w:tc>
        <w:tc>
          <w:tcPr>
            <w:tcW w:w="723" w:type="dxa"/>
            <w:tcBorders>
              <w:bottom w:val="single" w:sz="4" w:space="0" w:color="auto"/>
            </w:tcBorders>
            <w:shd w:val="pct15" w:color="auto" w:fill="FFFFFF"/>
          </w:tcPr>
          <w:p w:rsidR="00C37CBD" w:rsidRDefault="00C37CBD" w:rsidP="00D82603">
            <w:pPr>
              <w:keepNext/>
              <w:keepLines/>
            </w:pPr>
          </w:p>
        </w:tc>
        <w:tc>
          <w:tcPr>
            <w:tcW w:w="723" w:type="dxa"/>
            <w:shd w:val="pct15" w:color="auto" w:fill="FFFFFF"/>
          </w:tcPr>
          <w:p w:rsidR="00C37CBD" w:rsidRDefault="00C37CBD" w:rsidP="00D82603">
            <w:pPr>
              <w:keepNext/>
              <w:keepLines/>
            </w:pPr>
          </w:p>
        </w:tc>
        <w:tc>
          <w:tcPr>
            <w:tcW w:w="724" w:type="dxa"/>
            <w:tcBorders>
              <w:bottom w:val="single" w:sz="4" w:space="0" w:color="auto"/>
            </w:tcBorders>
          </w:tcPr>
          <w:p w:rsidR="00C37CBD" w:rsidRDefault="00C37CBD" w:rsidP="00D82603">
            <w:pPr>
              <w:keepNext/>
              <w:keepLines/>
            </w:pPr>
          </w:p>
        </w:tc>
        <w:tc>
          <w:tcPr>
            <w:tcW w:w="723" w:type="dxa"/>
            <w:tcBorders>
              <w:top w:val="single" w:sz="4" w:space="0" w:color="auto"/>
              <w:right w:val="single" w:sz="4" w:space="0" w:color="auto"/>
            </w:tcBorders>
          </w:tcPr>
          <w:p w:rsidR="00C37CBD" w:rsidRDefault="00C37CBD" w:rsidP="00D82603">
            <w:pPr>
              <w:keepNext/>
              <w:keepLines/>
              <w:jc w:val="center"/>
            </w:pPr>
          </w:p>
        </w:tc>
        <w:tc>
          <w:tcPr>
            <w:tcW w:w="724" w:type="dxa"/>
            <w:tcBorders>
              <w:top w:val="single" w:sz="4" w:space="0" w:color="auto"/>
              <w:bottom w:val="single" w:sz="4" w:space="0" w:color="auto"/>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II = Marginal</w:t>
            </w:r>
          </w:p>
        </w:tc>
        <w:tc>
          <w:tcPr>
            <w:tcW w:w="1608" w:type="dxa"/>
            <w:tcBorders>
              <w:top w:val="nil"/>
              <w:left w:val="nil"/>
              <w:bottom w:val="nil"/>
              <w:right w:val="nil"/>
            </w:tcBorders>
          </w:tcPr>
          <w:p w:rsidR="00C37CBD" w:rsidRDefault="00C37CBD" w:rsidP="00D82603">
            <w:pPr>
              <w:keepNext/>
              <w:keepLines/>
              <w:rPr>
                <w:sz w:val="16"/>
              </w:rPr>
            </w:pPr>
            <w:r>
              <w:rPr>
                <w:sz w:val="16"/>
              </w:rPr>
              <w:t>D = 25% - 49%</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tcBorders>
          </w:tcPr>
          <w:p w:rsidR="00C37CBD" w:rsidRDefault="00C37CBD" w:rsidP="00D82603">
            <w:pPr>
              <w:keepNext/>
              <w:keepLines/>
            </w:pPr>
            <w:r>
              <w:t>F</w:t>
            </w:r>
          </w:p>
        </w:tc>
        <w:tc>
          <w:tcPr>
            <w:tcW w:w="723" w:type="dxa"/>
            <w:shd w:val="pct15" w:color="auto" w:fill="FFFFFF"/>
          </w:tcPr>
          <w:p w:rsidR="00C37CBD" w:rsidRDefault="00C37CBD" w:rsidP="00D82603">
            <w:pPr>
              <w:keepNext/>
              <w:keepLines/>
            </w:pPr>
          </w:p>
        </w:tc>
        <w:tc>
          <w:tcPr>
            <w:tcW w:w="723" w:type="dxa"/>
            <w:shd w:val="pct15" w:color="auto" w:fill="FFFFFF"/>
          </w:tcPr>
          <w:p w:rsidR="00C37CBD" w:rsidRDefault="00C37CBD" w:rsidP="00D82603">
            <w:pPr>
              <w:keepNext/>
              <w:keepLines/>
            </w:pPr>
          </w:p>
        </w:tc>
        <w:tc>
          <w:tcPr>
            <w:tcW w:w="724" w:type="dxa"/>
            <w:tcBorders>
              <w:top w:val="single" w:sz="4" w:space="0" w:color="auto"/>
            </w:tcBorders>
            <w:shd w:val="pct15" w:color="auto" w:fill="FFFFFF"/>
          </w:tcPr>
          <w:p w:rsidR="00C37CBD" w:rsidRDefault="00C37CBD" w:rsidP="00D82603">
            <w:pPr>
              <w:keepNext/>
              <w:keepLines/>
            </w:pPr>
          </w:p>
        </w:tc>
        <w:tc>
          <w:tcPr>
            <w:tcW w:w="723" w:type="dxa"/>
            <w:tcBorders>
              <w:right w:val="single" w:sz="4" w:space="0" w:color="auto"/>
            </w:tcBorders>
          </w:tcPr>
          <w:p w:rsidR="00C37CBD" w:rsidRDefault="00C37CBD" w:rsidP="00D82603">
            <w:pPr>
              <w:keepNext/>
              <w:keepLines/>
              <w:jc w:val="center"/>
            </w:pPr>
          </w:p>
        </w:tc>
        <w:tc>
          <w:tcPr>
            <w:tcW w:w="724" w:type="dxa"/>
            <w:tcBorders>
              <w:right w:val="single" w:sz="4" w:space="0" w:color="auto"/>
            </w:tcBorders>
          </w:tcPr>
          <w:p w:rsidR="00C37CBD" w:rsidRDefault="00C37CBD" w:rsidP="00D82603">
            <w:pPr>
              <w:keepNext/>
              <w:keepLines/>
              <w:jc w:val="center"/>
            </w:pPr>
          </w:p>
        </w:tc>
        <w:tc>
          <w:tcPr>
            <w:tcW w:w="1508" w:type="dxa"/>
            <w:tcBorders>
              <w:top w:val="nil"/>
              <w:left w:val="single" w:sz="4" w:space="0" w:color="auto"/>
              <w:bottom w:val="nil"/>
              <w:right w:val="nil"/>
            </w:tcBorders>
          </w:tcPr>
          <w:p w:rsidR="00C37CBD" w:rsidRDefault="00C37CBD" w:rsidP="00D82603">
            <w:pPr>
              <w:keepNext/>
              <w:keepLines/>
              <w:rPr>
                <w:sz w:val="16"/>
              </w:rPr>
            </w:pPr>
            <w:r>
              <w:rPr>
                <w:sz w:val="16"/>
              </w:rPr>
              <w:t>I = Negligible</w:t>
            </w:r>
          </w:p>
        </w:tc>
        <w:tc>
          <w:tcPr>
            <w:tcW w:w="1608" w:type="dxa"/>
            <w:tcBorders>
              <w:top w:val="nil"/>
              <w:left w:val="nil"/>
              <w:bottom w:val="nil"/>
              <w:right w:val="nil"/>
            </w:tcBorders>
          </w:tcPr>
          <w:p w:rsidR="00C37CBD" w:rsidRDefault="00C37CBD" w:rsidP="00D82603">
            <w:pPr>
              <w:keepNext/>
              <w:keepLines/>
              <w:rPr>
                <w:sz w:val="16"/>
              </w:rPr>
            </w:pPr>
            <w:r>
              <w:rPr>
                <w:sz w:val="16"/>
              </w:rPr>
              <w:t>E = 3% - 24%</w:t>
            </w:r>
          </w:p>
        </w:tc>
      </w:tr>
      <w:tr w:rsidR="00C37CBD" w:rsidTr="00D82603">
        <w:trPr>
          <w:cantSplit/>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52" w:type="dxa"/>
            <w:tcBorders>
              <w:left w:val="single" w:sz="4" w:space="0" w:color="auto"/>
              <w:bottom w:val="single" w:sz="4" w:space="0" w:color="auto"/>
            </w:tcBorders>
          </w:tcPr>
          <w:p w:rsidR="00C37CBD" w:rsidRDefault="00C37CBD" w:rsidP="00D82603">
            <w:pPr>
              <w:keepNext/>
              <w:keepLines/>
            </w:pPr>
          </w:p>
        </w:tc>
        <w:tc>
          <w:tcPr>
            <w:tcW w:w="723" w:type="dxa"/>
            <w:tcBorders>
              <w:bottom w:val="single" w:sz="4" w:space="0" w:color="auto"/>
            </w:tcBorders>
          </w:tcPr>
          <w:p w:rsidR="00C37CBD" w:rsidRDefault="00C37CBD" w:rsidP="00D82603">
            <w:pPr>
              <w:keepNext/>
              <w:keepLines/>
              <w:jc w:val="center"/>
            </w:pPr>
            <w:r>
              <w:t>I</w:t>
            </w:r>
          </w:p>
        </w:tc>
        <w:tc>
          <w:tcPr>
            <w:tcW w:w="723" w:type="dxa"/>
            <w:tcBorders>
              <w:bottom w:val="single" w:sz="4" w:space="0" w:color="auto"/>
            </w:tcBorders>
          </w:tcPr>
          <w:p w:rsidR="00C37CBD" w:rsidRDefault="00C37CBD" w:rsidP="00D82603">
            <w:pPr>
              <w:keepNext/>
              <w:keepLines/>
              <w:jc w:val="center"/>
            </w:pPr>
            <w:r>
              <w:t>II</w:t>
            </w:r>
          </w:p>
        </w:tc>
        <w:tc>
          <w:tcPr>
            <w:tcW w:w="724" w:type="dxa"/>
            <w:tcBorders>
              <w:bottom w:val="single" w:sz="4" w:space="0" w:color="auto"/>
            </w:tcBorders>
          </w:tcPr>
          <w:p w:rsidR="00C37CBD" w:rsidRDefault="00C37CBD" w:rsidP="00D82603">
            <w:pPr>
              <w:keepNext/>
              <w:keepLines/>
              <w:jc w:val="center"/>
            </w:pPr>
            <w:r>
              <w:t>III</w:t>
            </w:r>
          </w:p>
        </w:tc>
        <w:tc>
          <w:tcPr>
            <w:tcW w:w="723" w:type="dxa"/>
            <w:tcBorders>
              <w:bottom w:val="single" w:sz="4" w:space="0" w:color="auto"/>
              <w:right w:val="single" w:sz="4" w:space="0" w:color="auto"/>
            </w:tcBorders>
          </w:tcPr>
          <w:p w:rsidR="00C37CBD" w:rsidRDefault="00C37CBD" w:rsidP="00D82603">
            <w:pPr>
              <w:keepNext/>
              <w:keepLines/>
              <w:jc w:val="center"/>
            </w:pPr>
            <w:r>
              <w:t>IV</w:t>
            </w:r>
          </w:p>
        </w:tc>
        <w:tc>
          <w:tcPr>
            <w:tcW w:w="724" w:type="dxa"/>
            <w:tcBorders>
              <w:bottom w:val="single" w:sz="4" w:space="0" w:color="auto"/>
              <w:right w:val="single" w:sz="4" w:space="0" w:color="auto"/>
            </w:tcBorders>
          </w:tcPr>
          <w:p w:rsidR="00C37CBD" w:rsidRDefault="00C37CBD" w:rsidP="00D82603">
            <w:pPr>
              <w:keepNext/>
              <w:keepLines/>
              <w:jc w:val="center"/>
            </w:pPr>
            <w:r>
              <w:t>V</w:t>
            </w:r>
          </w:p>
        </w:tc>
        <w:tc>
          <w:tcPr>
            <w:tcW w:w="1508" w:type="dxa"/>
            <w:tcBorders>
              <w:top w:val="nil"/>
              <w:left w:val="single" w:sz="4" w:space="0" w:color="auto"/>
              <w:bottom w:val="nil"/>
              <w:right w:val="nil"/>
            </w:tcBorders>
          </w:tcPr>
          <w:p w:rsidR="00C37CBD" w:rsidRDefault="00C37CBD" w:rsidP="00D82603">
            <w:pPr>
              <w:keepNext/>
              <w:keepLines/>
            </w:pPr>
          </w:p>
        </w:tc>
        <w:tc>
          <w:tcPr>
            <w:tcW w:w="1608" w:type="dxa"/>
            <w:tcBorders>
              <w:top w:val="nil"/>
              <w:left w:val="nil"/>
              <w:bottom w:val="nil"/>
              <w:right w:val="nil"/>
            </w:tcBorders>
          </w:tcPr>
          <w:p w:rsidR="00C37CBD" w:rsidRDefault="00C37CBD" w:rsidP="00D82603">
            <w:pPr>
              <w:keepNext/>
              <w:keepLines/>
              <w:rPr>
                <w:sz w:val="16"/>
              </w:rPr>
            </w:pPr>
            <w:r>
              <w:rPr>
                <w:sz w:val="16"/>
              </w:rPr>
              <w:t xml:space="preserve">F = </w:t>
            </w:r>
            <w:r>
              <w:rPr>
                <w:spacing w:val="-8"/>
                <w:sz w:val="16"/>
              </w:rPr>
              <w:t xml:space="preserve"> &lt;2%</w:t>
            </w:r>
          </w:p>
        </w:tc>
      </w:tr>
      <w:tr w:rsidR="00C37CBD" w:rsidTr="00D82603">
        <w:trPr>
          <w:cantSplit/>
          <w:trHeight w:val="420"/>
        </w:trPr>
        <w:tc>
          <w:tcPr>
            <w:tcW w:w="645" w:type="dxa"/>
            <w:vMerge/>
            <w:tcBorders>
              <w:left w:val="single" w:sz="4" w:space="0" w:color="auto"/>
              <w:bottom w:val="single" w:sz="4" w:space="0" w:color="auto"/>
              <w:right w:val="single" w:sz="4" w:space="0" w:color="auto"/>
            </w:tcBorders>
          </w:tcPr>
          <w:p w:rsidR="00C37CBD" w:rsidRDefault="00C37CBD" w:rsidP="00D82603">
            <w:pPr>
              <w:keepNext/>
              <w:keepLines/>
            </w:pPr>
          </w:p>
        </w:tc>
        <w:tc>
          <w:tcPr>
            <w:tcW w:w="4069" w:type="dxa"/>
            <w:gridSpan w:val="6"/>
            <w:tcBorders>
              <w:left w:val="single" w:sz="4" w:space="0" w:color="auto"/>
              <w:bottom w:val="single" w:sz="4" w:space="0" w:color="auto"/>
              <w:right w:val="single" w:sz="4" w:space="0" w:color="auto"/>
            </w:tcBorders>
          </w:tcPr>
          <w:p w:rsidR="00C37CBD" w:rsidRDefault="00C37CBD" w:rsidP="00D82603">
            <w:pPr>
              <w:keepNext/>
              <w:keepLines/>
              <w:spacing w:before="40"/>
              <w:jc w:val="center"/>
              <w:rPr>
                <w:b/>
                <w:szCs w:val="22"/>
              </w:rPr>
            </w:pPr>
            <w:r>
              <w:rPr>
                <w:b/>
                <w:szCs w:val="22"/>
              </w:rPr>
              <w:t>Impact</w:t>
            </w:r>
          </w:p>
          <w:p w:rsidR="00C37CBD" w:rsidRDefault="00C37CBD" w:rsidP="00D82603">
            <w:pPr>
              <w:keepNext/>
              <w:keepLines/>
              <w:rPr>
                <w:b/>
                <w:sz w:val="20"/>
              </w:rPr>
            </w:pPr>
          </w:p>
        </w:tc>
        <w:tc>
          <w:tcPr>
            <w:tcW w:w="1508" w:type="dxa"/>
            <w:tcBorders>
              <w:top w:val="nil"/>
              <w:left w:val="single" w:sz="4" w:space="0" w:color="auto"/>
              <w:bottom w:val="nil"/>
              <w:right w:val="nil"/>
            </w:tcBorders>
          </w:tcPr>
          <w:p w:rsidR="00C37CBD" w:rsidRDefault="00C37CBD" w:rsidP="00D82603">
            <w:pPr>
              <w:keepNext/>
              <w:keepLines/>
            </w:pPr>
          </w:p>
        </w:tc>
        <w:tc>
          <w:tcPr>
            <w:tcW w:w="1608" w:type="dxa"/>
            <w:tcBorders>
              <w:top w:val="nil"/>
              <w:left w:val="nil"/>
              <w:bottom w:val="nil"/>
              <w:right w:val="nil"/>
            </w:tcBorders>
          </w:tcPr>
          <w:p w:rsidR="00C37CBD" w:rsidRDefault="00C37CBD" w:rsidP="00D82603">
            <w:pPr>
              <w:keepNext/>
              <w:keepLines/>
            </w:pPr>
          </w:p>
        </w:tc>
      </w:tr>
    </w:tbl>
    <w:p w:rsidR="00C37CBD" w:rsidRDefault="00C37CBD" w:rsidP="00C37CBD"/>
    <w:p w:rsidR="00C37CBD" w:rsidRDefault="005A3853" w:rsidP="00C37CBD">
      <w:pPr>
        <w:keepNext/>
        <w:ind w:left="1267" w:hanging="1267"/>
      </w:pPr>
      <w:r>
        <w:t>8</w:t>
      </w:r>
      <w:r w:rsidR="00C37CBD">
        <w:t>.</w:t>
      </w:r>
      <w:r w:rsidR="00C37CBD">
        <w:fldChar w:fldCharType="begin"/>
      </w:r>
      <w:r w:rsidR="00C37CBD">
        <w:instrText xml:space="preserve">  </w:instrText>
      </w:r>
      <w:r w:rsidR="00C37CBD">
        <w:fldChar w:fldCharType="end"/>
      </w:r>
      <w:r w:rsidR="00C37CBD">
        <w:tab/>
      </w:r>
      <w:r w:rsidR="00C37CBD">
        <w:rPr>
          <w:b/>
        </w:rPr>
        <w:t>Recommendation</w:t>
      </w:r>
    </w:p>
    <w:p w:rsidR="00C37CBD" w:rsidRDefault="00C37CBD" w:rsidP="00C37CBD">
      <w:pPr>
        <w:keepNext/>
        <w:ind w:left="1267" w:hanging="1267"/>
      </w:pPr>
      <w:r>
        <w:tab/>
      </w:r>
      <w:r>
        <w:tab/>
      </w:r>
    </w:p>
    <w:p w:rsidR="00C37CBD" w:rsidRDefault="00C37CBD" w:rsidP="00C37CBD">
      <w:pPr>
        <w:keepNext/>
        <w:ind w:left="1267" w:hanging="1267"/>
      </w:pPr>
      <w:r>
        <w:tab/>
        <w:t>To Council:</w:t>
      </w:r>
    </w:p>
    <w:p w:rsidR="00C37CBD" w:rsidRDefault="00C37CBD" w:rsidP="00C37CBD">
      <w:pPr>
        <w:keepNext/>
        <w:ind w:left="1267" w:hanging="1267"/>
      </w:pPr>
    </w:p>
    <w:p w:rsidR="0047247F" w:rsidRDefault="005A3853" w:rsidP="00AB0E6E">
      <w:pPr>
        <w:keepNext/>
        <w:tabs>
          <w:tab w:val="left" w:pos="567"/>
        </w:tabs>
        <w:ind w:left="1267" w:hanging="1267"/>
      </w:pPr>
      <w:r>
        <w:t>8</w:t>
      </w:r>
      <w:r w:rsidR="00C37CBD">
        <w:t xml:space="preserve">.1  </w:t>
      </w:r>
      <w:r w:rsidR="00C37CBD">
        <w:tab/>
      </w:r>
      <w:r w:rsidR="00C37CBD">
        <w:tab/>
        <w:t xml:space="preserve">That the following </w:t>
      </w:r>
      <w:r w:rsidR="002E3C59">
        <w:t>re</w:t>
      </w:r>
      <w:r w:rsidR="00735FB1">
        <w:t>venue</w:t>
      </w:r>
      <w:r w:rsidR="00BA4DBB">
        <w:t xml:space="preserve"> and capital budget</w:t>
      </w:r>
      <w:r w:rsidR="00C37CBD">
        <w:t xml:space="preserve"> variations be approved and incorporated into the three-year medium-term financial plan:-</w:t>
      </w:r>
    </w:p>
    <w:p w:rsidR="00B35FEB" w:rsidRDefault="00B35FEB" w:rsidP="00AB0E6E">
      <w:pPr>
        <w:keepNext/>
        <w:tabs>
          <w:tab w:val="left" w:pos="567"/>
        </w:tabs>
        <w:ind w:left="1267" w:hanging="1267"/>
      </w:pP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1134"/>
        <w:gridCol w:w="1134"/>
        <w:gridCol w:w="1134"/>
      </w:tblGrid>
      <w:tr w:rsidR="00B35FEB" w:rsidTr="009A6723">
        <w:tc>
          <w:tcPr>
            <w:tcW w:w="4394" w:type="dxa"/>
          </w:tcPr>
          <w:p w:rsidR="00B35FEB" w:rsidRDefault="00B35FEB" w:rsidP="009A6723">
            <w:pPr>
              <w:widowControl w:val="0"/>
              <w:jc w:val="center"/>
              <w:rPr>
                <w:sz w:val="20"/>
              </w:rPr>
            </w:pPr>
          </w:p>
          <w:p w:rsidR="00B35FEB" w:rsidRDefault="00B35FEB" w:rsidP="009A6723">
            <w:pPr>
              <w:widowControl w:val="0"/>
              <w:jc w:val="center"/>
              <w:rPr>
                <w:sz w:val="20"/>
              </w:rPr>
            </w:pPr>
            <w:r>
              <w:rPr>
                <w:sz w:val="20"/>
              </w:rPr>
              <w:t>Variance</w:t>
            </w:r>
          </w:p>
        </w:tc>
        <w:tc>
          <w:tcPr>
            <w:tcW w:w="1134" w:type="dxa"/>
            <w:tcBorders>
              <w:bottom w:val="single" w:sz="4" w:space="0" w:color="auto"/>
            </w:tcBorders>
          </w:tcPr>
          <w:p w:rsidR="00B35FEB" w:rsidRDefault="00B35FEB" w:rsidP="009A6723">
            <w:pPr>
              <w:widowControl w:val="0"/>
              <w:jc w:val="center"/>
              <w:rPr>
                <w:sz w:val="20"/>
              </w:rPr>
            </w:pPr>
            <w:r>
              <w:rPr>
                <w:sz w:val="20"/>
              </w:rPr>
              <w:t>2016/17</w:t>
            </w:r>
          </w:p>
          <w:p w:rsidR="00B35FEB" w:rsidRDefault="00B35FEB" w:rsidP="009A6723">
            <w:pPr>
              <w:widowControl w:val="0"/>
              <w:jc w:val="center"/>
              <w:rPr>
                <w:sz w:val="20"/>
              </w:rPr>
            </w:pPr>
            <w:r>
              <w:rPr>
                <w:sz w:val="20"/>
              </w:rPr>
              <w:t>£</w:t>
            </w:r>
          </w:p>
        </w:tc>
        <w:tc>
          <w:tcPr>
            <w:tcW w:w="1134" w:type="dxa"/>
            <w:tcBorders>
              <w:bottom w:val="single" w:sz="4" w:space="0" w:color="auto"/>
            </w:tcBorders>
          </w:tcPr>
          <w:p w:rsidR="00B35FEB" w:rsidRDefault="00B35FEB" w:rsidP="009A6723">
            <w:pPr>
              <w:widowControl w:val="0"/>
              <w:jc w:val="center"/>
              <w:rPr>
                <w:sz w:val="20"/>
              </w:rPr>
            </w:pPr>
            <w:r>
              <w:rPr>
                <w:sz w:val="20"/>
              </w:rPr>
              <w:t>2017/18</w:t>
            </w:r>
          </w:p>
          <w:p w:rsidR="00B35FEB" w:rsidRDefault="00B35FEB" w:rsidP="009A6723">
            <w:pPr>
              <w:widowControl w:val="0"/>
              <w:jc w:val="center"/>
              <w:rPr>
                <w:sz w:val="20"/>
              </w:rPr>
            </w:pPr>
            <w:r>
              <w:rPr>
                <w:sz w:val="20"/>
              </w:rPr>
              <w:t>£</w:t>
            </w:r>
          </w:p>
        </w:tc>
        <w:tc>
          <w:tcPr>
            <w:tcW w:w="1134" w:type="dxa"/>
            <w:tcBorders>
              <w:bottom w:val="single" w:sz="4" w:space="0" w:color="auto"/>
            </w:tcBorders>
          </w:tcPr>
          <w:p w:rsidR="00B35FEB" w:rsidRDefault="00B35FEB" w:rsidP="009A6723">
            <w:pPr>
              <w:widowControl w:val="0"/>
              <w:jc w:val="center"/>
              <w:rPr>
                <w:sz w:val="20"/>
              </w:rPr>
            </w:pPr>
            <w:r>
              <w:rPr>
                <w:sz w:val="20"/>
              </w:rPr>
              <w:t>2018/19</w:t>
            </w:r>
          </w:p>
          <w:p w:rsidR="00B35FEB" w:rsidRDefault="00B35FEB" w:rsidP="009A6723">
            <w:pPr>
              <w:widowControl w:val="0"/>
              <w:jc w:val="center"/>
              <w:rPr>
                <w:sz w:val="20"/>
              </w:rPr>
            </w:pPr>
            <w:r>
              <w:rPr>
                <w:sz w:val="20"/>
              </w:rPr>
              <w:t>£</w:t>
            </w:r>
          </w:p>
        </w:tc>
      </w:tr>
      <w:tr w:rsidR="00B35FEB" w:rsidTr="009A6723">
        <w:tc>
          <w:tcPr>
            <w:tcW w:w="4394" w:type="dxa"/>
          </w:tcPr>
          <w:p w:rsidR="00B35FEB" w:rsidRDefault="00B35FEB" w:rsidP="009A6723">
            <w:pPr>
              <w:widowControl w:val="0"/>
              <w:spacing w:before="60" w:after="60"/>
              <w:rPr>
                <w:sz w:val="20"/>
              </w:rPr>
            </w:pPr>
            <w:r w:rsidRPr="00466E0D">
              <w:rPr>
                <w:b/>
                <w:sz w:val="20"/>
              </w:rPr>
              <w:t>Revenue</w:t>
            </w:r>
            <w:r>
              <w:rPr>
                <w:b/>
                <w:sz w:val="20"/>
              </w:rPr>
              <w:t xml:space="preserve"> </w:t>
            </w:r>
            <w:r>
              <w:rPr>
                <w:sz w:val="20"/>
              </w:rPr>
              <w:t>- (Favourable )/ Unfavourable</w:t>
            </w:r>
          </w:p>
        </w:tc>
        <w:tc>
          <w:tcPr>
            <w:tcW w:w="1134" w:type="dxa"/>
            <w:shd w:val="clear" w:color="auto" w:fill="FFFFFF"/>
          </w:tcPr>
          <w:p w:rsidR="00B35FEB" w:rsidRPr="00C7625C" w:rsidRDefault="00B35FEB" w:rsidP="009A6723">
            <w:pPr>
              <w:widowControl w:val="0"/>
              <w:spacing w:before="60" w:after="60"/>
              <w:jc w:val="right"/>
              <w:rPr>
                <w:sz w:val="20"/>
              </w:rPr>
            </w:pPr>
            <w:r>
              <w:rPr>
                <w:sz w:val="20"/>
              </w:rPr>
              <w:t>74,660</w:t>
            </w:r>
          </w:p>
        </w:tc>
        <w:tc>
          <w:tcPr>
            <w:tcW w:w="1134" w:type="dxa"/>
            <w:shd w:val="clear" w:color="auto" w:fill="FFFFFF"/>
          </w:tcPr>
          <w:p w:rsidR="00B35FEB" w:rsidRPr="00C7625C" w:rsidRDefault="00B35FEB" w:rsidP="009A6723">
            <w:pPr>
              <w:widowControl w:val="0"/>
              <w:spacing w:before="60" w:after="60"/>
              <w:ind w:right="7"/>
              <w:jc w:val="right"/>
              <w:rPr>
                <w:sz w:val="20"/>
              </w:rPr>
            </w:pPr>
            <w:r>
              <w:rPr>
                <w:sz w:val="20"/>
              </w:rPr>
              <w:t>(13,950)</w:t>
            </w:r>
          </w:p>
        </w:tc>
        <w:tc>
          <w:tcPr>
            <w:tcW w:w="1134" w:type="dxa"/>
            <w:shd w:val="clear" w:color="auto" w:fill="FFFFFF"/>
          </w:tcPr>
          <w:p w:rsidR="00B35FEB" w:rsidRPr="00C7625C" w:rsidRDefault="00B35FEB" w:rsidP="009A6723">
            <w:pPr>
              <w:widowControl w:val="0"/>
              <w:spacing w:before="60" w:after="60"/>
              <w:ind w:right="7"/>
              <w:jc w:val="right"/>
              <w:rPr>
                <w:sz w:val="20"/>
              </w:rPr>
            </w:pPr>
            <w:r>
              <w:rPr>
                <w:sz w:val="20"/>
              </w:rPr>
              <w:t>(13,950)</w:t>
            </w:r>
          </w:p>
        </w:tc>
      </w:tr>
      <w:tr w:rsidR="00B35FEB" w:rsidTr="009A6723">
        <w:tc>
          <w:tcPr>
            <w:tcW w:w="4394" w:type="dxa"/>
          </w:tcPr>
          <w:p w:rsidR="00B35FEB" w:rsidRDefault="00B35FEB" w:rsidP="009A6723">
            <w:pPr>
              <w:widowControl w:val="0"/>
              <w:spacing w:before="60" w:after="60"/>
              <w:rPr>
                <w:sz w:val="20"/>
              </w:rPr>
            </w:pPr>
            <w:r>
              <w:rPr>
                <w:b/>
                <w:sz w:val="20"/>
              </w:rPr>
              <w:t>Capital</w:t>
            </w:r>
            <w:r>
              <w:rPr>
                <w:sz w:val="20"/>
              </w:rPr>
              <w:t xml:space="preserve"> - Increase / (Decrease)</w:t>
            </w:r>
          </w:p>
        </w:tc>
        <w:tc>
          <w:tcPr>
            <w:tcW w:w="1134" w:type="dxa"/>
            <w:shd w:val="clear" w:color="auto" w:fill="FFFFFF"/>
          </w:tcPr>
          <w:p w:rsidR="00B35FEB" w:rsidRPr="00C7625C" w:rsidRDefault="00B35FEB" w:rsidP="009A6723">
            <w:pPr>
              <w:widowControl w:val="0"/>
              <w:spacing w:before="60" w:after="60"/>
              <w:jc w:val="right"/>
              <w:rPr>
                <w:sz w:val="20"/>
              </w:rPr>
            </w:pPr>
            <w:r>
              <w:rPr>
                <w:sz w:val="20"/>
              </w:rPr>
              <w:t>0</w:t>
            </w:r>
          </w:p>
        </w:tc>
        <w:tc>
          <w:tcPr>
            <w:tcW w:w="1134" w:type="dxa"/>
            <w:shd w:val="clear" w:color="auto" w:fill="FFFFFF"/>
          </w:tcPr>
          <w:p w:rsidR="00B35FEB" w:rsidRPr="00C7625C" w:rsidRDefault="00B35FEB" w:rsidP="009A6723">
            <w:pPr>
              <w:widowControl w:val="0"/>
              <w:spacing w:before="60" w:after="60"/>
              <w:ind w:right="7"/>
              <w:jc w:val="right"/>
              <w:rPr>
                <w:sz w:val="20"/>
              </w:rPr>
            </w:pPr>
            <w:r>
              <w:rPr>
                <w:sz w:val="20"/>
              </w:rPr>
              <w:t>0</w:t>
            </w:r>
          </w:p>
        </w:tc>
        <w:tc>
          <w:tcPr>
            <w:tcW w:w="1134" w:type="dxa"/>
            <w:shd w:val="clear" w:color="auto" w:fill="FFFFFF"/>
          </w:tcPr>
          <w:p w:rsidR="00B35FEB" w:rsidRPr="00C7625C" w:rsidRDefault="00B35FEB" w:rsidP="009A6723">
            <w:pPr>
              <w:widowControl w:val="0"/>
              <w:spacing w:before="60" w:after="60"/>
              <w:ind w:right="7"/>
              <w:jc w:val="right"/>
              <w:rPr>
                <w:sz w:val="20"/>
              </w:rPr>
            </w:pPr>
            <w:r>
              <w:rPr>
                <w:sz w:val="20"/>
              </w:rPr>
              <w:t>0</w:t>
            </w:r>
          </w:p>
        </w:tc>
      </w:tr>
    </w:tbl>
    <w:p w:rsidR="00B35FEB" w:rsidRDefault="00B35FEB" w:rsidP="00B35FEB">
      <w:pPr>
        <w:keepNext/>
        <w:tabs>
          <w:tab w:val="clear" w:pos="1260"/>
        </w:tabs>
      </w:pPr>
      <w:r>
        <w:tab/>
      </w:r>
    </w:p>
    <w:p w:rsidR="00D972D6" w:rsidRDefault="00C37CBD" w:rsidP="00C37CBD">
      <w:r>
        <w:tab/>
      </w:r>
    </w:p>
    <w:p w:rsidR="00C37CBD" w:rsidRDefault="00D972D6" w:rsidP="00C37CBD">
      <w:r>
        <w:tab/>
      </w:r>
      <w:r w:rsidR="00C37CBD">
        <w:t>Report prepared by:</w:t>
      </w:r>
      <w:r w:rsidR="00C37CBD">
        <w:tab/>
      </w:r>
      <w:r w:rsidR="00BA4DBB">
        <w:t xml:space="preserve">Nigel Pollard </w:t>
      </w:r>
      <w:r w:rsidR="00C37CBD">
        <w:t xml:space="preserve">– </w:t>
      </w:r>
      <w:r w:rsidR="00BA4DBB">
        <w:t>Section Head (Accountancy)</w:t>
      </w:r>
    </w:p>
    <w:p w:rsidR="00C37CBD" w:rsidRDefault="00C37CBD" w:rsidP="00C37CBD">
      <w:r>
        <w:tab/>
      </w:r>
      <w:r>
        <w:fldChar w:fldCharType="begin"/>
      </w:r>
      <w:r>
        <w:instrText xml:space="preserve">  </w:instrText>
      </w:r>
      <w:r>
        <w:fldChar w:fldCharType="end"/>
      </w:r>
    </w:p>
    <w:p w:rsidR="00C37CBD" w:rsidRDefault="00C37CBD" w:rsidP="008E25BA">
      <w:pPr>
        <w:keepNext/>
        <w:ind w:left="1267" w:hanging="1267"/>
        <w:outlineLvl w:val="0"/>
        <w:rPr>
          <w:b/>
        </w:rPr>
      </w:pPr>
      <w:r>
        <w:tab/>
      </w:r>
      <w:r>
        <w:tab/>
      </w:r>
      <w:r>
        <w:rPr>
          <w:b/>
        </w:rPr>
        <w:t>Background Papers</w:t>
      </w:r>
    </w:p>
    <w:p w:rsidR="00C37CBD" w:rsidRDefault="00C37CBD" w:rsidP="00C37CBD">
      <w:pPr>
        <w:ind w:left="1260" w:hanging="1260"/>
      </w:pPr>
      <w:r>
        <w:rPr>
          <w:i/>
        </w:rPr>
        <w:tab/>
      </w:r>
      <w:r w:rsidR="008E25BA">
        <w:t>2015/16 Outturn report</w:t>
      </w:r>
    </w:p>
    <w:p w:rsidR="009D3B3E" w:rsidRDefault="009D3B3E" w:rsidP="00C37CBD">
      <w:pPr>
        <w:ind w:left="1260" w:hanging="1260"/>
      </w:pPr>
    </w:p>
    <w:p w:rsidR="00C37CBD" w:rsidRDefault="00C37CBD" w:rsidP="00C37CBD">
      <w:pPr>
        <w:ind w:left="1260" w:hanging="1260"/>
        <w:rPr>
          <w:b/>
        </w:rPr>
      </w:pPr>
      <w:r>
        <w:rPr>
          <w:b/>
          <w:i/>
          <w:sz w:val="26"/>
        </w:rPr>
        <w:tab/>
      </w:r>
      <w:r>
        <w:rPr>
          <w:b/>
        </w:rPr>
        <w:t xml:space="preserve">APPENDICES </w:t>
      </w:r>
    </w:p>
    <w:p w:rsidR="00C37CBD" w:rsidRDefault="00C37CBD" w:rsidP="00C37CBD">
      <w:pPr>
        <w:keepNext/>
        <w:ind w:left="1259" w:hanging="1259"/>
      </w:pPr>
    </w:p>
    <w:p w:rsidR="00BE1B3A" w:rsidRDefault="00C37CBD" w:rsidP="00A81F67">
      <w:pPr>
        <w:keepNext/>
        <w:ind w:left="1259" w:hanging="1259"/>
      </w:pPr>
      <w:r>
        <w:tab/>
      </w:r>
      <w:r w:rsidR="00BE1B3A">
        <w:tab/>
        <w:t xml:space="preserve">Appendix </w:t>
      </w:r>
      <w:r w:rsidR="00A81F67">
        <w:t>1</w:t>
      </w:r>
      <w:r w:rsidR="00BE1B3A">
        <w:t xml:space="preserve"> – Medium Term Revenue Budgets by Committee</w:t>
      </w:r>
      <w:r w:rsidR="00BE1B3A">
        <w:tab/>
      </w:r>
      <w:r w:rsidR="00AF634A">
        <w:t xml:space="preserve"> (2016 - 2019)</w:t>
      </w:r>
    </w:p>
    <w:p w:rsidR="00C37CBD" w:rsidRDefault="00C37CBD" w:rsidP="00C37CBD">
      <w:r>
        <w:tab/>
      </w:r>
      <w:r w:rsidR="00A86E60">
        <w:t xml:space="preserve">Appendix </w:t>
      </w:r>
      <w:r w:rsidR="00A81F67">
        <w:t>2</w:t>
      </w:r>
      <w:r>
        <w:t xml:space="preserve"> – Explanation of Revenue Variances</w:t>
      </w:r>
      <w:r w:rsidR="00A86E60">
        <w:t xml:space="preserve"> reported this Period</w:t>
      </w:r>
      <w:r w:rsidR="00735FB1">
        <w:t xml:space="preserve">  </w:t>
      </w:r>
    </w:p>
    <w:p w:rsidR="007D79C9" w:rsidRDefault="00C37CBD" w:rsidP="00C37CBD">
      <w:pPr>
        <w:pStyle w:val="BodyTextIndent"/>
      </w:pPr>
      <w:r>
        <w:tab/>
      </w:r>
      <w:r w:rsidR="007D79C9">
        <w:tab/>
        <w:t xml:space="preserve">Appendix </w:t>
      </w:r>
      <w:r w:rsidR="00A81F67">
        <w:t xml:space="preserve">3 </w:t>
      </w:r>
      <w:r w:rsidR="007D79C9">
        <w:t xml:space="preserve">– </w:t>
      </w:r>
      <w:r w:rsidR="00E37DDC">
        <w:t xml:space="preserve">Key </w:t>
      </w:r>
      <w:r w:rsidR="00B636C7">
        <w:t xml:space="preserve">Budget </w:t>
      </w:r>
      <w:r w:rsidR="00E37DDC">
        <w:t>Indicators</w:t>
      </w:r>
      <w:r w:rsidR="00B636C7">
        <w:t xml:space="preserve"> – Income Streams</w:t>
      </w:r>
    </w:p>
    <w:p w:rsidR="00E37DDC" w:rsidRDefault="00E37DDC" w:rsidP="00E37DDC">
      <w:pPr>
        <w:pStyle w:val="BodyTextIndent"/>
      </w:pPr>
      <w:r>
        <w:tab/>
        <w:t xml:space="preserve">Appendix </w:t>
      </w:r>
      <w:r w:rsidR="00A81F67">
        <w:t>4</w:t>
      </w:r>
      <w:r>
        <w:t xml:space="preserve"> – Budgetary Risks</w:t>
      </w:r>
    </w:p>
    <w:p w:rsidR="00E37DDC" w:rsidRDefault="00C37CBD" w:rsidP="00E37DDC">
      <w:pPr>
        <w:pStyle w:val="BodyTextIndent"/>
      </w:pPr>
      <w:r>
        <w:tab/>
      </w:r>
      <w:r w:rsidR="00A86E60">
        <w:t xml:space="preserve">Appendix </w:t>
      </w:r>
      <w:r w:rsidR="00A81F67">
        <w:t>5</w:t>
      </w:r>
      <w:r>
        <w:t xml:space="preserve"> – Medium Term Capital </w:t>
      </w:r>
      <w:r w:rsidR="00A86E60">
        <w:t>Investment Programme</w:t>
      </w:r>
      <w:r w:rsidR="00735FB1">
        <w:t xml:space="preserve"> </w:t>
      </w:r>
      <w:r w:rsidR="00AF634A">
        <w:t>(2016 - 2019)</w:t>
      </w:r>
    </w:p>
    <w:p w:rsidR="007A6308" w:rsidRDefault="00C37CBD" w:rsidP="00AF634A">
      <w:pPr>
        <w:pStyle w:val="BodyTextIndent"/>
      </w:pPr>
      <w:r>
        <w:tab/>
      </w:r>
      <w:r w:rsidR="00B54EDF">
        <w:t xml:space="preserve">Appendix </w:t>
      </w:r>
      <w:r w:rsidR="00A81F67">
        <w:t>6</w:t>
      </w:r>
      <w:r w:rsidR="00B54EDF">
        <w:t xml:space="preserve"> </w:t>
      </w:r>
      <w:r>
        <w:t xml:space="preserve">– </w:t>
      </w:r>
      <w:r w:rsidR="00AF634A">
        <w:t>Funding the Capital</w:t>
      </w:r>
      <w:r>
        <w:t xml:space="preserve"> </w:t>
      </w:r>
      <w:r w:rsidR="00AF634A">
        <w:t>Programme (2016 - 2019)</w:t>
      </w:r>
      <w:r w:rsidR="00991A84">
        <w:tab/>
      </w:r>
      <w:r w:rsidR="00BE1B3A">
        <w:tab/>
      </w:r>
    </w:p>
    <w:sectPr w:rsidR="007A6308" w:rsidSect="005D4B2F">
      <w:footerReference w:type="default" r:id="rId10"/>
      <w:pgSz w:w="11909" w:h="16834" w:code="9"/>
      <w:pgMar w:top="1077" w:right="1077" w:bottom="794"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A2" w:rsidRDefault="00511EA2">
      <w:r>
        <w:separator/>
      </w:r>
    </w:p>
  </w:endnote>
  <w:endnote w:type="continuationSeparator" w:id="0">
    <w:p w:rsidR="00511EA2" w:rsidRDefault="0051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7D9" w:rsidRDefault="00C917D9">
    <w:pPr>
      <w:pStyle w:val="Footer"/>
      <w:tabs>
        <w:tab w:val="clear" w:pos="4153"/>
        <w:tab w:val="clear" w:pos="8306"/>
        <w:tab w:val="center" w:pos="4680"/>
        <w:tab w:val="right" w:pos="9090"/>
      </w:tabs>
      <w:rPr>
        <w:sz w:val="16"/>
      </w:rPr>
    </w:pPr>
  </w:p>
  <w:p w:rsidR="00C917D9" w:rsidRDefault="00C917D9" w:rsidP="006C56FB">
    <w:pPr>
      <w:pStyle w:val="Footer"/>
      <w:tabs>
        <w:tab w:val="clear" w:pos="4153"/>
        <w:tab w:val="clear" w:pos="8306"/>
        <w:tab w:val="center" w:pos="4680"/>
        <w:tab w:val="right" w:pos="9090"/>
      </w:tabs>
    </w:pPr>
    <w:r>
      <w:rPr>
        <w:sz w:val="16"/>
      </w:rPr>
      <w:fldChar w:fldCharType="begin"/>
    </w:r>
    <w:r>
      <w:rPr>
        <w:sz w:val="16"/>
      </w:rPr>
      <w:instrText xml:space="preserve"> FILENAME  \* Lower \p  \* MERGEFORMAT </w:instrText>
    </w:r>
    <w:r>
      <w:rPr>
        <w:sz w:val="16"/>
      </w:rPr>
      <w:fldChar w:fldCharType="separate"/>
    </w:r>
    <w:r w:rsidR="00262878">
      <w:rPr>
        <w:noProof/>
        <w:sz w:val="16"/>
      </w:rPr>
      <w:t>w:\budgets and budget monitoring\budget monitoring 2016 -2017\trdc\policy &amp; resources committee report q1 (april to june 2016).docx</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A2" w:rsidRDefault="00511EA2">
      <w:r>
        <w:separator/>
      </w:r>
    </w:p>
  </w:footnote>
  <w:footnote w:type="continuationSeparator" w:id="0">
    <w:p w:rsidR="00511EA2" w:rsidRDefault="0051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hint="default"/>
      </w:rPr>
    </w:lvl>
    <w:lvl w:ilvl="1">
      <w:start w:val="1"/>
      <w:numFmt w:val="decimal"/>
      <w:lvlText w:val="%1.%2"/>
      <w:lvlJc w:val="left"/>
      <w:pPr>
        <w:tabs>
          <w:tab w:val="num" w:pos="1230"/>
        </w:tabs>
        <w:ind w:left="1230" w:hanging="1230"/>
      </w:pPr>
      <w:rPr>
        <w:rFonts w:hint="default"/>
      </w:rPr>
    </w:lvl>
    <w:lvl w:ilvl="2">
      <w:start w:val="1"/>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5F1920"/>
    <w:multiLevelType w:val="multilevel"/>
    <w:tmpl w:val="095C5F14"/>
    <w:lvl w:ilvl="0">
      <w:start w:val="4"/>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1D5B66"/>
    <w:multiLevelType w:val="multilevel"/>
    <w:tmpl w:val="5094A83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9C525C"/>
    <w:multiLevelType w:val="hybridMultilevel"/>
    <w:tmpl w:val="D0CA7D64"/>
    <w:lvl w:ilvl="0" w:tplc="8DA453F2">
      <w:start w:val="7"/>
      <w:numFmt w:val="decimal"/>
      <w:lvlText w:val="%1."/>
      <w:lvlJc w:val="left"/>
      <w:pPr>
        <w:tabs>
          <w:tab w:val="num" w:pos="1260"/>
        </w:tabs>
        <w:ind w:left="1260" w:hanging="1260"/>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5">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nsid w:val="2F3134F7"/>
    <w:multiLevelType w:val="multilevel"/>
    <w:tmpl w:val="5A54BFEE"/>
    <w:lvl w:ilvl="0">
      <w:start w:val="4"/>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D7310F"/>
    <w:multiLevelType w:val="multilevel"/>
    <w:tmpl w:val="821A9BA0"/>
    <w:lvl w:ilvl="0">
      <w:start w:val="2"/>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195B16"/>
    <w:multiLevelType w:val="multilevel"/>
    <w:tmpl w:val="3BCC8CE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54E0F24"/>
    <w:multiLevelType w:val="multilevel"/>
    <w:tmpl w:val="15DE6374"/>
    <w:lvl w:ilvl="0">
      <w:start w:val="6"/>
      <w:numFmt w:val="decimal"/>
      <w:lvlText w:val="%1"/>
      <w:lvlJc w:val="left"/>
      <w:pPr>
        <w:tabs>
          <w:tab w:val="num" w:pos="1290"/>
        </w:tabs>
        <w:ind w:left="1290" w:hanging="1290"/>
      </w:pPr>
      <w:rPr>
        <w:rFonts w:hint="default"/>
        <w:b w:val="0"/>
        <w:i w:val="0"/>
      </w:rPr>
    </w:lvl>
    <w:lvl w:ilvl="1">
      <w:start w:val="4"/>
      <w:numFmt w:val="decimal"/>
      <w:lvlText w:val="%1.%2"/>
      <w:lvlJc w:val="left"/>
      <w:pPr>
        <w:tabs>
          <w:tab w:val="num" w:pos="1290"/>
        </w:tabs>
        <w:ind w:left="1290" w:hanging="1290"/>
      </w:pPr>
      <w:rPr>
        <w:rFonts w:hint="default"/>
        <w:b w:val="0"/>
        <w:i w:val="0"/>
      </w:rPr>
    </w:lvl>
    <w:lvl w:ilvl="2">
      <w:start w:val="1"/>
      <w:numFmt w:val="decimal"/>
      <w:lvlText w:val="%1.%2.%3"/>
      <w:lvlJc w:val="left"/>
      <w:pPr>
        <w:tabs>
          <w:tab w:val="num" w:pos="1290"/>
        </w:tabs>
        <w:ind w:left="1290" w:hanging="1290"/>
      </w:pPr>
      <w:rPr>
        <w:rFonts w:hint="default"/>
        <w:b w:val="0"/>
        <w:i w:val="0"/>
      </w:rPr>
    </w:lvl>
    <w:lvl w:ilvl="3">
      <w:start w:val="1"/>
      <w:numFmt w:val="decimal"/>
      <w:lvlText w:val="%1.%2.%3.%4"/>
      <w:lvlJc w:val="left"/>
      <w:pPr>
        <w:tabs>
          <w:tab w:val="num" w:pos="1290"/>
        </w:tabs>
        <w:ind w:left="1290" w:hanging="1290"/>
      </w:pPr>
      <w:rPr>
        <w:rFonts w:hint="default"/>
        <w:b w:val="0"/>
        <w:i w:val="0"/>
      </w:rPr>
    </w:lvl>
    <w:lvl w:ilvl="4">
      <w:start w:val="1"/>
      <w:numFmt w:val="decimal"/>
      <w:lvlText w:val="%1.%2.%3.%4.%5"/>
      <w:lvlJc w:val="left"/>
      <w:pPr>
        <w:tabs>
          <w:tab w:val="num" w:pos="1290"/>
        </w:tabs>
        <w:ind w:left="1290" w:hanging="1290"/>
      </w:pPr>
      <w:rPr>
        <w:rFonts w:hint="default"/>
        <w:b w:val="0"/>
        <w:i w:val="0"/>
      </w:rPr>
    </w:lvl>
    <w:lvl w:ilvl="5">
      <w:start w:val="1"/>
      <w:numFmt w:val="decimal"/>
      <w:lvlText w:val="%1.%2.%3.%4.%5.%6"/>
      <w:lvlJc w:val="left"/>
      <w:pPr>
        <w:tabs>
          <w:tab w:val="num" w:pos="1290"/>
        </w:tabs>
        <w:ind w:left="1290" w:hanging="129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10">
    <w:nsid w:val="52A2574D"/>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3912103"/>
    <w:multiLevelType w:val="multilevel"/>
    <w:tmpl w:val="25F6C982"/>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9CB028D"/>
    <w:multiLevelType w:val="multilevel"/>
    <w:tmpl w:val="3162064E"/>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cs="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cs="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cs="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14">
    <w:nsid w:val="64BC58EE"/>
    <w:multiLevelType w:val="multilevel"/>
    <w:tmpl w:val="E8128488"/>
    <w:lvl w:ilvl="0">
      <w:start w:val="6"/>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6D30864"/>
    <w:multiLevelType w:val="multilevel"/>
    <w:tmpl w:val="353E0F8A"/>
    <w:lvl w:ilvl="0">
      <w:start w:val="7"/>
      <w:numFmt w:val="decimal"/>
      <w:lvlText w:val="%1"/>
      <w:lvlJc w:val="left"/>
      <w:pPr>
        <w:tabs>
          <w:tab w:val="num" w:pos="1245"/>
        </w:tabs>
        <w:ind w:left="1245" w:hanging="1245"/>
      </w:pPr>
      <w:rPr>
        <w:rFonts w:hint="default"/>
      </w:rPr>
    </w:lvl>
    <w:lvl w:ilvl="1">
      <w:start w:val="2"/>
      <w:numFmt w:val="decimal"/>
      <w:lvlText w:val="%1.%2"/>
      <w:lvlJc w:val="left"/>
      <w:pPr>
        <w:tabs>
          <w:tab w:val="num" w:pos="1245"/>
        </w:tabs>
        <w:ind w:left="1245" w:hanging="1245"/>
      </w:pPr>
      <w:rPr>
        <w:rFonts w:hint="default"/>
      </w:rPr>
    </w:lvl>
    <w:lvl w:ilvl="2">
      <w:start w:val="1"/>
      <w:numFmt w:val="decimal"/>
      <w:lvlText w:val="%1.%2.%3"/>
      <w:lvlJc w:val="left"/>
      <w:pPr>
        <w:tabs>
          <w:tab w:val="num" w:pos="1245"/>
        </w:tabs>
        <w:ind w:left="1245" w:hanging="1245"/>
      </w:pPr>
      <w:rPr>
        <w:rFonts w:hint="default"/>
      </w:rPr>
    </w:lvl>
    <w:lvl w:ilvl="3">
      <w:start w:val="1"/>
      <w:numFmt w:val="decimal"/>
      <w:lvlText w:val="%1.%2.%3.%4"/>
      <w:lvlJc w:val="left"/>
      <w:pPr>
        <w:tabs>
          <w:tab w:val="num" w:pos="1245"/>
        </w:tabs>
        <w:ind w:left="1245" w:hanging="1245"/>
      </w:pPr>
      <w:rPr>
        <w:rFonts w:hint="default"/>
      </w:rPr>
    </w:lvl>
    <w:lvl w:ilvl="4">
      <w:start w:val="1"/>
      <w:numFmt w:val="decimal"/>
      <w:lvlText w:val="%1.%2.%3.%4.%5"/>
      <w:lvlJc w:val="left"/>
      <w:pPr>
        <w:tabs>
          <w:tab w:val="num" w:pos="1245"/>
        </w:tabs>
        <w:ind w:left="1245" w:hanging="1245"/>
      </w:pPr>
      <w:rPr>
        <w:rFonts w:hint="default"/>
      </w:rPr>
    </w:lvl>
    <w:lvl w:ilvl="5">
      <w:start w:val="1"/>
      <w:numFmt w:val="decimal"/>
      <w:lvlText w:val="%1.%2.%3.%4.%5.%6"/>
      <w:lvlJc w:val="left"/>
      <w:pPr>
        <w:tabs>
          <w:tab w:val="num" w:pos="1245"/>
        </w:tabs>
        <w:ind w:left="1245" w:hanging="124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94F3F7B"/>
    <w:multiLevelType w:val="multilevel"/>
    <w:tmpl w:val="7FE0380E"/>
    <w:lvl w:ilvl="0">
      <w:start w:val="2"/>
      <w:numFmt w:val="decimal"/>
      <w:lvlText w:val="%1."/>
      <w:lvlJc w:val="left"/>
      <w:pPr>
        <w:tabs>
          <w:tab w:val="num" w:pos="1260"/>
        </w:tabs>
        <w:ind w:left="1260" w:hanging="1260"/>
      </w:pPr>
      <w:rPr>
        <w:rFonts w:hint="default"/>
        <w:b w:val="0"/>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6F8F21D7"/>
    <w:multiLevelType w:val="hybridMultilevel"/>
    <w:tmpl w:val="DAA0BE0C"/>
    <w:lvl w:ilvl="0" w:tplc="0F523B72">
      <w:start w:val="9"/>
      <w:numFmt w:val="decimal"/>
      <w:lvlText w:val="%1"/>
      <w:lvlJc w:val="left"/>
      <w:pPr>
        <w:tabs>
          <w:tab w:val="num" w:pos="1620"/>
        </w:tabs>
        <w:ind w:left="1620" w:hanging="12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num w:numId="1">
    <w:abstractNumId w:val="8"/>
  </w:num>
  <w:num w:numId="2">
    <w:abstractNumId w:val="0"/>
  </w:num>
  <w:num w:numId="3">
    <w:abstractNumId w:val="6"/>
  </w:num>
  <w:num w:numId="4">
    <w:abstractNumId w:val="12"/>
  </w:num>
  <w:num w:numId="5">
    <w:abstractNumId w:val="14"/>
  </w:num>
  <w:num w:numId="6">
    <w:abstractNumId w:val="5"/>
  </w:num>
  <w:num w:numId="7">
    <w:abstractNumId w:val="18"/>
  </w:num>
  <w:num w:numId="8">
    <w:abstractNumId w:val="13"/>
  </w:num>
  <w:num w:numId="9">
    <w:abstractNumId w:val="2"/>
  </w:num>
  <w:num w:numId="10">
    <w:abstractNumId w:val="17"/>
  </w:num>
  <w:num w:numId="11">
    <w:abstractNumId w:val="4"/>
  </w:num>
  <w:num w:numId="12">
    <w:abstractNumId w:val="10"/>
  </w:num>
  <w:num w:numId="13">
    <w:abstractNumId w:val="15"/>
  </w:num>
  <w:num w:numId="14">
    <w:abstractNumId w:val="3"/>
  </w:num>
  <w:num w:numId="15">
    <w:abstractNumId w:val="16"/>
  </w:num>
  <w:num w:numId="16">
    <w:abstractNumId w:val="9"/>
  </w:num>
  <w:num w:numId="17">
    <w:abstractNumId w:val="11"/>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715D"/>
    <w:rsid w:val="000101DE"/>
    <w:rsid w:val="00011910"/>
    <w:rsid w:val="00012B4D"/>
    <w:rsid w:val="00033470"/>
    <w:rsid w:val="00043BB1"/>
    <w:rsid w:val="000503BE"/>
    <w:rsid w:val="00057939"/>
    <w:rsid w:val="00063A57"/>
    <w:rsid w:val="00064D88"/>
    <w:rsid w:val="0006506B"/>
    <w:rsid w:val="00066FBC"/>
    <w:rsid w:val="0007504B"/>
    <w:rsid w:val="00082385"/>
    <w:rsid w:val="00090943"/>
    <w:rsid w:val="00094FAF"/>
    <w:rsid w:val="000A03A7"/>
    <w:rsid w:val="000A068B"/>
    <w:rsid w:val="000C31DE"/>
    <w:rsid w:val="000C3A9F"/>
    <w:rsid w:val="000E7A74"/>
    <w:rsid w:val="000E7EDD"/>
    <w:rsid w:val="000F1D74"/>
    <w:rsid w:val="000F256E"/>
    <w:rsid w:val="000F504C"/>
    <w:rsid w:val="00103611"/>
    <w:rsid w:val="001174FB"/>
    <w:rsid w:val="00123374"/>
    <w:rsid w:val="001342E3"/>
    <w:rsid w:val="001402B6"/>
    <w:rsid w:val="00157B4D"/>
    <w:rsid w:val="00157D77"/>
    <w:rsid w:val="0016063E"/>
    <w:rsid w:val="00162512"/>
    <w:rsid w:val="001712A5"/>
    <w:rsid w:val="00172723"/>
    <w:rsid w:val="00174BF2"/>
    <w:rsid w:val="00175D6A"/>
    <w:rsid w:val="00180711"/>
    <w:rsid w:val="00181F47"/>
    <w:rsid w:val="00185A50"/>
    <w:rsid w:val="00194A36"/>
    <w:rsid w:val="001B7AF5"/>
    <w:rsid w:val="001C7314"/>
    <w:rsid w:val="001D686A"/>
    <w:rsid w:val="001E131D"/>
    <w:rsid w:val="001E23B7"/>
    <w:rsid w:val="001E267B"/>
    <w:rsid w:val="001F2DCD"/>
    <w:rsid w:val="001F6B14"/>
    <w:rsid w:val="00201E01"/>
    <w:rsid w:val="00211467"/>
    <w:rsid w:val="002121C2"/>
    <w:rsid w:val="002139D0"/>
    <w:rsid w:val="002145A5"/>
    <w:rsid w:val="00221ADD"/>
    <w:rsid w:val="00223DAB"/>
    <w:rsid w:val="002247E5"/>
    <w:rsid w:val="002366EB"/>
    <w:rsid w:val="002401C9"/>
    <w:rsid w:val="002407C7"/>
    <w:rsid w:val="00241330"/>
    <w:rsid w:val="00241768"/>
    <w:rsid w:val="00242CB6"/>
    <w:rsid w:val="0025081B"/>
    <w:rsid w:val="002549FA"/>
    <w:rsid w:val="002569C7"/>
    <w:rsid w:val="00262878"/>
    <w:rsid w:val="00270B0E"/>
    <w:rsid w:val="002748D1"/>
    <w:rsid w:val="00274C92"/>
    <w:rsid w:val="00291B05"/>
    <w:rsid w:val="002A370A"/>
    <w:rsid w:val="002A3958"/>
    <w:rsid w:val="002A7D4F"/>
    <w:rsid w:val="002C63AD"/>
    <w:rsid w:val="002E2E3E"/>
    <w:rsid w:val="002E3C59"/>
    <w:rsid w:val="002E7886"/>
    <w:rsid w:val="002F4EB2"/>
    <w:rsid w:val="002F5AE2"/>
    <w:rsid w:val="003012EC"/>
    <w:rsid w:val="00302A53"/>
    <w:rsid w:val="003050FB"/>
    <w:rsid w:val="0033530D"/>
    <w:rsid w:val="0033559B"/>
    <w:rsid w:val="003479CD"/>
    <w:rsid w:val="00347B82"/>
    <w:rsid w:val="00347DAE"/>
    <w:rsid w:val="00361612"/>
    <w:rsid w:val="00383E7C"/>
    <w:rsid w:val="003872DF"/>
    <w:rsid w:val="003900B1"/>
    <w:rsid w:val="003A0093"/>
    <w:rsid w:val="003A19C3"/>
    <w:rsid w:val="003A4354"/>
    <w:rsid w:val="003A4A12"/>
    <w:rsid w:val="003A6D76"/>
    <w:rsid w:val="003A7356"/>
    <w:rsid w:val="003B2191"/>
    <w:rsid w:val="003C5059"/>
    <w:rsid w:val="003C51EE"/>
    <w:rsid w:val="003C770B"/>
    <w:rsid w:val="003D05AD"/>
    <w:rsid w:val="003D5D0F"/>
    <w:rsid w:val="003D6D10"/>
    <w:rsid w:val="003D7268"/>
    <w:rsid w:val="003E3B1F"/>
    <w:rsid w:val="003E467B"/>
    <w:rsid w:val="003E7878"/>
    <w:rsid w:val="003F25C0"/>
    <w:rsid w:val="004079BD"/>
    <w:rsid w:val="00410DC5"/>
    <w:rsid w:val="0041297B"/>
    <w:rsid w:val="0041439F"/>
    <w:rsid w:val="00416E27"/>
    <w:rsid w:val="00420328"/>
    <w:rsid w:val="00422721"/>
    <w:rsid w:val="00423EFE"/>
    <w:rsid w:val="0044131D"/>
    <w:rsid w:val="00443572"/>
    <w:rsid w:val="00445C93"/>
    <w:rsid w:val="00460B64"/>
    <w:rsid w:val="00466E0D"/>
    <w:rsid w:val="0047247F"/>
    <w:rsid w:val="004763C3"/>
    <w:rsid w:val="00476939"/>
    <w:rsid w:val="00493DA5"/>
    <w:rsid w:val="00497005"/>
    <w:rsid w:val="004A049C"/>
    <w:rsid w:val="004A084D"/>
    <w:rsid w:val="004B6E0C"/>
    <w:rsid w:val="004C0913"/>
    <w:rsid w:val="004C3CAC"/>
    <w:rsid w:val="004E0CF7"/>
    <w:rsid w:val="004E28C7"/>
    <w:rsid w:val="004E3356"/>
    <w:rsid w:val="004F170A"/>
    <w:rsid w:val="004F43EC"/>
    <w:rsid w:val="00506122"/>
    <w:rsid w:val="0050624E"/>
    <w:rsid w:val="00511EA2"/>
    <w:rsid w:val="00533E34"/>
    <w:rsid w:val="00533F4B"/>
    <w:rsid w:val="005624BC"/>
    <w:rsid w:val="00562EAF"/>
    <w:rsid w:val="00566676"/>
    <w:rsid w:val="0058112B"/>
    <w:rsid w:val="0059031D"/>
    <w:rsid w:val="005A1298"/>
    <w:rsid w:val="005A1A4C"/>
    <w:rsid w:val="005A3853"/>
    <w:rsid w:val="005A6E91"/>
    <w:rsid w:val="005C4D71"/>
    <w:rsid w:val="005C50CD"/>
    <w:rsid w:val="005C5E36"/>
    <w:rsid w:val="005C6487"/>
    <w:rsid w:val="005D4B2F"/>
    <w:rsid w:val="005E56BF"/>
    <w:rsid w:val="006009BC"/>
    <w:rsid w:val="006034D7"/>
    <w:rsid w:val="00603CD0"/>
    <w:rsid w:val="006239CF"/>
    <w:rsid w:val="006302B0"/>
    <w:rsid w:val="00630ACD"/>
    <w:rsid w:val="00635316"/>
    <w:rsid w:val="006368E4"/>
    <w:rsid w:val="0064113D"/>
    <w:rsid w:val="0064734C"/>
    <w:rsid w:val="00654EF3"/>
    <w:rsid w:val="00655575"/>
    <w:rsid w:val="0067012B"/>
    <w:rsid w:val="00672056"/>
    <w:rsid w:val="00672E45"/>
    <w:rsid w:val="00674638"/>
    <w:rsid w:val="00681A92"/>
    <w:rsid w:val="0068645D"/>
    <w:rsid w:val="00691060"/>
    <w:rsid w:val="006A527B"/>
    <w:rsid w:val="006B2BAC"/>
    <w:rsid w:val="006B3AE2"/>
    <w:rsid w:val="006B4297"/>
    <w:rsid w:val="006B540F"/>
    <w:rsid w:val="006C56FB"/>
    <w:rsid w:val="006E177E"/>
    <w:rsid w:val="006E45D3"/>
    <w:rsid w:val="006E632E"/>
    <w:rsid w:val="006F11CA"/>
    <w:rsid w:val="006F4E91"/>
    <w:rsid w:val="0070178D"/>
    <w:rsid w:val="007178AB"/>
    <w:rsid w:val="007200AD"/>
    <w:rsid w:val="00723156"/>
    <w:rsid w:val="00735BCD"/>
    <w:rsid w:val="00735FB1"/>
    <w:rsid w:val="00746B23"/>
    <w:rsid w:val="0076278F"/>
    <w:rsid w:val="00767AC9"/>
    <w:rsid w:val="007874F2"/>
    <w:rsid w:val="00787626"/>
    <w:rsid w:val="0079114D"/>
    <w:rsid w:val="00791C20"/>
    <w:rsid w:val="00791E82"/>
    <w:rsid w:val="00795002"/>
    <w:rsid w:val="007A341F"/>
    <w:rsid w:val="007A6308"/>
    <w:rsid w:val="007A6EB9"/>
    <w:rsid w:val="007A73BD"/>
    <w:rsid w:val="007B0F7D"/>
    <w:rsid w:val="007B7E20"/>
    <w:rsid w:val="007C6399"/>
    <w:rsid w:val="007C6FF1"/>
    <w:rsid w:val="007D358E"/>
    <w:rsid w:val="007D79C9"/>
    <w:rsid w:val="007E0F9B"/>
    <w:rsid w:val="007F2FA5"/>
    <w:rsid w:val="0080035B"/>
    <w:rsid w:val="00805D0F"/>
    <w:rsid w:val="00817073"/>
    <w:rsid w:val="0082055F"/>
    <w:rsid w:val="00821BA0"/>
    <w:rsid w:val="00822AB3"/>
    <w:rsid w:val="00830031"/>
    <w:rsid w:val="00842B6A"/>
    <w:rsid w:val="00845C3A"/>
    <w:rsid w:val="0084617F"/>
    <w:rsid w:val="00855830"/>
    <w:rsid w:val="00863115"/>
    <w:rsid w:val="00865F33"/>
    <w:rsid w:val="00876667"/>
    <w:rsid w:val="00876E9D"/>
    <w:rsid w:val="00883E7B"/>
    <w:rsid w:val="00885C90"/>
    <w:rsid w:val="00890A8C"/>
    <w:rsid w:val="008A256E"/>
    <w:rsid w:val="008B0D83"/>
    <w:rsid w:val="008C34B4"/>
    <w:rsid w:val="008C36E6"/>
    <w:rsid w:val="008C3FEE"/>
    <w:rsid w:val="008C45E6"/>
    <w:rsid w:val="008D4B88"/>
    <w:rsid w:val="008D7310"/>
    <w:rsid w:val="008E25BA"/>
    <w:rsid w:val="008E3563"/>
    <w:rsid w:val="008E7DD4"/>
    <w:rsid w:val="008F0D11"/>
    <w:rsid w:val="008F0EA1"/>
    <w:rsid w:val="008F3F3B"/>
    <w:rsid w:val="008F556A"/>
    <w:rsid w:val="008F6E38"/>
    <w:rsid w:val="009017AE"/>
    <w:rsid w:val="009343E5"/>
    <w:rsid w:val="00937648"/>
    <w:rsid w:val="00953D77"/>
    <w:rsid w:val="00957837"/>
    <w:rsid w:val="00957B8D"/>
    <w:rsid w:val="00967D4A"/>
    <w:rsid w:val="00973A82"/>
    <w:rsid w:val="00984D78"/>
    <w:rsid w:val="00991A84"/>
    <w:rsid w:val="009B30AD"/>
    <w:rsid w:val="009C64F1"/>
    <w:rsid w:val="009D17AD"/>
    <w:rsid w:val="009D27CD"/>
    <w:rsid w:val="009D3B3E"/>
    <w:rsid w:val="009D73E0"/>
    <w:rsid w:val="009E0C43"/>
    <w:rsid w:val="009E26E9"/>
    <w:rsid w:val="009E562E"/>
    <w:rsid w:val="009E6E9F"/>
    <w:rsid w:val="009F7DD0"/>
    <w:rsid w:val="00A0517B"/>
    <w:rsid w:val="00A10843"/>
    <w:rsid w:val="00A270EF"/>
    <w:rsid w:val="00A36804"/>
    <w:rsid w:val="00A574AA"/>
    <w:rsid w:val="00A63729"/>
    <w:rsid w:val="00A6630B"/>
    <w:rsid w:val="00A71B45"/>
    <w:rsid w:val="00A71EF3"/>
    <w:rsid w:val="00A74F6D"/>
    <w:rsid w:val="00A76CA7"/>
    <w:rsid w:val="00A81F67"/>
    <w:rsid w:val="00A83A63"/>
    <w:rsid w:val="00A84074"/>
    <w:rsid w:val="00A84C7A"/>
    <w:rsid w:val="00A86E60"/>
    <w:rsid w:val="00A90948"/>
    <w:rsid w:val="00A93140"/>
    <w:rsid w:val="00AA2E1F"/>
    <w:rsid w:val="00AA3912"/>
    <w:rsid w:val="00AB0AE0"/>
    <w:rsid w:val="00AB0E6E"/>
    <w:rsid w:val="00AB3176"/>
    <w:rsid w:val="00AB5497"/>
    <w:rsid w:val="00AC06BE"/>
    <w:rsid w:val="00AC3ABB"/>
    <w:rsid w:val="00AC4831"/>
    <w:rsid w:val="00AE594E"/>
    <w:rsid w:val="00AF634A"/>
    <w:rsid w:val="00B00F86"/>
    <w:rsid w:val="00B02DB8"/>
    <w:rsid w:val="00B05CFC"/>
    <w:rsid w:val="00B16B34"/>
    <w:rsid w:val="00B247C3"/>
    <w:rsid w:val="00B25D25"/>
    <w:rsid w:val="00B25D9A"/>
    <w:rsid w:val="00B35C27"/>
    <w:rsid w:val="00B35FEB"/>
    <w:rsid w:val="00B362EA"/>
    <w:rsid w:val="00B43E0C"/>
    <w:rsid w:val="00B47E54"/>
    <w:rsid w:val="00B54EDF"/>
    <w:rsid w:val="00B57823"/>
    <w:rsid w:val="00B57CE5"/>
    <w:rsid w:val="00B636C7"/>
    <w:rsid w:val="00B676C3"/>
    <w:rsid w:val="00B7181D"/>
    <w:rsid w:val="00B722A6"/>
    <w:rsid w:val="00B75474"/>
    <w:rsid w:val="00B76515"/>
    <w:rsid w:val="00B779BB"/>
    <w:rsid w:val="00B81B2C"/>
    <w:rsid w:val="00B81DBB"/>
    <w:rsid w:val="00B879CB"/>
    <w:rsid w:val="00BA4783"/>
    <w:rsid w:val="00BA4DBB"/>
    <w:rsid w:val="00BB5D1B"/>
    <w:rsid w:val="00BC1434"/>
    <w:rsid w:val="00BC5BFF"/>
    <w:rsid w:val="00BC63BA"/>
    <w:rsid w:val="00BD36CD"/>
    <w:rsid w:val="00BD37AD"/>
    <w:rsid w:val="00BE056D"/>
    <w:rsid w:val="00BE1B3A"/>
    <w:rsid w:val="00BE4FC7"/>
    <w:rsid w:val="00BF0ED5"/>
    <w:rsid w:val="00BF7203"/>
    <w:rsid w:val="00C03279"/>
    <w:rsid w:val="00C11983"/>
    <w:rsid w:val="00C257E9"/>
    <w:rsid w:val="00C333A7"/>
    <w:rsid w:val="00C34151"/>
    <w:rsid w:val="00C34BE9"/>
    <w:rsid w:val="00C35F8B"/>
    <w:rsid w:val="00C37CBD"/>
    <w:rsid w:val="00C42DD6"/>
    <w:rsid w:val="00C46A80"/>
    <w:rsid w:val="00C47004"/>
    <w:rsid w:val="00C567D1"/>
    <w:rsid w:val="00C63202"/>
    <w:rsid w:val="00C63536"/>
    <w:rsid w:val="00C6469C"/>
    <w:rsid w:val="00C73882"/>
    <w:rsid w:val="00C7735E"/>
    <w:rsid w:val="00C8154B"/>
    <w:rsid w:val="00C81C40"/>
    <w:rsid w:val="00C917D9"/>
    <w:rsid w:val="00CA59C1"/>
    <w:rsid w:val="00CB1A5B"/>
    <w:rsid w:val="00CB1AB7"/>
    <w:rsid w:val="00CB2CA2"/>
    <w:rsid w:val="00CB595C"/>
    <w:rsid w:val="00CD3615"/>
    <w:rsid w:val="00CD6865"/>
    <w:rsid w:val="00CE2EF7"/>
    <w:rsid w:val="00CF1033"/>
    <w:rsid w:val="00CF2935"/>
    <w:rsid w:val="00CF3D9A"/>
    <w:rsid w:val="00D10432"/>
    <w:rsid w:val="00D179A8"/>
    <w:rsid w:val="00D2402D"/>
    <w:rsid w:val="00D2553C"/>
    <w:rsid w:val="00D27EFC"/>
    <w:rsid w:val="00D30152"/>
    <w:rsid w:val="00D30DF4"/>
    <w:rsid w:val="00D34427"/>
    <w:rsid w:val="00D34C39"/>
    <w:rsid w:val="00D5228A"/>
    <w:rsid w:val="00D66D72"/>
    <w:rsid w:val="00D740F8"/>
    <w:rsid w:val="00D80395"/>
    <w:rsid w:val="00D82603"/>
    <w:rsid w:val="00D93C83"/>
    <w:rsid w:val="00D949C0"/>
    <w:rsid w:val="00D9566C"/>
    <w:rsid w:val="00D972D6"/>
    <w:rsid w:val="00D97B2B"/>
    <w:rsid w:val="00DA642C"/>
    <w:rsid w:val="00DA68C3"/>
    <w:rsid w:val="00DB14F9"/>
    <w:rsid w:val="00DB5192"/>
    <w:rsid w:val="00DC4791"/>
    <w:rsid w:val="00DD486A"/>
    <w:rsid w:val="00DE7D1F"/>
    <w:rsid w:val="00DF073A"/>
    <w:rsid w:val="00DF1C0A"/>
    <w:rsid w:val="00DF64E2"/>
    <w:rsid w:val="00E01F01"/>
    <w:rsid w:val="00E1056D"/>
    <w:rsid w:val="00E13790"/>
    <w:rsid w:val="00E23A25"/>
    <w:rsid w:val="00E255D7"/>
    <w:rsid w:val="00E30AA8"/>
    <w:rsid w:val="00E310F4"/>
    <w:rsid w:val="00E31FD4"/>
    <w:rsid w:val="00E34AFC"/>
    <w:rsid w:val="00E37DDC"/>
    <w:rsid w:val="00E462B2"/>
    <w:rsid w:val="00E5034C"/>
    <w:rsid w:val="00E52857"/>
    <w:rsid w:val="00E5712E"/>
    <w:rsid w:val="00E573E2"/>
    <w:rsid w:val="00E57855"/>
    <w:rsid w:val="00E828E7"/>
    <w:rsid w:val="00E9688B"/>
    <w:rsid w:val="00EB66D3"/>
    <w:rsid w:val="00EC4A4F"/>
    <w:rsid w:val="00EC67E2"/>
    <w:rsid w:val="00ED53FA"/>
    <w:rsid w:val="00ED5837"/>
    <w:rsid w:val="00EE72F8"/>
    <w:rsid w:val="00EF1B00"/>
    <w:rsid w:val="00F0377C"/>
    <w:rsid w:val="00F04C17"/>
    <w:rsid w:val="00F075B3"/>
    <w:rsid w:val="00F10F30"/>
    <w:rsid w:val="00F12C1E"/>
    <w:rsid w:val="00F17085"/>
    <w:rsid w:val="00F20195"/>
    <w:rsid w:val="00F3256B"/>
    <w:rsid w:val="00F33A9D"/>
    <w:rsid w:val="00F366C1"/>
    <w:rsid w:val="00F4144B"/>
    <w:rsid w:val="00F425AD"/>
    <w:rsid w:val="00F4341A"/>
    <w:rsid w:val="00F47FBC"/>
    <w:rsid w:val="00F62956"/>
    <w:rsid w:val="00F62C05"/>
    <w:rsid w:val="00F6577F"/>
    <w:rsid w:val="00F80B47"/>
    <w:rsid w:val="00F85C79"/>
    <w:rsid w:val="00F9393D"/>
    <w:rsid w:val="00F93D21"/>
    <w:rsid w:val="00F9724C"/>
    <w:rsid w:val="00FA096C"/>
    <w:rsid w:val="00FA3202"/>
    <w:rsid w:val="00FA699C"/>
    <w:rsid w:val="00FB1318"/>
    <w:rsid w:val="00FB6FF5"/>
    <w:rsid w:val="00FC3B05"/>
    <w:rsid w:val="00FD020F"/>
    <w:rsid w:val="00FD294E"/>
    <w:rsid w:val="00FD48B6"/>
    <w:rsid w:val="00FE2932"/>
    <w:rsid w:val="00FE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F3D9A"/>
    <w:rPr>
      <w:color w:val="0000FF"/>
      <w:u w:val="single"/>
    </w:rPr>
  </w:style>
  <w:style w:type="character" w:styleId="FollowedHyperlink">
    <w:name w:val="FollowedHyperlink"/>
    <w:basedOn w:val="DefaultParagraphFont"/>
    <w:rsid w:val="00F3256B"/>
    <w:rPr>
      <w:color w:val="0000FF"/>
      <w:u w:val="single"/>
    </w:rPr>
  </w:style>
  <w:style w:type="paragraph" w:customStyle="1" w:styleId="paragraphstyle3">
    <w:name w:val="paragraph_style_3"/>
    <w:basedOn w:val="Normal"/>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rsid w:val="00603CD0"/>
    <w:pPr>
      <w:tabs>
        <w:tab w:val="left" w:pos="1260"/>
        <w:tab w:val="left" w:pos="1980"/>
        <w:tab w:val="left" w:pos="2700"/>
        <w:tab w:val="left" w:pos="3420"/>
      </w:tabs>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AB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Original budget</c:v>
                </c:pt>
              </c:strCache>
            </c:strRef>
          </c:tx>
          <c:cat>
            <c:strRef>
              <c:f>Sheet1!$A$2:$A$6</c:f>
              <c:strCache>
                <c:ptCount val="5"/>
                <c:pt idx="0">
                  <c:v>0</c:v>
                </c:pt>
                <c:pt idx="1">
                  <c:v>Quarter 1</c:v>
                </c:pt>
                <c:pt idx="2">
                  <c:v>Quarter 2</c:v>
                </c:pt>
                <c:pt idx="3">
                  <c:v>Quarter 3</c:v>
                </c:pt>
                <c:pt idx="4">
                  <c:v>Quarter 4</c:v>
                </c:pt>
              </c:strCache>
            </c:strRef>
          </c:cat>
          <c:val>
            <c:numRef>
              <c:f>Sheet1!$B$2:$B$6</c:f>
              <c:numCache>
                <c:formatCode>General</c:formatCode>
                <c:ptCount val="5"/>
                <c:pt idx="0">
                  <c:v>10.775</c:v>
                </c:pt>
                <c:pt idx="1">
                  <c:v>10.775</c:v>
                </c:pt>
                <c:pt idx="2">
                  <c:v>10.775</c:v>
                </c:pt>
                <c:pt idx="3">
                  <c:v>10.775</c:v>
                </c:pt>
                <c:pt idx="4">
                  <c:v>10.775</c:v>
                </c:pt>
              </c:numCache>
            </c:numRef>
          </c:val>
          <c:smooth val="0"/>
        </c:ser>
        <c:ser>
          <c:idx val="1"/>
          <c:order val="1"/>
          <c:tx>
            <c:strRef>
              <c:f>Sheet1!$C$1</c:f>
              <c:strCache>
                <c:ptCount val="1"/>
                <c:pt idx="0">
                  <c:v>Latest Approved Budget</c:v>
                </c:pt>
              </c:strCache>
            </c:strRef>
          </c:tx>
          <c:spPr>
            <a:ln>
              <a:prstDash val="dash"/>
            </a:ln>
          </c:spPr>
          <c:dPt>
            <c:idx val="0"/>
            <c:bubble3D val="0"/>
            <c:spPr>
              <a:ln>
                <a:prstDash val="solid"/>
              </a:ln>
            </c:spPr>
          </c:dPt>
          <c:dPt>
            <c:idx val="1"/>
            <c:bubble3D val="0"/>
            <c:spPr>
              <a:ln>
                <a:prstDash val="solid"/>
              </a:ln>
            </c:spPr>
          </c:dPt>
          <c:cat>
            <c:strRef>
              <c:f>Sheet1!$A$2:$A$6</c:f>
              <c:strCache>
                <c:ptCount val="5"/>
                <c:pt idx="0">
                  <c:v>0</c:v>
                </c:pt>
                <c:pt idx="1">
                  <c:v>Quarter 1</c:v>
                </c:pt>
                <c:pt idx="2">
                  <c:v>Quarter 2</c:v>
                </c:pt>
                <c:pt idx="3">
                  <c:v>Quarter 3</c:v>
                </c:pt>
                <c:pt idx="4">
                  <c:v>Quarter 4</c:v>
                </c:pt>
              </c:strCache>
            </c:strRef>
          </c:cat>
          <c:val>
            <c:numRef>
              <c:f>Sheet1!$C$2:$C$6</c:f>
              <c:numCache>
                <c:formatCode>General</c:formatCode>
                <c:ptCount val="5"/>
                <c:pt idx="0">
                  <c:v>10.775</c:v>
                </c:pt>
                <c:pt idx="1">
                  <c:v>11.182</c:v>
                </c:pt>
                <c:pt idx="2">
                  <c:v>11.182</c:v>
                </c:pt>
                <c:pt idx="3">
                  <c:v>11.182</c:v>
                </c:pt>
                <c:pt idx="4">
                  <c:v>11.182</c:v>
                </c:pt>
              </c:numCache>
            </c:numRef>
          </c:val>
          <c:smooth val="0"/>
        </c:ser>
        <c:ser>
          <c:idx val="2"/>
          <c:order val="2"/>
          <c:tx>
            <c:strRef>
              <c:f>Sheet1!$D$1</c:f>
              <c:strCache>
                <c:ptCount val="1"/>
                <c:pt idx="0">
                  <c:v>Forecast Outtrun</c:v>
                </c:pt>
              </c:strCache>
            </c:strRef>
          </c:tx>
          <c:dPt>
            <c:idx val="2"/>
            <c:bubble3D val="0"/>
            <c:spPr>
              <a:ln>
                <a:prstDash val="dash"/>
              </a:ln>
            </c:spPr>
          </c:dPt>
          <c:dPt>
            <c:idx val="3"/>
            <c:bubble3D val="0"/>
            <c:spPr>
              <a:ln>
                <a:prstDash val="dash"/>
              </a:ln>
            </c:spPr>
          </c:dPt>
          <c:dPt>
            <c:idx val="4"/>
            <c:bubble3D val="0"/>
            <c:spPr>
              <a:ln>
                <a:prstDash val="dash"/>
              </a:ln>
            </c:spPr>
          </c:dPt>
          <c:cat>
            <c:strRef>
              <c:f>Sheet1!$A$2:$A$6</c:f>
              <c:strCache>
                <c:ptCount val="5"/>
                <c:pt idx="0">
                  <c:v>0</c:v>
                </c:pt>
                <c:pt idx="1">
                  <c:v>Quarter 1</c:v>
                </c:pt>
                <c:pt idx="2">
                  <c:v>Quarter 2</c:v>
                </c:pt>
                <c:pt idx="3">
                  <c:v>Quarter 3</c:v>
                </c:pt>
                <c:pt idx="4">
                  <c:v>Quarter 4</c:v>
                </c:pt>
              </c:strCache>
            </c:strRef>
          </c:cat>
          <c:val>
            <c:numRef>
              <c:f>Sheet1!$D$2:$D$6</c:f>
              <c:numCache>
                <c:formatCode>General</c:formatCode>
                <c:ptCount val="5"/>
                <c:pt idx="0">
                  <c:v>10.775</c:v>
                </c:pt>
                <c:pt idx="1">
                  <c:v>11.257</c:v>
                </c:pt>
                <c:pt idx="2">
                  <c:v>11.257</c:v>
                </c:pt>
                <c:pt idx="3">
                  <c:v>11.257</c:v>
                </c:pt>
                <c:pt idx="4">
                  <c:v>11.257</c:v>
                </c:pt>
              </c:numCache>
            </c:numRef>
          </c:val>
          <c:smooth val="0"/>
        </c:ser>
        <c:dLbls>
          <c:showLegendKey val="0"/>
          <c:showVal val="0"/>
          <c:showCatName val="0"/>
          <c:showSerName val="0"/>
          <c:showPercent val="0"/>
          <c:showBubbleSize val="0"/>
        </c:dLbls>
        <c:marker val="1"/>
        <c:smooth val="0"/>
        <c:axId val="104939520"/>
        <c:axId val="119709696"/>
      </c:lineChart>
      <c:catAx>
        <c:axId val="104939520"/>
        <c:scaling>
          <c:orientation val="minMax"/>
        </c:scaling>
        <c:delete val="0"/>
        <c:axPos val="b"/>
        <c:majorTickMark val="out"/>
        <c:minorTickMark val="none"/>
        <c:tickLblPos val="nextTo"/>
        <c:crossAx val="119709696"/>
        <c:crosses val="autoZero"/>
        <c:auto val="1"/>
        <c:lblAlgn val="ctr"/>
        <c:lblOffset val="100"/>
        <c:noMultiLvlLbl val="0"/>
      </c:catAx>
      <c:valAx>
        <c:axId val="119709696"/>
        <c:scaling>
          <c:orientation val="minMax"/>
          <c:min val="10"/>
        </c:scaling>
        <c:delete val="0"/>
        <c:axPos val="l"/>
        <c:majorGridlines>
          <c:spPr>
            <a:ln>
              <a:prstDash val="dash"/>
            </a:ln>
          </c:spPr>
        </c:majorGridlines>
        <c:numFmt formatCode="General" sourceLinked="1"/>
        <c:majorTickMark val="out"/>
        <c:minorTickMark val="none"/>
        <c:tickLblPos val="nextTo"/>
        <c:crossAx val="10493952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6B8BD-F9A6-4752-9307-D85E9434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4</Pages>
  <Words>1143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7535</CharactersWithSpaces>
  <SharedDoc>false</SharedDoc>
  <HLinks>
    <vt:vector size="12" baseType="variant">
      <vt:variant>
        <vt:i4>5177441</vt:i4>
      </vt:variant>
      <vt:variant>
        <vt:i4>17</vt:i4>
      </vt:variant>
      <vt:variant>
        <vt:i4>0</vt:i4>
      </vt:variant>
      <vt:variant>
        <vt:i4>5</vt:i4>
      </vt:variant>
      <vt:variant>
        <vt:lpwstr>mailto:accountancy.practice@threerivers.gov.uk</vt:lpwstr>
      </vt:variant>
      <vt:variant>
        <vt:lpwstr/>
      </vt:variant>
      <vt:variant>
        <vt:i4>3080231</vt:i4>
      </vt:variant>
      <vt:variant>
        <vt:i4>12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Bob Watson</cp:lastModifiedBy>
  <cp:revision>63</cp:revision>
  <cp:lastPrinted>2016-07-08T15:28:00Z</cp:lastPrinted>
  <dcterms:created xsi:type="dcterms:W3CDTF">2016-06-29T13:47:00Z</dcterms:created>
  <dcterms:modified xsi:type="dcterms:W3CDTF">2016-07-12T11:03:00Z</dcterms:modified>
</cp:coreProperties>
</file>