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8F" w:rsidRPr="008D2D93" w:rsidRDefault="007C0F52" w:rsidP="008D2D93">
      <w:pPr>
        <w:pStyle w:val="Heading1"/>
        <w:jc w:val="center"/>
        <w:rPr>
          <w:b/>
        </w:rPr>
      </w:pPr>
      <w:r w:rsidRPr="008D2D93">
        <w:rPr>
          <w:b/>
        </w:rPr>
        <w:fldChar w:fldCharType="begin"/>
      </w:r>
      <w:r w:rsidRPr="008D2D93">
        <w:rPr>
          <w:b/>
        </w:rPr>
        <w:instrText xml:space="preserve">  </w:instrText>
      </w:r>
      <w:r w:rsidRPr="008D2D93">
        <w:rPr>
          <w:b/>
        </w:rPr>
        <w:fldChar w:fldCharType="end"/>
      </w:r>
      <w:r w:rsidRPr="008D2D93">
        <w:rPr>
          <w:b/>
        </w:rPr>
        <w:fldChar w:fldCharType="begin"/>
      </w:r>
      <w:r w:rsidRPr="008D2D93">
        <w:rPr>
          <w:b/>
        </w:rPr>
        <w:instrText xml:space="preserve">  </w:instrText>
      </w:r>
      <w:r w:rsidRPr="008D2D93">
        <w:rPr>
          <w:b/>
        </w:rPr>
        <w:fldChar w:fldCharType="end"/>
      </w:r>
      <w:r w:rsidR="006223E6" w:rsidRPr="008D2D93">
        <w:rPr>
          <w:b/>
        </w:rPr>
        <w:t>AUDIT</w:t>
      </w:r>
      <w:r w:rsidRPr="008D2D93">
        <w:rPr>
          <w:b/>
        </w:rPr>
        <w:t xml:space="preserve"> COMMITTEE </w:t>
      </w:r>
      <w:r w:rsidR="006223E6" w:rsidRPr="008D2D93">
        <w:rPr>
          <w:b/>
        </w:rPr>
        <w:t>–</w:t>
      </w:r>
      <w:r w:rsidRPr="008D2D93">
        <w:rPr>
          <w:b/>
        </w:rPr>
        <w:t xml:space="preserve"> </w:t>
      </w:r>
      <w:r w:rsidR="009971F5" w:rsidRPr="008D2D93">
        <w:rPr>
          <w:b/>
        </w:rPr>
        <w:t>20 MARCH 2018</w:t>
      </w:r>
    </w:p>
    <w:p w:rsidR="007C0F52" w:rsidRPr="008D2D93" w:rsidRDefault="007C0F52" w:rsidP="008D2D93">
      <w:pPr>
        <w:pStyle w:val="Heading1"/>
        <w:jc w:val="center"/>
        <w:rPr>
          <w:b/>
        </w:rPr>
      </w:pPr>
    </w:p>
    <w:p w:rsidR="00EB128F" w:rsidRPr="008D2D93" w:rsidRDefault="007C0F52" w:rsidP="008D2D93">
      <w:pPr>
        <w:pStyle w:val="Heading1"/>
        <w:jc w:val="center"/>
        <w:rPr>
          <w:b/>
        </w:rPr>
      </w:pPr>
      <w:r w:rsidRPr="008D2D93">
        <w:rPr>
          <w:b/>
        </w:rPr>
        <w:t xml:space="preserve">PART </w:t>
      </w:r>
      <w:r w:rsidRPr="008D2D93">
        <w:rPr>
          <w:b/>
        </w:rPr>
        <w:fldChar w:fldCharType="begin"/>
      </w:r>
      <w:r w:rsidRPr="008D2D93">
        <w:rPr>
          <w:b/>
        </w:rPr>
        <w:instrText xml:space="preserve">  </w:instrText>
      </w:r>
      <w:r w:rsidRPr="008D2D93">
        <w:rPr>
          <w:b/>
        </w:rPr>
        <w:fldChar w:fldCharType="end"/>
      </w:r>
      <w:r w:rsidRPr="008D2D93">
        <w:rPr>
          <w:b/>
        </w:rPr>
        <w:t xml:space="preserve">I </w:t>
      </w:r>
      <w:r w:rsidR="00EB128F" w:rsidRPr="008D2D93">
        <w:rPr>
          <w:b/>
        </w:rPr>
        <w:t>–</w:t>
      </w:r>
      <w:r w:rsidRPr="008D2D93">
        <w:rPr>
          <w:b/>
        </w:rPr>
        <w:t xml:space="preserve"> </w:t>
      </w:r>
      <w:r w:rsidRPr="008D2D93">
        <w:rPr>
          <w:b/>
        </w:rPr>
        <w:fldChar w:fldCharType="begin"/>
      </w:r>
      <w:r w:rsidRPr="008D2D93">
        <w:rPr>
          <w:b/>
        </w:rPr>
        <w:instrText xml:space="preserve">  </w:instrText>
      </w:r>
      <w:r w:rsidRPr="008D2D93">
        <w:rPr>
          <w:b/>
        </w:rPr>
        <w:fldChar w:fldCharType="end"/>
      </w:r>
      <w:r w:rsidRPr="008D2D93">
        <w:rPr>
          <w:b/>
        </w:rPr>
        <w:t>DELEGATED</w:t>
      </w:r>
    </w:p>
    <w:p w:rsidR="007C0F52" w:rsidRDefault="007C0F52"/>
    <w:p w:rsidR="006223E6" w:rsidRPr="008D2D93" w:rsidRDefault="003F37B4" w:rsidP="008D2D93">
      <w:pPr>
        <w:pStyle w:val="Heading1"/>
        <w:rPr>
          <w:b/>
          <w:caps/>
        </w:rPr>
      </w:pPr>
      <w:r w:rsidRPr="008D2D93">
        <w:rPr>
          <w:b/>
          <w:caps/>
        </w:rPr>
        <w:t>6</w:t>
      </w:r>
      <w:r w:rsidR="006223E6" w:rsidRPr="008D2D93">
        <w:rPr>
          <w:b/>
          <w:caps/>
        </w:rPr>
        <w:t>.</w:t>
      </w:r>
      <w:r w:rsidR="007C0F52" w:rsidRPr="008D2D93">
        <w:rPr>
          <w:b/>
          <w:caps/>
        </w:rPr>
        <w:fldChar w:fldCharType="begin"/>
      </w:r>
      <w:r w:rsidR="007C0F52" w:rsidRPr="008D2D93">
        <w:rPr>
          <w:b/>
          <w:caps/>
        </w:rPr>
        <w:instrText xml:space="preserve">  </w:instrText>
      </w:r>
      <w:r w:rsidR="007C0F52" w:rsidRPr="008D2D93">
        <w:rPr>
          <w:b/>
          <w:caps/>
        </w:rPr>
        <w:fldChar w:fldCharType="end"/>
      </w:r>
      <w:r w:rsidR="007C0F52" w:rsidRPr="008D2D93">
        <w:rPr>
          <w:b/>
          <w:caps/>
        </w:rPr>
        <w:tab/>
      </w:r>
      <w:r w:rsidR="00096831" w:rsidRPr="008D2D93">
        <w:rPr>
          <w:b/>
          <w:caps/>
          <w:lang w:val="en-US"/>
        </w:rPr>
        <w:t xml:space="preserve">Internal Audit </w:t>
      </w:r>
      <w:r w:rsidR="00DA2432" w:rsidRPr="008D2D93">
        <w:rPr>
          <w:b/>
          <w:caps/>
          <w:lang w:val="en-US"/>
        </w:rPr>
        <w:t>PLAN</w:t>
      </w:r>
      <w:r w:rsidR="00F60775" w:rsidRPr="008D2D93">
        <w:rPr>
          <w:b/>
          <w:caps/>
          <w:lang w:val="en-US"/>
        </w:rPr>
        <w:t xml:space="preserve"> 201</w:t>
      </w:r>
      <w:r w:rsidR="00DA2432" w:rsidRPr="008D2D93">
        <w:rPr>
          <w:b/>
          <w:caps/>
          <w:lang w:val="en-US"/>
        </w:rPr>
        <w:t>8</w:t>
      </w:r>
      <w:r w:rsidR="00F60775" w:rsidRPr="008D2D93">
        <w:rPr>
          <w:b/>
          <w:caps/>
          <w:lang w:val="en-US"/>
        </w:rPr>
        <w:t>/1</w:t>
      </w:r>
      <w:r w:rsidR="00DA2432" w:rsidRPr="008D2D93">
        <w:rPr>
          <w:b/>
          <w:caps/>
          <w:lang w:val="en-US"/>
        </w:rPr>
        <w:t>9</w:t>
      </w:r>
    </w:p>
    <w:p w:rsidR="007C0F52" w:rsidRDefault="007C0F52">
      <w:pPr>
        <w:keepNext/>
        <w:ind w:left="1267" w:hanging="1267"/>
      </w:pPr>
      <w:r>
        <w:rPr>
          <w:b/>
        </w:rPr>
        <w:tab/>
      </w:r>
      <w:r>
        <w:t>(</w:t>
      </w:r>
      <w:proofErr w:type="spellStart"/>
      <w:r w:rsidR="006F5703">
        <w:t>D</w:t>
      </w:r>
      <w:r w:rsidR="00340B38">
        <w:t>oF</w:t>
      </w:r>
      <w:proofErr w:type="spellEnd"/>
      <w:r w:rsidR="001F2A81">
        <w:t>)</w:t>
      </w:r>
      <w:r>
        <w:fldChar w:fldCharType="begin"/>
      </w:r>
      <w:r>
        <w:instrText xml:space="preserve">  </w:instrText>
      </w:r>
      <w:r>
        <w:fldChar w:fldCharType="end"/>
      </w:r>
    </w:p>
    <w:p w:rsidR="007C0F52" w:rsidRDefault="007C0F52">
      <w:pPr>
        <w:ind w:left="1260" w:hanging="1260"/>
      </w:pPr>
    </w:p>
    <w:p w:rsidR="007C0F52" w:rsidRPr="008D2D93" w:rsidRDefault="007C0F52" w:rsidP="008D2D93">
      <w:pPr>
        <w:pStyle w:val="Heading2"/>
        <w:rPr>
          <w:b/>
        </w:rPr>
      </w:pPr>
      <w:r w:rsidRPr="008D2D93">
        <w:rPr>
          <w:b/>
        </w:rPr>
        <w:t>1.</w:t>
      </w:r>
      <w:r w:rsidRPr="008D2D93">
        <w:rPr>
          <w:b/>
        </w:rPr>
        <w:tab/>
        <w:t>Summary</w:t>
      </w:r>
    </w:p>
    <w:p w:rsidR="007C0F52" w:rsidRDefault="007C0F52">
      <w:pPr>
        <w:keepNext/>
        <w:ind w:left="1267" w:hanging="1267"/>
      </w:pPr>
    </w:p>
    <w:p w:rsidR="00096831" w:rsidRDefault="007C0F52" w:rsidP="008D2D93">
      <w:pPr>
        <w:pStyle w:val="Heading3"/>
        <w:rPr>
          <w:lang w:val="en-US"/>
        </w:rPr>
      </w:pPr>
      <w:r>
        <w:t>1.1</w:t>
      </w:r>
      <w:r>
        <w:tab/>
      </w:r>
      <w:r w:rsidR="00096831" w:rsidRPr="00096831">
        <w:rPr>
          <w:lang w:val="en-US"/>
        </w:rPr>
        <w:t xml:space="preserve">This report gives details of the </w:t>
      </w:r>
      <w:r w:rsidR="00DA2432">
        <w:rPr>
          <w:lang w:val="en-US"/>
        </w:rPr>
        <w:t>SIAS Internal Audit Plan for 2018/19</w:t>
      </w:r>
      <w:r w:rsidR="00096831" w:rsidRPr="00096831">
        <w:rPr>
          <w:lang w:val="en-US"/>
        </w:rPr>
        <w:t>.</w:t>
      </w:r>
    </w:p>
    <w:p w:rsidR="00F60775" w:rsidRDefault="00F60775" w:rsidP="00F60775">
      <w:pPr>
        <w:keepNext/>
        <w:ind w:left="1267" w:hanging="1267"/>
      </w:pPr>
    </w:p>
    <w:p w:rsidR="00DA2432" w:rsidRPr="008D2D93" w:rsidRDefault="00DA2432" w:rsidP="008D2D93">
      <w:pPr>
        <w:pStyle w:val="Heading2"/>
        <w:rPr>
          <w:b/>
        </w:rPr>
      </w:pPr>
      <w:r w:rsidRPr="008D2D93">
        <w:rPr>
          <w:b/>
        </w:rPr>
        <w:t>2.</w:t>
      </w:r>
      <w:r w:rsidRPr="008D2D93">
        <w:rPr>
          <w:b/>
        </w:rPr>
        <w:tab/>
        <w:t>Details</w:t>
      </w:r>
    </w:p>
    <w:p w:rsidR="00DA2432" w:rsidRPr="00DA2432" w:rsidRDefault="00DA2432" w:rsidP="00DA2432">
      <w:pPr>
        <w:widowControl w:val="0"/>
        <w:ind w:left="1267" w:hanging="1267"/>
      </w:pPr>
    </w:p>
    <w:p w:rsidR="00DA2432" w:rsidRDefault="00DA2432" w:rsidP="008D2D93">
      <w:pPr>
        <w:pStyle w:val="Heading3"/>
        <w:ind w:left="1260" w:hanging="1260"/>
      </w:pPr>
      <w:r w:rsidRPr="00DA2432">
        <w:t>2.1</w:t>
      </w:r>
      <w:r w:rsidRPr="00DA2432">
        <w:tab/>
      </w:r>
      <w:r>
        <w:t xml:space="preserve">Each year, following meetings with senior officers of the Council, the Head of Finance publishes the annual internal audit plan.  These audits are carried out by SIAS on behalf of the Council.  </w:t>
      </w:r>
    </w:p>
    <w:p w:rsidR="00DA2432" w:rsidRPr="00DA2432" w:rsidRDefault="00DA2432" w:rsidP="00DA2432">
      <w:pPr>
        <w:widowControl w:val="0"/>
      </w:pPr>
    </w:p>
    <w:p w:rsidR="00DA2432" w:rsidRPr="00EC1046" w:rsidRDefault="00DA2432" w:rsidP="008D2D93">
      <w:pPr>
        <w:pStyle w:val="Heading3"/>
        <w:ind w:left="1260" w:hanging="1260"/>
        <w:rPr>
          <w:rFonts w:cs="Arial"/>
        </w:rPr>
      </w:pPr>
      <w:r w:rsidRPr="00A4565E">
        <w:t>2.</w:t>
      </w:r>
      <w:r>
        <w:t>2</w:t>
      </w:r>
      <w:r w:rsidRPr="00A4565E">
        <w:tab/>
      </w:r>
      <w:r>
        <w:t>The attached documents are the report from SIAS, the TRDC Audit Plan and the Shared Services Audit Plan.  Further details are contained within the SIAS report.</w:t>
      </w:r>
    </w:p>
    <w:p w:rsidR="00DA2432" w:rsidRPr="00EC1046" w:rsidRDefault="00DA2432" w:rsidP="00DA2432">
      <w:pPr>
        <w:widowControl w:val="0"/>
      </w:pPr>
    </w:p>
    <w:p w:rsidR="00DA2432" w:rsidRPr="008D2D93" w:rsidRDefault="00DA2432" w:rsidP="008D2D93">
      <w:pPr>
        <w:pStyle w:val="Heading2"/>
        <w:rPr>
          <w:b/>
        </w:rPr>
      </w:pPr>
      <w:r w:rsidRPr="008D2D93">
        <w:rPr>
          <w:b/>
        </w:rPr>
        <w:t>3.</w:t>
      </w:r>
      <w:r w:rsidRPr="008D2D93">
        <w:rPr>
          <w:b/>
        </w:rPr>
        <w:tab/>
        <w:t>Options/Reasons for Recommendation</w:t>
      </w:r>
    </w:p>
    <w:p w:rsidR="00DA2432" w:rsidRDefault="00DA2432" w:rsidP="00DA2432">
      <w:pPr>
        <w:keepNext/>
        <w:ind w:left="1267" w:hanging="1267"/>
      </w:pPr>
    </w:p>
    <w:p w:rsidR="00DA2432" w:rsidRDefault="00DA2432" w:rsidP="008D2D93">
      <w:pPr>
        <w:pStyle w:val="Heading3"/>
      </w:pPr>
      <w:r>
        <w:t>3.1</w:t>
      </w:r>
      <w:r>
        <w:tab/>
        <w:t>Audit Committee are asked to agree the Audit Programme for 2018/19.</w:t>
      </w:r>
    </w:p>
    <w:p w:rsidR="00DA2432" w:rsidRDefault="00DA2432" w:rsidP="00DA2432">
      <w:pPr>
        <w:ind w:left="1267" w:hanging="1267"/>
      </w:pPr>
    </w:p>
    <w:p w:rsidR="00DA2432" w:rsidRPr="008D2D93" w:rsidRDefault="00DA2432" w:rsidP="008D2D93">
      <w:pPr>
        <w:pStyle w:val="Heading2"/>
        <w:rPr>
          <w:b/>
        </w:rPr>
      </w:pPr>
      <w:r w:rsidRPr="008D2D93">
        <w:rPr>
          <w:b/>
        </w:rPr>
        <w:t>4.</w:t>
      </w:r>
      <w:r w:rsidRPr="008D2D93">
        <w:rPr>
          <w:b/>
        </w:rPr>
        <w:tab/>
        <w:t>Policy/Budget Reference and Implications</w:t>
      </w:r>
    </w:p>
    <w:p w:rsidR="00DA2432" w:rsidRDefault="00DA2432" w:rsidP="00DA2432">
      <w:pPr>
        <w:keepNext/>
        <w:ind w:left="1267" w:hanging="1267"/>
      </w:pPr>
    </w:p>
    <w:p w:rsidR="00DA2432" w:rsidRDefault="00DA2432" w:rsidP="008D2D93">
      <w:pPr>
        <w:pStyle w:val="Heading3"/>
        <w:ind w:left="1260" w:hanging="1260"/>
      </w:pPr>
      <w:r>
        <w:t>4.1</w:t>
      </w:r>
      <w:r>
        <w:tab/>
        <w:t xml:space="preserve">The recommendations in this report are within the Council’s agreed policy and budgets. </w:t>
      </w:r>
    </w:p>
    <w:p w:rsidR="00DA2432" w:rsidRDefault="00DA2432" w:rsidP="00DA2432">
      <w:pPr>
        <w:ind w:left="1267" w:hanging="1267"/>
      </w:pPr>
      <w:r>
        <w:fldChar w:fldCharType="begin"/>
      </w:r>
      <w:r>
        <w:instrText xml:space="preserve">  </w:instrText>
      </w:r>
      <w:r>
        <w:fldChar w:fldCharType="end"/>
      </w:r>
    </w:p>
    <w:p w:rsidR="00DA2432" w:rsidRPr="008D2D93" w:rsidRDefault="00DA2432" w:rsidP="008D2D93">
      <w:pPr>
        <w:pStyle w:val="Heading2"/>
        <w:rPr>
          <w:b/>
        </w:rPr>
      </w:pPr>
      <w:r w:rsidRPr="008D2D93">
        <w:rPr>
          <w:b/>
        </w:rPr>
        <w:t>5.</w:t>
      </w:r>
      <w:r w:rsidRPr="008D2D93">
        <w:rPr>
          <w:b/>
        </w:rPr>
        <w:tab/>
        <w:t>Financial Implications</w:t>
      </w:r>
    </w:p>
    <w:p w:rsidR="00DA2432" w:rsidRDefault="00DA2432" w:rsidP="00DA2432">
      <w:pPr>
        <w:keepNext/>
        <w:ind w:left="1267" w:hanging="1267"/>
      </w:pPr>
    </w:p>
    <w:p w:rsidR="00DA2432" w:rsidRDefault="00DA2432" w:rsidP="008D2D93">
      <w:pPr>
        <w:pStyle w:val="Heading3"/>
        <w:ind w:left="1260" w:hanging="1260"/>
        <w:rPr>
          <w:b/>
          <w:i/>
          <w:color w:val="008000"/>
        </w:rPr>
      </w:pPr>
      <w:r>
        <w:t>5.1</w:t>
      </w:r>
      <w:r>
        <w:rPr>
          <w:i/>
        </w:rPr>
        <w:tab/>
      </w:r>
      <w:r>
        <w:fldChar w:fldCharType="begin"/>
      </w:r>
      <w:r>
        <w:instrText xml:space="preserve">  </w:instrText>
      </w:r>
      <w:r>
        <w:fldChar w:fldCharType="end"/>
      </w:r>
      <w:r>
        <w:t>Delivery of the plan will be monitored against the internal audit budget during the year and any variance reported to the appropriate committee.</w:t>
      </w:r>
      <w:r>
        <w:rPr>
          <w:b/>
          <w:i/>
          <w:color w:val="008000"/>
        </w:rPr>
        <w:fldChar w:fldCharType="begin"/>
      </w:r>
      <w:r>
        <w:rPr>
          <w:b/>
          <w:i/>
          <w:color w:val="008000"/>
        </w:rPr>
        <w:instrText xml:space="preserve">  </w:instrText>
      </w:r>
      <w:r>
        <w:rPr>
          <w:b/>
          <w:i/>
          <w:color w:val="008000"/>
        </w:rPr>
        <w:fldChar w:fldCharType="end"/>
      </w:r>
      <w:r>
        <w:rPr>
          <w:b/>
          <w:i/>
          <w:color w:val="008000"/>
        </w:rPr>
        <w:t xml:space="preserve">  </w:t>
      </w:r>
    </w:p>
    <w:p w:rsidR="00DA2432" w:rsidRDefault="00DA2432" w:rsidP="00DA2432">
      <w:pPr>
        <w:pStyle w:val="Header"/>
        <w:tabs>
          <w:tab w:val="clear" w:pos="4153"/>
          <w:tab w:val="clear" w:pos="8306"/>
          <w:tab w:val="left" w:pos="1260"/>
          <w:tab w:val="left" w:pos="1980"/>
          <w:tab w:val="left" w:pos="2700"/>
          <w:tab w:val="left" w:pos="3420"/>
        </w:tabs>
      </w:pPr>
    </w:p>
    <w:p w:rsidR="00DA2432" w:rsidRPr="008D2D93" w:rsidRDefault="00DA2432" w:rsidP="008D2D93">
      <w:pPr>
        <w:pStyle w:val="Heading2"/>
        <w:rPr>
          <w:b/>
        </w:rPr>
      </w:pPr>
      <w:r w:rsidRPr="008D2D93">
        <w:rPr>
          <w:b/>
        </w:rPr>
        <w:t>6.</w:t>
      </w:r>
      <w:r w:rsidRPr="008D2D93">
        <w:rPr>
          <w:b/>
        </w:rPr>
        <w:tab/>
        <w:t>Risk Management and Health &amp; Safety Implications</w:t>
      </w:r>
    </w:p>
    <w:p w:rsidR="00DA2432" w:rsidRDefault="00DA2432" w:rsidP="00DA2432">
      <w:pPr>
        <w:ind w:left="1260" w:hanging="1260"/>
      </w:pPr>
      <w:r>
        <w:rPr>
          <w:b/>
          <w:i/>
          <w:color w:val="008000"/>
        </w:rPr>
        <w:tab/>
      </w:r>
    </w:p>
    <w:p w:rsidR="00DA2432" w:rsidRDefault="00DA2432" w:rsidP="008D2D93">
      <w:pPr>
        <w:pStyle w:val="Heading3"/>
        <w:ind w:left="1260" w:hanging="1260"/>
      </w:pPr>
      <w:r>
        <w:t>6.1</w:t>
      </w:r>
      <w:r>
        <w:tab/>
        <w:t>The Council has agreed its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DA2432" w:rsidRDefault="00DA2432" w:rsidP="00DA2432"/>
    <w:p w:rsidR="00DA2432" w:rsidRDefault="00DA2432" w:rsidP="008D2D93">
      <w:pPr>
        <w:pStyle w:val="Heading3"/>
      </w:pPr>
      <w:r>
        <w:t>6.2</w:t>
      </w:r>
      <w:r>
        <w:tab/>
        <w:t>There are no risks to the Council in agreeing the recommendations.</w:t>
      </w:r>
    </w:p>
    <w:p w:rsidR="00DA2432" w:rsidRDefault="00DA2432" w:rsidP="00DA2432"/>
    <w:p w:rsidR="00DA2432" w:rsidRDefault="00DA2432" w:rsidP="008D2D93">
      <w:pPr>
        <w:pStyle w:val="Heading3"/>
        <w:ind w:left="1260" w:hanging="1260"/>
      </w:pPr>
      <w:r>
        <w:t>6.3</w:t>
      </w:r>
      <w:r>
        <w:tab/>
        <w:t>The following table gives the risks that would exist if the recommendations are rejected, together with a scored assessment of their impact and likelihood:</w:t>
      </w:r>
    </w:p>
    <w:p w:rsidR="00DA2432" w:rsidRDefault="00DA2432" w:rsidP="00DA2432"/>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DA2432" w:rsidTr="00DA2432">
        <w:trPr>
          <w:trHeight w:val="152"/>
        </w:trPr>
        <w:tc>
          <w:tcPr>
            <w:tcW w:w="5384" w:type="dxa"/>
            <w:gridSpan w:val="2"/>
          </w:tcPr>
          <w:p w:rsidR="00DA2432" w:rsidRDefault="00DA2432" w:rsidP="00DA2432">
            <w:pPr>
              <w:jc w:val="center"/>
              <w:rPr>
                <w:sz w:val="20"/>
              </w:rPr>
            </w:pPr>
            <w:r>
              <w:rPr>
                <w:sz w:val="20"/>
              </w:rPr>
              <w:t>Description of Risk</w:t>
            </w:r>
          </w:p>
        </w:tc>
        <w:tc>
          <w:tcPr>
            <w:tcW w:w="1170" w:type="dxa"/>
          </w:tcPr>
          <w:p w:rsidR="00DA2432" w:rsidRDefault="00DA2432" w:rsidP="00DA2432">
            <w:pPr>
              <w:jc w:val="center"/>
              <w:rPr>
                <w:sz w:val="20"/>
              </w:rPr>
            </w:pPr>
            <w:r>
              <w:rPr>
                <w:sz w:val="20"/>
              </w:rPr>
              <w:t>Impact</w:t>
            </w:r>
          </w:p>
        </w:tc>
        <w:tc>
          <w:tcPr>
            <w:tcW w:w="1350" w:type="dxa"/>
          </w:tcPr>
          <w:p w:rsidR="00DA2432" w:rsidRDefault="00DA2432" w:rsidP="00DA2432">
            <w:pPr>
              <w:ind w:left="34"/>
              <w:jc w:val="center"/>
              <w:rPr>
                <w:sz w:val="20"/>
              </w:rPr>
            </w:pPr>
            <w:r>
              <w:rPr>
                <w:sz w:val="20"/>
              </w:rPr>
              <w:t>Likelihood</w:t>
            </w:r>
          </w:p>
        </w:tc>
      </w:tr>
      <w:tr w:rsidR="00DA2432" w:rsidTr="00DA2432">
        <w:tc>
          <w:tcPr>
            <w:tcW w:w="328" w:type="dxa"/>
          </w:tcPr>
          <w:p w:rsidR="00DA2432" w:rsidRDefault="00DA2432" w:rsidP="00DA2432">
            <w:pPr>
              <w:jc w:val="left"/>
              <w:rPr>
                <w:sz w:val="20"/>
              </w:rPr>
            </w:pPr>
            <w:r>
              <w:rPr>
                <w:sz w:val="20"/>
              </w:rPr>
              <w:t>1</w:t>
            </w:r>
          </w:p>
        </w:tc>
        <w:tc>
          <w:tcPr>
            <w:tcW w:w="5056" w:type="dxa"/>
          </w:tcPr>
          <w:p w:rsidR="00DA2432" w:rsidRDefault="00DA2432" w:rsidP="00DA2432">
            <w:pPr>
              <w:jc w:val="left"/>
              <w:rPr>
                <w:sz w:val="20"/>
              </w:rPr>
            </w:pPr>
            <w:r>
              <w:rPr>
                <w:sz w:val="20"/>
              </w:rPr>
              <w:t>Lack of visible internal governance</w:t>
            </w:r>
          </w:p>
        </w:tc>
        <w:tc>
          <w:tcPr>
            <w:tcW w:w="1170" w:type="dxa"/>
          </w:tcPr>
          <w:p w:rsidR="00DA2432" w:rsidRDefault="00DA2432" w:rsidP="00DA2432">
            <w:pPr>
              <w:jc w:val="center"/>
              <w:rPr>
                <w:sz w:val="20"/>
              </w:rPr>
            </w:pPr>
            <w:r>
              <w:rPr>
                <w:sz w:val="20"/>
              </w:rPr>
              <w:t>II</w:t>
            </w:r>
          </w:p>
        </w:tc>
        <w:tc>
          <w:tcPr>
            <w:tcW w:w="1350" w:type="dxa"/>
          </w:tcPr>
          <w:p w:rsidR="00DA2432" w:rsidRDefault="00DA2432" w:rsidP="00DA2432">
            <w:pPr>
              <w:jc w:val="center"/>
              <w:rPr>
                <w:sz w:val="20"/>
              </w:rPr>
            </w:pPr>
            <w:r>
              <w:rPr>
                <w:sz w:val="20"/>
              </w:rPr>
              <w:t>E</w:t>
            </w:r>
          </w:p>
        </w:tc>
      </w:tr>
    </w:tbl>
    <w:p w:rsidR="00DA2432" w:rsidRDefault="00DA2432" w:rsidP="00DA2432">
      <w:pPr>
        <w:pStyle w:val="Header"/>
        <w:tabs>
          <w:tab w:val="clear" w:pos="4153"/>
          <w:tab w:val="clear" w:pos="8306"/>
          <w:tab w:val="left" w:pos="1260"/>
          <w:tab w:val="left" w:pos="1980"/>
          <w:tab w:val="left" w:pos="2700"/>
          <w:tab w:val="left" w:pos="3420"/>
        </w:tabs>
      </w:pPr>
    </w:p>
    <w:p w:rsidR="00DA2432" w:rsidRDefault="00DA2432" w:rsidP="008D2D93">
      <w:pPr>
        <w:pStyle w:val="Heading3"/>
      </w:pPr>
      <w:r>
        <w:t>6.4</w:t>
      </w:r>
      <w:r>
        <w:tab/>
        <w:t>Of the risks detailed above none is already managed within a service plan.</w:t>
      </w:r>
    </w:p>
    <w:p w:rsidR="00DA2432" w:rsidRDefault="00DA2432" w:rsidP="00DA2432"/>
    <w:p w:rsidR="00DA2432" w:rsidRDefault="00DA2432" w:rsidP="008D2D93">
      <w:pPr>
        <w:pStyle w:val="Heading3"/>
        <w:ind w:left="1260" w:hanging="1260"/>
      </w:pPr>
      <w:r>
        <w:t>6.5</w:t>
      </w:r>
      <w:r>
        <w:tab/>
        <w:t xml:space="preserve">The above risks are plotted on the matrix below depending on the scored 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p>
    <w:p w:rsidR="00DA2432" w:rsidRDefault="00DA2432" w:rsidP="00DA2432">
      <w:pPr>
        <w:keepNext/>
        <w:keepLines/>
        <w:ind w:left="1260"/>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DA2432" w:rsidTr="00DA2432">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DA2432" w:rsidRDefault="00DA2432" w:rsidP="00DA2432">
            <w:pPr>
              <w:keepNext/>
              <w:keepLines/>
              <w:ind w:left="113" w:right="113"/>
              <w:jc w:val="center"/>
              <w:rPr>
                <w:b/>
                <w:szCs w:val="22"/>
              </w:rPr>
            </w:pPr>
            <w:r>
              <w:rPr>
                <w:b/>
                <w:noProof/>
                <w:szCs w:val="22"/>
              </w:rPr>
              <mc:AlternateContent>
                <mc:Choice Requires="wps">
                  <w:drawing>
                    <wp:anchor distT="0" distB="0" distL="114300" distR="114300" simplePos="0" relativeHeight="251659264" behindDoc="0" locked="0" layoutInCell="0" allowOverlap="1" wp14:anchorId="5C40E6B3" wp14:editId="40DF5458">
                      <wp:simplePos x="0" y="0"/>
                      <wp:positionH relativeFrom="column">
                        <wp:posOffset>1115695</wp:posOffset>
                      </wp:positionH>
                      <wp:positionV relativeFrom="paragraph">
                        <wp:posOffset>107950</wp:posOffset>
                      </wp:positionV>
                      <wp:extent cx="0" cy="129667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GpMA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" o:allowincell="f">
                      <v:stroke endarrow="block"/>
                    </v:line>
                  </w:pict>
                </mc:Fallback>
              </mc:AlternateContent>
            </w:r>
            <w:r>
              <w:rPr>
                <w:noProof/>
                <w:szCs w:val="22"/>
              </w:rPr>
              <mc:AlternateContent>
                <mc:Choice Requires="wps">
                  <w:drawing>
                    <wp:anchor distT="0" distB="0" distL="114300" distR="114300" simplePos="0" relativeHeight="251660288" behindDoc="0" locked="0" layoutInCell="0" allowOverlap="1" wp14:anchorId="52B37C59" wp14:editId="4AB64E01">
                      <wp:simplePos x="0" y="0"/>
                      <wp:positionH relativeFrom="column">
                        <wp:posOffset>1298575</wp:posOffset>
                      </wp:positionH>
                      <wp:positionV relativeFrom="paragraph">
                        <wp:posOffset>1388110</wp:posOffset>
                      </wp:positionV>
                      <wp:extent cx="2286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BpKA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Dt3waSgCAABLBAAADgAAAAAAAAAAAAAAAAAuAgAAZHJzL2Uy&#10;b0RvYy54bWxQSwECLQAUAAYACAAAACEASGthZd8AAAALAQAADwAAAAAAAAAAAAAAAACCBAAAZHJz&#10;L2Rvd25yZXYueG1sUEsFBgAAAAAEAAQA8wAAAI4FAAAAAA==&#10;" o:allowincell="f">
                      <v:stroke endarrow="block"/>
                    </v:line>
                  </w:pict>
                </mc:Fallback>
              </mc:AlternateContent>
            </w:r>
            <w:r>
              <w:rPr>
                <w:b/>
                <w:szCs w:val="22"/>
              </w:rPr>
              <w:t>Likelihood</w:t>
            </w:r>
          </w:p>
        </w:tc>
        <w:tc>
          <w:tcPr>
            <w:tcW w:w="452" w:type="dxa"/>
            <w:tcBorders>
              <w:top w:val="single" w:sz="4" w:space="0" w:color="auto"/>
              <w:left w:val="single" w:sz="4" w:space="0" w:color="auto"/>
            </w:tcBorders>
          </w:tcPr>
          <w:p w:rsidR="00DA2432" w:rsidRDefault="00DA2432" w:rsidP="00DA2432">
            <w:pPr>
              <w:keepNext/>
              <w:keepLines/>
            </w:pPr>
            <w:r>
              <w:t>A</w:t>
            </w:r>
          </w:p>
        </w:tc>
        <w:tc>
          <w:tcPr>
            <w:tcW w:w="723" w:type="dxa"/>
            <w:tcBorders>
              <w:top w:val="single" w:sz="4" w:space="0" w:color="auto"/>
            </w:tcBorders>
            <w:shd w:val="pct15" w:color="auto" w:fill="FFFFFF"/>
          </w:tcPr>
          <w:p w:rsidR="00DA2432" w:rsidRDefault="00DA2432" w:rsidP="00DA2432">
            <w:pPr>
              <w:keepNext/>
              <w:keepLines/>
            </w:pPr>
          </w:p>
        </w:tc>
        <w:tc>
          <w:tcPr>
            <w:tcW w:w="723" w:type="dxa"/>
            <w:tcBorders>
              <w:top w:val="single" w:sz="4" w:space="0" w:color="auto"/>
            </w:tcBorders>
          </w:tcPr>
          <w:p w:rsidR="00DA2432" w:rsidRDefault="00DA2432" w:rsidP="00DA2432">
            <w:pPr>
              <w:keepNext/>
              <w:keepLines/>
            </w:pPr>
          </w:p>
        </w:tc>
        <w:tc>
          <w:tcPr>
            <w:tcW w:w="724" w:type="dxa"/>
            <w:tcBorders>
              <w:top w:val="single" w:sz="4" w:space="0" w:color="auto"/>
              <w:bottom w:val="single" w:sz="4" w:space="0" w:color="auto"/>
            </w:tcBorders>
          </w:tcPr>
          <w:p w:rsidR="00DA2432" w:rsidRDefault="00DA2432" w:rsidP="00DA2432">
            <w:pPr>
              <w:keepNext/>
              <w:keepLines/>
            </w:pPr>
          </w:p>
        </w:tc>
        <w:tc>
          <w:tcPr>
            <w:tcW w:w="723" w:type="dxa"/>
            <w:tcBorders>
              <w:top w:val="single" w:sz="4" w:space="0" w:color="auto"/>
              <w:bottom w:val="single" w:sz="4" w:space="0" w:color="auto"/>
              <w:right w:val="single" w:sz="4" w:space="0" w:color="auto"/>
            </w:tcBorders>
          </w:tcPr>
          <w:p w:rsidR="00DA2432" w:rsidRDefault="00DA2432" w:rsidP="00DA2432">
            <w:pPr>
              <w:keepNext/>
              <w:keepLines/>
              <w:jc w:val="center"/>
            </w:pPr>
          </w:p>
        </w:tc>
        <w:tc>
          <w:tcPr>
            <w:tcW w:w="724" w:type="dxa"/>
            <w:tcBorders>
              <w:top w:val="single" w:sz="4" w:space="0" w:color="auto"/>
              <w:bottom w:val="single" w:sz="4" w:space="0" w:color="auto"/>
              <w:right w:val="single" w:sz="4" w:space="0" w:color="auto"/>
            </w:tcBorders>
          </w:tcPr>
          <w:p w:rsidR="00DA2432" w:rsidRDefault="00DA2432" w:rsidP="00DA2432">
            <w:pPr>
              <w:keepNext/>
              <w:keepLines/>
              <w:jc w:val="center"/>
            </w:pPr>
          </w:p>
        </w:tc>
        <w:tc>
          <w:tcPr>
            <w:tcW w:w="1508" w:type="dxa"/>
            <w:tcBorders>
              <w:top w:val="nil"/>
              <w:left w:val="single" w:sz="4" w:space="0" w:color="auto"/>
              <w:bottom w:val="nil"/>
              <w:right w:val="nil"/>
            </w:tcBorders>
          </w:tcPr>
          <w:p w:rsidR="00DA2432" w:rsidRDefault="00DA2432" w:rsidP="00DA2432">
            <w:pPr>
              <w:keepNext/>
              <w:keepLines/>
              <w:rPr>
                <w:sz w:val="16"/>
              </w:rPr>
            </w:pPr>
            <w:r>
              <w:rPr>
                <w:sz w:val="16"/>
              </w:rPr>
              <w:t>Impact</w:t>
            </w:r>
          </w:p>
        </w:tc>
        <w:tc>
          <w:tcPr>
            <w:tcW w:w="1608" w:type="dxa"/>
            <w:tcBorders>
              <w:top w:val="nil"/>
              <w:left w:val="nil"/>
              <w:bottom w:val="nil"/>
              <w:right w:val="nil"/>
            </w:tcBorders>
          </w:tcPr>
          <w:p w:rsidR="00DA2432" w:rsidRDefault="00DA2432" w:rsidP="00DA2432">
            <w:pPr>
              <w:keepNext/>
              <w:keepLines/>
              <w:rPr>
                <w:sz w:val="16"/>
              </w:rPr>
            </w:pPr>
            <w:r>
              <w:rPr>
                <w:sz w:val="16"/>
              </w:rPr>
              <w:t>Likelihood</w:t>
            </w:r>
          </w:p>
        </w:tc>
      </w:tr>
      <w:tr w:rsidR="00DA2432" w:rsidTr="00DA2432">
        <w:trPr>
          <w:cantSplit/>
        </w:trPr>
        <w:tc>
          <w:tcPr>
            <w:tcW w:w="645" w:type="dxa"/>
            <w:vMerge/>
            <w:tcBorders>
              <w:left w:val="single" w:sz="4" w:space="0" w:color="auto"/>
              <w:bottom w:val="single" w:sz="4" w:space="0" w:color="auto"/>
              <w:right w:val="single" w:sz="4" w:space="0" w:color="auto"/>
            </w:tcBorders>
          </w:tcPr>
          <w:p w:rsidR="00DA2432" w:rsidRDefault="00DA2432" w:rsidP="00DA2432">
            <w:pPr>
              <w:keepNext/>
              <w:keepLines/>
            </w:pPr>
          </w:p>
        </w:tc>
        <w:tc>
          <w:tcPr>
            <w:tcW w:w="452" w:type="dxa"/>
            <w:tcBorders>
              <w:left w:val="single" w:sz="4" w:space="0" w:color="auto"/>
            </w:tcBorders>
          </w:tcPr>
          <w:p w:rsidR="00DA2432" w:rsidRDefault="00DA2432" w:rsidP="00DA2432">
            <w:pPr>
              <w:keepNext/>
              <w:keepLines/>
            </w:pPr>
            <w:r>
              <w:t>B</w:t>
            </w:r>
          </w:p>
        </w:tc>
        <w:tc>
          <w:tcPr>
            <w:tcW w:w="723" w:type="dxa"/>
            <w:shd w:val="pct15" w:color="auto" w:fill="FFFFFF"/>
          </w:tcPr>
          <w:p w:rsidR="00DA2432" w:rsidRDefault="00DA2432" w:rsidP="00DA2432">
            <w:pPr>
              <w:keepNext/>
              <w:keepLines/>
            </w:pPr>
          </w:p>
        </w:tc>
        <w:tc>
          <w:tcPr>
            <w:tcW w:w="723" w:type="dxa"/>
          </w:tcPr>
          <w:p w:rsidR="00DA2432" w:rsidRDefault="00DA2432" w:rsidP="00DA2432">
            <w:pPr>
              <w:keepNext/>
              <w:keepLines/>
            </w:pPr>
          </w:p>
        </w:tc>
        <w:tc>
          <w:tcPr>
            <w:tcW w:w="724" w:type="dxa"/>
            <w:tcBorders>
              <w:bottom w:val="single" w:sz="4" w:space="0" w:color="auto"/>
            </w:tcBorders>
          </w:tcPr>
          <w:p w:rsidR="00DA2432" w:rsidRDefault="00DA2432" w:rsidP="00DA2432">
            <w:pPr>
              <w:keepNext/>
              <w:keepLines/>
            </w:pPr>
          </w:p>
        </w:tc>
        <w:tc>
          <w:tcPr>
            <w:tcW w:w="723" w:type="dxa"/>
            <w:tcBorders>
              <w:right w:val="single" w:sz="4" w:space="0" w:color="auto"/>
            </w:tcBorders>
          </w:tcPr>
          <w:p w:rsidR="00DA2432" w:rsidRDefault="00DA2432" w:rsidP="00DA2432">
            <w:pPr>
              <w:keepNext/>
              <w:keepLines/>
              <w:jc w:val="center"/>
            </w:pPr>
          </w:p>
        </w:tc>
        <w:tc>
          <w:tcPr>
            <w:tcW w:w="724" w:type="dxa"/>
            <w:tcBorders>
              <w:right w:val="single" w:sz="4" w:space="0" w:color="auto"/>
            </w:tcBorders>
          </w:tcPr>
          <w:p w:rsidR="00DA2432" w:rsidRDefault="00DA2432" w:rsidP="00DA2432">
            <w:pPr>
              <w:keepNext/>
              <w:keepLines/>
              <w:jc w:val="center"/>
            </w:pPr>
          </w:p>
        </w:tc>
        <w:tc>
          <w:tcPr>
            <w:tcW w:w="1508" w:type="dxa"/>
            <w:tcBorders>
              <w:top w:val="nil"/>
              <w:left w:val="single" w:sz="4" w:space="0" w:color="auto"/>
              <w:bottom w:val="nil"/>
              <w:right w:val="nil"/>
            </w:tcBorders>
          </w:tcPr>
          <w:p w:rsidR="00DA2432" w:rsidRDefault="00DA2432" w:rsidP="00DA2432">
            <w:pPr>
              <w:keepNext/>
              <w:keepLines/>
              <w:rPr>
                <w:sz w:val="16"/>
              </w:rPr>
            </w:pPr>
            <w:r>
              <w:rPr>
                <w:sz w:val="16"/>
              </w:rPr>
              <w:t>V = Catastrophic</w:t>
            </w:r>
          </w:p>
        </w:tc>
        <w:tc>
          <w:tcPr>
            <w:tcW w:w="1608" w:type="dxa"/>
            <w:tcBorders>
              <w:top w:val="nil"/>
              <w:left w:val="nil"/>
              <w:bottom w:val="nil"/>
              <w:right w:val="nil"/>
            </w:tcBorders>
          </w:tcPr>
          <w:p w:rsidR="00DA2432" w:rsidRDefault="00DA2432" w:rsidP="00DA2432">
            <w:pPr>
              <w:keepNext/>
              <w:keepLines/>
              <w:rPr>
                <w:sz w:val="16"/>
              </w:rPr>
            </w:pPr>
            <w:r>
              <w:rPr>
                <w:sz w:val="16"/>
              </w:rPr>
              <w:t>A = &gt;98%</w:t>
            </w:r>
          </w:p>
        </w:tc>
      </w:tr>
      <w:tr w:rsidR="00DA2432" w:rsidTr="00DA2432">
        <w:trPr>
          <w:cantSplit/>
        </w:trPr>
        <w:tc>
          <w:tcPr>
            <w:tcW w:w="645" w:type="dxa"/>
            <w:vMerge/>
            <w:tcBorders>
              <w:left w:val="single" w:sz="4" w:space="0" w:color="auto"/>
              <w:bottom w:val="single" w:sz="4" w:space="0" w:color="auto"/>
              <w:right w:val="single" w:sz="4" w:space="0" w:color="auto"/>
            </w:tcBorders>
          </w:tcPr>
          <w:p w:rsidR="00DA2432" w:rsidRDefault="00DA2432" w:rsidP="00DA2432">
            <w:pPr>
              <w:keepNext/>
              <w:keepLines/>
            </w:pPr>
          </w:p>
        </w:tc>
        <w:tc>
          <w:tcPr>
            <w:tcW w:w="452" w:type="dxa"/>
            <w:tcBorders>
              <w:left w:val="single" w:sz="4" w:space="0" w:color="auto"/>
            </w:tcBorders>
          </w:tcPr>
          <w:p w:rsidR="00DA2432" w:rsidRDefault="00DA2432" w:rsidP="00DA2432">
            <w:pPr>
              <w:keepNext/>
              <w:keepLines/>
            </w:pPr>
            <w:r>
              <w:t>C</w:t>
            </w:r>
          </w:p>
        </w:tc>
        <w:tc>
          <w:tcPr>
            <w:tcW w:w="723" w:type="dxa"/>
            <w:shd w:val="pct15" w:color="auto" w:fill="FFFFFF"/>
          </w:tcPr>
          <w:p w:rsidR="00DA2432" w:rsidRDefault="00DA2432" w:rsidP="00DA2432">
            <w:pPr>
              <w:keepNext/>
              <w:keepLines/>
            </w:pPr>
          </w:p>
        </w:tc>
        <w:tc>
          <w:tcPr>
            <w:tcW w:w="723" w:type="dxa"/>
            <w:tcBorders>
              <w:top w:val="single" w:sz="4" w:space="0" w:color="auto"/>
              <w:bottom w:val="single" w:sz="4" w:space="0" w:color="auto"/>
            </w:tcBorders>
          </w:tcPr>
          <w:p w:rsidR="00DA2432" w:rsidRDefault="00DA2432" w:rsidP="00DA2432">
            <w:pPr>
              <w:keepNext/>
              <w:keepLines/>
            </w:pPr>
          </w:p>
        </w:tc>
        <w:tc>
          <w:tcPr>
            <w:tcW w:w="724" w:type="dxa"/>
            <w:tcBorders>
              <w:top w:val="single" w:sz="4" w:space="0" w:color="auto"/>
              <w:bottom w:val="single" w:sz="4" w:space="0" w:color="auto"/>
            </w:tcBorders>
          </w:tcPr>
          <w:p w:rsidR="00DA2432" w:rsidRDefault="00DA2432" w:rsidP="00DA2432">
            <w:pPr>
              <w:keepNext/>
              <w:keepLines/>
            </w:pPr>
          </w:p>
        </w:tc>
        <w:tc>
          <w:tcPr>
            <w:tcW w:w="723" w:type="dxa"/>
            <w:tcBorders>
              <w:top w:val="single" w:sz="4" w:space="0" w:color="auto"/>
              <w:bottom w:val="single" w:sz="4" w:space="0" w:color="auto"/>
              <w:right w:val="single" w:sz="4" w:space="0" w:color="auto"/>
            </w:tcBorders>
          </w:tcPr>
          <w:p w:rsidR="00DA2432" w:rsidRDefault="00DA2432" w:rsidP="00DA2432">
            <w:pPr>
              <w:keepNext/>
              <w:keepLines/>
              <w:jc w:val="center"/>
            </w:pPr>
          </w:p>
        </w:tc>
        <w:tc>
          <w:tcPr>
            <w:tcW w:w="724" w:type="dxa"/>
            <w:tcBorders>
              <w:right w:val="single" w:sz="4" w:space="0" w:color="auto"/>
            </w:tcBorders>
          </w:tcPr>
          <w:p w:rsidR="00DA2432" w:rsidRDefault="00DA2432" w:rsidP="00DA2432">
            <w:pPr>
              <w:keepNext/>
              <w:keepLines/>
              <w:jc w:val="center"/>
            </w:pPr>
          </w:p>
        </w:tc>
        <w:tc>
          <w:tcPr>
            <w:tcW w:w="1508" w:type="dxa"/>
            <w:tcBorders>
              <w:top w:val="nil"/>
              <w:left w:val="single" w:sz="4" w:space="0" w:color="auto"/>
              <w:bottom w:val="nil"/>
              <w:right w:val="nil"/>
            </w:tcBorders>
          </w:tcPr>
          <w:p w:rsidR="00DA2432" w:rsidRDefault="00DA2432" w:rsidP="00DA2432">
            <w:pPr>
              <w:keepNext/>
              <w:keepLines/>
              <w:rPr>
                <w:sz w:val="16"/>
              </w:rPr>
            </w:pPr>
            <w:r>
              <w:rPr>
                <w:sz w:val="16"/>
              </w:rPr>
              <w:t>IV = Critical</w:t>
            </w:r>
          </w:p>
        </w:tc>
        <w:tc>
          <w:tcPr>
            <w:tcW w:w="1608" w:type="dxa"/>
            <w:tcBorders>
              <w:top w:val="nil"/>
              <w:left w:val="nil"/>
              <w:bottom w:val="nil"/>
              <w:right w:val="nil"/>
            </w:tcBorders>
          </w:tcPr>
          <w:p w:rsidR="00DA2432" w:rsidRDefault="00DA2432" w:rsidP="00DA2432">
            <w:pPr>
              <w:keepNext/>
              <w:keepLines/>
              <w:rPr>
                <w:sz w:val="16"/>
              </w:rPr>
            </w:pPr>
            <w:r>
              <w:rPr>
                <w:sz w:val="16"/>
              </w:rPr>
              <w:t>B = 75% - 97%</w:t>
            </w:r>
          </w:p>
        </w:tc>
      </w:tr>
      <w:tr w:rsidR="00DA2432" w:rsidTr="00DA2432">
        <w:trPr>
          <w:cantSplit/>
        </w:trPr>
        <w:tc>
          <w:tcPr>
            <w:tcW w:w="645" w:type="dxa"/>
            <w:vMerge/>
            <w:tcBorders>
              <w:left w:val="single" w:sz="4" w:space="0" w:color="auto"/>
              <w:bottom w:val="single" w:sz="4" w:space="0" w:color="auto"/>
              <w:right w:val="single" w:sz="4" w:space="0" w:color="auto"/>
            </w:tcBorders>
          </w:tcPr>
          <w:p w:rsidR="00DA2432" w:rsidRDefault="00DA2432" w:rsidP="00DA2432">
            <w:pPr>
              <w:keepNext/>
              <w:keepLines/>
            </w:pPr>
          </w:p>
        </w:tc>
        <w:tc>
          <w:tcPr>
            <w:tcW w:w="452" w:type="dxa"/>
            <w:tcBorders>
              <w:left w:val="single" w:sz="4" w:space="0" w:color="auto"/>
            </w:tcBorders>
          </w:tcPr>
          <w:p w:rsidR="00DA2432" w:rsidRDefault="00DA2432" w:rsidP="00DA2432">
            <w:pPr>
              <w:keepNext/>
              <w:keepLines/>
            </w:pPr>
            <w:r>
              <w:t>D</w:t>
            </w:r>
          </w:p>
        </w:tc>
        <w:tc>
          <w:tcPr>
            <w:tcW w:w="723" w:type="dxa"/>
            <w:tcBorders>
              <w:bottom w:val="single" w:sz="4" w:space="0" w:color="auto"/>
            </w:tcBorders>
            <w:shd w:val="pct15" w:color="auto" w:fill="FFFFFF"/>
          </w:tcPr>
          <w:p w:rsidR="00DA2432" w:rsidRDefault="00DA2432" w:rsidP="00DA2432">
            <w:pPr>
              <w:keepNext/>
              <w:keepLines/>
            </w:pPr>
          </w:p>
        </w:tc>
        <w:tc>
          <w:tcPr>
            <w:tcW w:w="723" w:type="dxa"/>
            <w:tcBorders>
              <w:top w:val="single" w:sz="4" w:space="0" w:color="auto"/>
            </w:tcBorders>
            <w:shd w:val="pct15" w:color="auto" w:fill="FFFFFF"/>
          </w:tcPr>
          <w:p w:rsidR="00DA2432" w:rsidRDefault="00DA2432" w:rsidP="00DA2432">
            <w:pPr>
              <w:keepNext/>
              <w:keepLines/>
            </w:pPr>
          </w:p>
        </w:tc>
        <w:tc>
          <w:tcPr>
            <w:tcW w:w="724" w:type="dxa"/>
            <w:tcBorders>
              <w:top w:val="single" w:sz="4" w:space="0" w:color="auto"/>
              <w:bottom w:val="single" w:sz="4" w:space="0" w:color="auto"/>
            </w:tcBorders>
          </w:tcPr>
          <w:p w:rsidR="00DA2432" w:rsidRDefault="00DA2432" w:rsidP="00DA2432">
            <w:pPr>
              <w:keepNext/>
              <w:keepLines/>
            </w:pPr>
          </w:p>
        </w:tc>
        <w:tc>
          <w:tcPr>
            <w:tcW w:w="723" w:type="dxa"/>
            <w:tcBorders>
              <w:top w:val="single" w:sz="4" w:space="0" w:color="auto"/>
              <w:bottom w:val="single" w:sz="4" w:space="0" w:color="auto"/>
              <w:right w:val="single" w:sz="4" w:space="0" w:color="auto"/>
            </w:tcBorders>
          </w:tcPr>
          <w:p w:rsidR="00DA2432" w:rsidRDefault="00DA2432" w:rsidP="00DA2432">
            <w:pPr>
              <w:keepNext/>
              <w:keepLines/>
              <w:jc w:val="center"/>
            </w:pPr>
          </w:p>
        </w:tc>
        <w:tc>
          <w:tcPr>
            <w:tcW w:w="724" w:type="dxa"/>
            <w:tcBorders>
              <w:right w:val="single" w:sz="4" w:space="0" w:color="auto"/>
            </w:tcBorders>
          </w:tcPr>
          <w:p w:rsidR="00DA2432" w:rsidRDefault="00DA2432" w:rsidP="00DA2432">
            <w:pPr>
              <w:keepNext/>
              <w:keepLines/>
              <w:jc w:val="center"/>
            </w:pPr>
          </w:p>
        </w:tc>
        <w:tc>
          <w:tcPr>
            <w:tcW w:w="1508" w:type="dxa"/>
            <w:tcBorders>
              <w:top w:val="nil"/>
              <w:left w:val="single" w:sz="4" w:space="0" w:color="auto"/>
              <w:bottom w:val="nil"/>
              <w:right w:val="nil"/>
            </w:tcBorders>
          </w:tcPr>
          <w:p w:rsidR="00DA2432" w:rsidRDefault="00DA2432" w:rsidP="00DA2432">
            <w:pPr>
              <w:keepNext/>
              <w:keepLines/>
              <w:rPr>
                <w:sz w:val="16"/>
              </w:rPr>
            </w:pPr>
            <w:r>
              <w:rPr>
                <w:sz w:val="16"/>
              </w:rPr>
              <w:t>III = Significant</w:t>
            </w:r>
          </w:p>
        </w:tc>
        <w:tc>
          <w:tcPr>
            <w:tcW w:w="1608" w:type="dxa"/>
            <w:tcBorders>
              <w:top w:val="nil"/>
              <w:left w:val="nil"/>
              <w:bottom w:val="nil"/>
              <w:right w:val="nil"/>
            </w:tcBorders>
          </w:tcPr>
          <w:p w:rsidR="00DA2432" w:rsidRDefault="00DA2432" w:rsidP="00DA2432">
            <w:pPr>
              <w:keepNext/>
              <w:keepLines/>
              <w:rPr>
                <w:sz w:val="16"/>
              </w:rPr>
            </w:pPr>
            <w:r>
              <w:rPr>
                <w:sz w:val="16"/>
              </w:rPr>
              <w:t>C = 50% - 74%</w:t>
            </w:r>
          </w:p>
        </w:tc>
      </w:tr>
      <w:tr w:rsidR="00DA2432" w:rsidTr="00DA2432">
        <w:trPr>
          <w:cantSplit/>
        </w:trPr>
        <w:tc>
          <w:tcPr>
            <w:tcW w:w="645" w:type="dxa"/>
            <w:vMerge/>
            <w:tcBorders>
              <w:left w:val="single" w:sz="4" w:space="0" w:color="auto"/>
              <w:bottom w:val="single" w:sz="4" w:space="0" w:color="auto"/>
              <w:right w:val="single" w:sz="4" w:space="0" w:color="auto"/>
            </w:tcBorders>
          </w:tcPr>
          <w:p w:rsidR="00DA2432" w:rsidRDefault="00DA2432" w:rsidP="00DA2432">
            <w:pPr>
              <w:keepNext/>
              <w:keepLines/>
            </w:pPr>
          </w:p>
        </w:tc>
        <w:tc>
          <w:tcPr>
            <w:tcW w:w="452" w:type="dxa"/>
            <w:tcBorders>
              <w:left w:val="single" w:sz="4" w:space="0" w:color="auto"/>
            </w:tcBorders>
          </w:tcPr>
          <w:p w:rsidR="00DA2432" w:rsidRDefault="00DA2432" w:rsidP="00DA2432">
            <w:pPr>
              <w:keepNext/>
              <w:keepLines/>
            </w:pPr>
            <w:r>
              <w:t>E</w:t>
            </w:r>
          </w:p>
        </w:tc>
        <w:tc>
          <w:tcPr>
            <w:tcW w:w="723" w:type="dxa"/>
            <w:tcBorders>
              <w:bottom w:val="single" w:sz="4" w:space="0" w:color="auto"/>
            </w:tcBorders>
            <w:shd w:val="pct15" w:color="auto" w:fill="FFFFFF"/>
          </w:tcPr>
          <w:p w:rsidR="00DA2432" w:rsidRDefault="00DA2432" w:rsidP="00DA2432">
            <w:pPr>
              <w:keepNext/>
              <w:keepLines/>
            </w:pPr>
          </w:p>
        </w:tc>
        <w:tc>
          <w:tcPr>
            <w:tcW w:w="723" w:type="dxa"/>
            <w:shd w:val="pct15" w:color="auto" w:fill="FFFFFF"/>
          </w:tcPr>
          <w:p w:rsidR="00DA2432" w:rsidRDefault="00DA2432" w:rsidP="00DA2432">
            <w:pPr>
              <w:keepNext/>
              <w:keepLines/>
            </w:pPr>
            <w:r>
              <w:t>X</w:t>
            </w:r>
          </w:p>
        </w:tc>
        <w:tc>
          <w:tcPr>
            <w:tcW w:w="724" w:type="dxa"/>
            <w:tcBorders>
              <w:bottom w:val="single" w:sz="4" w:space="0" w:color="auto"/>
            </w:tcBorders>
          </w:tcPr>
          <w:p w:rsidR="00DA2432" w:rsidRDefault="00DA2432" w:rsidP="00DA2432">
            <w:pPr>
              <w:keepNext/>
              <w:keepLines/>
            </w:pPr>
          </w:p>
        </w:tc>
        <w:tc>
          <w:tcPr>
            <w:tcW w:w="723" w:type="dxa"/>
            <w:tcBorders>
              <w:top w:val="single" w:sz="4" w:space="0" w:color="auto"/>
              <w:right w:val="single" w:sz="4" w:space="0" w:color="auto"/>
            </w:tcBorders>
          </w:tcPr>
          <w:p w:rsidR="00DA2432" w:rsidRDefault="00DA2432" w:rsidP="00DA2432">
            <w:pPr>
              <w:keepNext/>
              <w:keepLines/>
              <w:jc w:val="center"/>
            </w:pPr>
          </w:p>
        </w:tc>
        <w:tc>
          <w:tcPr>
            <w:tcW w:w="724" w:type="dxa"/>
            <w:tcBorders>
              <w:top w:val="single" w:sz="4" w:space="0" w:color="auto"/>
              <w:bottom w:val="single" w:sz="4" w:space="0" w:color="auto"/>
              <w:right w:val="single" w:sz="4" w:space="0" w:color="auto"/>
            </w:tcBorders>
          </w:tcPr>
          <w:p w:rsidR="00DA2432" w:rsidRDefault="00DA2432" w:rsidP="00DA2432">
            <w:pPr>
              <w:keepNext/>
              <w:keepLines/>
              <w:jc w:val="center"/>
            </w:pPr>
          </w:p>
        </w:tc>
        <w:tc>
          <w:tcPr>
            <w:tcW w:w="1508" w:type="dxa"/>
            <w:tcBorders>
              <w:top w:val="nil"/>
              <w:left w:val="single" w:sz="4" w:space="0" w:color="auto"/>
              <w:bottom w:val="nil"/>
              <w:right w:val="nil"/>
            </w:tcBorders>
          </w:tcPr>
          <w:p w:rsidR="00DA2432" w:rsidRDefault="00DA2432" w:rsidP="00DA2432">
            <w:pPr>
              <w:keepNext/>
              <w:keepLines/>
              <w:rPr>
                <w:sz w:val="16"/>
              </w:rPr>
            </w:pPr>
            <w:r>
              <w:rPr>
                <w:sz w:val="16"/>
              </w:rPr>
              <w:t>II = Marginal</w:t>
            </w:r>
          </w:p>
        </w:tc>
        <w:tc>
          <w:tcPr>
            <w:tcW w:w="1608" w:type="dxa"/>
            <w:tcBorders>
              <w:top w:val="nil"/>
              <w:left w:val="nil"/>
              <w:bottom w:val="nil"/>
              <w:right w:val="nil"/>
            </w:tcBorders>
          </w:tcPr>
          <w:p w:rsidR="00DA2432" w:rsidRDefault="00DA2432" w:rsidP="00DA2432">
            <w:pPr>
              <w:keepNext/>
              <w:keepLines/>
              <w:rPr>
                <w:sz w:val="16"/>
              </w:rPr>
            </w:pPr>
            <w:r>
              <w:rPr>
                <w:sz w:val="16"/>
              </w:rPr>
              <w:t>D = 25% - 49%</w:t>
            </w:r>
          </w:p>
        </w:tc>
      </w:tr>
      <w:tr w:rsidR="00DA2432" w:rsidTr="00DA2432">
        <w:trPr>
          <w:cantSplit/>
        </w:trPr>
        <w:tc>
          <w:tcPr>
            <w:tcW w:w="645" w:type="dxa"/>
            <w:vMerge/>
            <w:tcBorders>
              <w:left w:val="single" w:sz="4" w:space="0" w:color="auto"/>
              <w:bottom w:val="single" w:sz="4" w:space="0" w:color="auto"/>
              <w:right w:val="single" w:sz="4" w:space="0" w:color="auto"/>
            </w:tcBorders>
          </w:tcPr>
          <w:p w:rsidR="00DA2432" w:rsidRDefault="00DA2432" w:rsidP="00DA2432">
            <w:pPr>
              <w:keepNext/>
              <w:keepLines/>
            </w:pPr>
          </w:p>
        </w:tc>
        <w:tc>
          <w:tcPr>
            <w:tcW w:w="452" w:type="dxa"/>
            <w:tcBorders>
              <w:left w:val="single" w:sz="4" w:space="0" w:color="auto"/>
            </w:tcBorders>
          </w:tcPr>
          <w:p w:rsidR="00DA2432" w:rsidRDefault="00DA2432" w:rsidP="00DA2432">
            <w:pPr>
              <w:keepNext/>
              <w:keepLines/>
            </w:pPr>
            <w:r>
              <w:t>F</w:t>
            </w:r>
          </w:p>
        </w:tc>
        <w:tc>
          <w:tcPr>
            <w:tcW w:w="723" w:type="dxa"/>
            <w:shd w:val="pct15" w:color="auto" w:fill="FFFFFF"/>
          </w:tcPr>
          <w:p w:rsidR="00DA2432" w:rsidRDefault="00DA2432" w:rsidP="00DA2432">
            <w:pPr>
              <w:keepNext/>
              <w:keepLines/>
            </w:pPr>
          </w:p>
        </w:tc>
        <w:tc>
          <w:tcPr>
            <w:tcW w:w="723" w:type="dxa"/>
            <w:shd w:val="pct15" w:color="auto" w:fill="FFFFFF"/>
          </w:tcPr>
          <w:p w:rsidR="00DA2432" w:rsidRDefault="00DA2432" w:rsidP="00DA2432">
            <w:pPr>
              <w:keepNext/>
              <w:keepLines/>
            </w:pPr>
          </w:p>
        </w:tc>
        <w:tc>
          <w:tcPr>
            <w:tcW w:w="724" w:type="dxa"/>
            <w:tcBorders>
              <w:top w:val="single" w:sz="4" w:space="0" w:color="auto"/>
            </w:tcBorders>
            <w:shd w:val="pct15" w:color="auto" w:fill="FFFFFF"/>
          </w:tcPr>
          <w:p w:rsidR="00DA2432" w:rsidRDefault="00DA2432" w:rsidP="00DA2432">
            <w:pPr>
              <w:keepNext/>
              <w:keepLines/>
            </w:pPr>
          </w:p>
        </w:tc>
        <w:tc>
          <w:tcPr>
            <w:tcW w:w="723" w:type="dxa"/>
            <w:tcBorders>
              <w:right w:val="single" w:sz="4" w:space="0" w:color="auto"/>
            </w:tcBorders>
          </w:tcPr>
          <w:p w:rsidR="00DA2432" w:rsidRDefault="00DA2432" w:rsidP="00DA2432">
            <w:pPr>
              <w:keepNext/>
              <w:keepLines/>
              <w:jc w:val="center"/>
            </w:pPr>
          </w:p>
        </w:tc>
        <w:tc>
          <w:tcPr>
            <w:tcW w:w="724" w:type="dxa"/>
            <w:tcBorders>
              <w:right w:val="single" w:sz="4" w:space="0" w:color="auto"/>
            </w:tcBorders>
          </w:tcPr>
          <w:p w:rsidR="00DA2432" w:rsidRDefault="00DA2432" w:rsidP="00DA2432">
            <w:pPr>
              <w:keepNext/>
              <w:keepLines/>
              <w:jc w:val="center"/>
            </w:pPr>
          </w:p>
        </w:tc>
        <w:tc>
          <w:tcPr>
            <w:tcW w:w="1508" w:type="dxa"/>
            <w:tcBorders>
              <w:top w:val="nil"/>
              <w:left w:val="single" w:sz="4" w:space="0" w:color="auto"/>
              <w:bottom w:val="nil"/>
              <w:right w:val="nil"/>
            </w:tcBorders>
          </w:tcPr>
          <w:p w:rsidR="00DA2432" w:rsidRDefault="00DA2432" w:rsidP="00DA2432">
            <w:pPr>
              <w:keepNext/>
              <w:keepLines/>
              <w:rPr>
                <w:sz w:val="16"/>
              </w:rPr>
            </w:pPr>
            <w:r>
              <w:rPr>
                <w:sz w:val="16"/>
              </w:rPr>
              <w:t>I = Negligible</w:t>
            </w:r>
          </w:p>
        </w:tc>
        <w:tc>
          <w:tcPr>
            <w:tcW w:w="1608" w:type="dxa"/>
            <w:tcBorders>
              <w:top w:val="nil"/>
              <w:left w:val="nil"/>
              <w:bottom w:val="nil"/>
              <w:right w:val="nil"/>
            </w:tcBorders>
          </w:tcPr>
          <w:p w:rsidR="00DA2432" w:rsidRDefault="00DA2432" w:rsidP="00DA2432">
            <w:pPr>
              <w:keepNext/>
              <w:keepLines/>
              <w:rPr>
                <w:sz w:val="16"/>
              </w:rPr>
            </w:pPr>
            <w:r>
              <w:rPr>
                <w:sz w:val="16"/>
              </w:rPr>
              <w:t>E = 3% - 24%</w:t>
            </w:r>
          </w:p>
        </w:tc>
      </w:tr>
      <w:tr w:rsidR="00DA2432" w:rsidTr="00DA2432">
        <w:trPr>
          <w:cantSplit/>
        </w:trPr>
        <w:tc>
          <w:tcPr>
            <w:tcW w:w="645" w:type="dxa"/>
            <w:vMerge/>
            <w:tcBorders>
              <w:left w:val="single" w:sz="4" w:space="0" w:color="auto"/>
              <w:bottom w:val="single" w:sz="4" w:space="0" w:color="auto"/>
              <w:right w:val="single" w:sz="4" w:space="0" w:color="auto"/>
            </w:tcBorders>
          </w:tcPr>
          <w:p w:rsidR="00DA2432" w:rsidRDefault="00DA2432" w:rsidP="00DA2432">
            <w:pPr>
              <w:keepNext/>
              <w:keepLines/>
            </w:pPr>
          </w:p>
        </w:tc>
        <w:tc>
          <w:tcPr>
            <w:tcW w:w="452" w:type="dxa"/>
            <w:tcBorders>
              <w:left w:val="single" w:sz="4" w:space="0" w:color="auto"/>
              <w:bottom w:val="single" w:sz="4" w:space="0" w:color="auto"/>
            </w:tcBorders>
          </w:tcPr>
          <w:p w:rsidR="00DA2432" w:rsidRDefault="00DA2432" w:rsidP="00DA2432">
            <w:pPr>
              <w:keepNext/>
              <w:keepLines/>
            </w:pPr>
          </w:p>
        </w:tc>
        <w:tc>
          <w:tcPr>
            <w:tcW w:w="723" w:type="dxa"/>
            <w:tcBorders>
              <w:bottom w:val="single" w:sz="4" w:space="0" w:color="auto"/>
            </w:tcBorders>
          </w:tcPr>
          <w:p w:rsidR="00DA2432" w:rsidRDefault="00DA2432" w:rsidP="00DA2432">
            <w:pPr>
              <w:keepNext/>
              <w:keepLines/>
              <w:jc w:val="center"/>
            </w:pPr>
            <w:r>
              <w:t>I</w:t>
            </w:r>
          </w:p>
        </w:tc>
        <w:tc>
          <w:tcPr>
            <w:tcW w:w="723" w:type="dxa"/>
            <w:tcBorders>
              <w:bottom w:val="single" w:sz="4" w:space="0" w:color="auto"/>
            </w:tcBorders>
          </w:tcPr>
          <w:p w:rsidR="00DA2432" w:rsidRDefault="00DA2432" w:rsidP="00DA2432">
            <w:pPr>
              <w:keepNext/>
              <w:keepLines/>
              <w:jc w:val="center"/>
            </w:pPr>
            <w:r>
              <w:t>II</w:t>
            </w:r>
          </w:p>
        </w:tc>
        <w:tc>
          <w:tcPr>
            <w:tcW w:w="724" w:type="dxa"/>
            <w:tcBorders>
              <w:bottom w:val="single" w:sz="4" w:space="0" w:color="auto"/>
            </w:tcBorders>
          </w:tcPr>
          <w:p w:rsidR="00DA2432" w:rsidRDefault="00DA2432" w:rsidP="00DA2432">
            <w:pPr>
              <w:keepNext/>
              <w:keepLines/>
              <w:jc w:val="center"/>
            </w:pPr>
            <w:r>
              <w:t>III</w:t>
            </w:r>
          </w:p>
        </w:tc>
        <w:tc>
          <w:tcPr>
            <w:tcW w:w="723" w:type="dxa"/>
            <w:tcBorders>
              <w:bottom w:val="single" w:sz="4" w:space="0" w:color="auto"/>
              <w:right w:val="single" w:sz="4" w:space="0" w:color="auto"/>
            </w:tcBorders>
          </w:tcPr>
          <w:p w:rsidR="00DA2432" w:rsidRDefault="00DA2432" w:rsidP="00DA2432">
            <w:pPr>
              <w:keepNext/>
              <w:keepLines/>
              <w:jc w:val="center"/>
            </w:pPr>
            <w:r>
              <w:t>IV</w:t>
            </w:r>
          </w:p>
        </w:tc>
        <w:tc>
          <w:tcPr>
            <w:tcW w:w="724" w:type="dxa"/>
            <w:tcBorders>
              <w:bottom w:val="single" w:sz="4" w:space="0" w:color="auto"/>
              <w:right w:val="single" w:sz="4" w:space="0" w:color="auto"/>
            </w:tcBorders>
          </w:tcPr>
          <w:p w:rsidR="00DA2432" w:rsidRDefault="00DA2432" w:rsidP="00DA2432">
            <w:pPr>
              <w:keepNext/>
              <w:keepLines/>
              <w:jc w:val="center"/>
            </w:pPr>
            <w:r>
              <w:t>V</w:t>
            </w:r>
          </w:p>
        </w:tc>
        <w:tc>
          <w:tcPr>
            <w:tcW w:w="1508" w:type="dxa"/>
            <w:tcBorders>
              <w:top w:val="nil"/>
              <w:left w:val="single" w:sz="4" w:space="0" w:color="auto"/>
              <w:bottom w:val="nil"/>
              <w:right w:val="nil"/>
            </w:tcBorders>
          </w:tcPr>
          <w:p w:rsidR="00DA2432" w:rsidRDefault="00DA2432" w:rsidP="00DA2432">
            <w:pPr>
              <w:keepNext/>
              <w:keepLines/>
            </w:pPr>
          </w:p>
        </w:tc>
        <w:tc>
          <w:tcPr>
            <w:tcW w:w="1608" w:type="dxa"/>
            <w:tcBorders>
              <w:top w:val="nil"/>
              <w:left w:val="nil"/>
              <w:bottom w:val="nil"/>
              <w:right w:val="nil"/>
            </w:tcBorders>
          </w:tcPr>
          <w:p w:rsidR="00DA2432" w:rsidRDefault="00DA2432" w:rsidP="00DA2432">
            <w:pPr>
              <w:keepNext/>
              <w:keepLines/>
              <w:rPr>
                <w:sz w:val="16"/>
              </w:rPr>
            </w:pPr>
            <w:r>
              <w:rPr>
                <w:sz w:val="16"/>
              </w:rPr>
              <w:t xml:space="preserve">F = </w:t>
            </w:r>
            <w:r>
              <w:rPr>
                <w:spacing w:val="-8"/>
                <w:sz w:val="16"/>
              </w:rPr>
              <w:t xml:space="preserve"> &lt;2%</w:t>
            </w:r>
          </w:p>
        </w:tc>
      </w:tr>
      <w:tr w:rsidR="00DA2432" w:rsidTr="00DA2432">
        <w:trPr>
          <w:cantSplit/>
          <w:trHeight w:val="387"/>
        </w:trPr>
        <w:tc>
          <w:tcPr>
            <w:tcW w:w="645" w:type="dxa"/>
            <w:vMerge/>
            <w:tcBorders>
              <w:left w:val="single" w:sz="4" w:space="0" w:color="auto"/>
              <w:bottom w:val="single" w:sz="4" w:space="0" w:color="auto"/>
              <w:right w:val="single" w:sz="4" w:space="0" w:color="auto"/>
            </w:tcBorders>
          </w:tcPr>
          <w:p w:rsidR="00DA2432" w:rsidRDefault="00DA2432" w:rsidP="00DA2432">
            <w:pPr>
              <w:keepNext/>
              <w:keepLines/>
            </w:pPr>
          </w:p>
        </w:tc>
        <w:tc>
          <w:tcPr>
            <w:tcW w:w="4069" w:type="dxa"/>
            <w:gridSpan w:val="6"/>
            <w:tcBorders>
              <w:left w:val="single" w:sz="4" w:space="0" w:color="auto"/>
              <w:bottom w:val="single" w:sz="4" w:space="0" w:color="auto"/>
              <w:right w:val="single" w:sz="4" w:space="0" w:color="auto"/>
            </w:tcBorders>
          </w:tcPr>
          <w:p w:rsidR="00DA2432" w:rsidRDefault="00DA2432" w:rsidP="00DA2432">
            <w:pPr>
              <w:keepNext/>
              <w:keepLines/>
              <w:spacing w:before="40"/>
              <w:jc w:val="center"/>
              <w:rPr>
                <w:b/>
                <w:szCs w:val="22"/>
              </w:rPr>
            </w:pPr>
            <w:r>
              <w:rPr>
                <w:b/>
                <w:szCs w:val="22"/>
              </w:rPr>
              <w:t>Impact</w:t>
            </w:r>
          </w:p>
          <w:p w:rsidR="00DA2432" w:rsidRDefault="00DA2432" w:rsidP="00DA2432">
            <w:pPr>
              <w:keepNext/>
              <w:keepLines/>
              <w:rPr>
                <w:b/>
                <w:sz w:val="20"/>
              </w:rPr>
            </w:pPr>
          </w:p>
        </w:tc>
        <w:tc>
          <w:tcPr>
            <w:tcW w:w="1508" w:type="dxa"/>
            <w:tcBorders>
              <w:top w:val="nil"/>
              <w:left w:val="single" w:sz="4" w:space="0" w:color="auto"/>
              <w:bottom w:val="nil"/>
              <w:right w:val="nil"/>
            </w:tcBorders>
          </w:tcPr>
          <w:p w:rsidR="00DA2432" w:rsidRDefault="00DA2432" w:rsidP="00DA2432">
            <w:pPr>
              <w:keepNext/>
              <w:keepLines/>
            </w:pPr>
          </w:p>
        </w:tc>
        <w:tc>
          <w:tcPr>
            <w:tcW w:w="1608" w:type="dxa"/>
            <w:tcBorders>
              <w:top w:val="nil"/>
              <w:left w:val="nil"/>
              <w:bottom w:val="nil"/>
              <w:right w:val="nil"/>
            </w:tcBorders>
          </w:tcPr>
          <w:p w:rsidR="00DA2432" w:rsidRDefault="00DA2432" w:rsidP="00DA2432">
            <w:pPr>
              <w:keepNext/>
              <w:keepLines/>
            </w:pPr>
          </w:p>
        </w:tc>
      </w:tr>
    </w:tbl>
    <w:p w:rsidR="00DA2432" w:rsidRDefault="00DA2432" w:rsidP="00DA2432">
      <w:pPr>
        <w:pStyle w:val="Header"/>
        <w:tabs>
          <w:tab w:val="clear" w:pos="4153"/>
          <w:tab w:val="clear" w:pos="8306"/>
          <w:tab w:val="left" w:pos="1260"/>
          <w:tab w:val="left" w:pos="1980"/>
          <w:tab w:val="left" w:pos="2700"/>
          <w:tab w:val="left" w:pos="3420"/>
        </w:tabs>
      </w:pPr>
    </w:p>
    <w:p w:rsidR="00DA2432" w:rsidRDefault="00DA2432" w:rsidP="008D2D93">
      <w:pPr>
        <w:pStyle w:val="Heading3"/>
        <w:ind w:left="1260" w:hanging="1260"/>
      </w:pPr>
      <w:r>
        <w:t>6.6</w:t>
      </w:r>
      <w:r>
        <w:tab/>
        <w:t>In the officers’ opinion none of the new risks above, were they to come about, would seriously prejudice the achievement of the Strategic Plan and are therefore operational risks.  The effectiveness of treatment plans are reviewed by the Audit Committee annually.</w:t>
      </w:r>
    </w:p>
    <w:p w:rsidR="00DA2432" w:rsidRDefault="00DA2432" w:rsidP="00DA2432">
      <w:pPr>
        <w:pStyle w:val="BodyTextIndent"/>
      </w:pPr>
      <w:r>
        <w:rPr>
          <w:b/>
          <w:i/>
          <w:color w:val="008000"/>
        </w:rPr>
        <w:tab/>
      </w:r>
    </w:p>
    <w:p w:rsidR="00DA2432" w:rsidRPr="008D2D93" w:rsidRDefault="00DA2432" w:rsidP="008D2D93">
      <w:pPr>
        <w:pStyle w:val="Heading2"/>
        <w:rPr>
          <w:b/>
        </w:rPr>
      </w:pPr>
      <w:r w:rsidRPr="008D2D93">
        <w:rPr>
          <w:b/>
        </w:rPr>
        <w:t>7.</w:t>
      </w:r>
      <w:r w:rsidRPr="008D2D93">
        <w:rPr>
          <w:b/>
        </w:rPr>
        <w:fldChar w:fldCharType="begin"/>
      </w:r>
      <w:r w:rsidRPr="008D2D93">
        <w:rPr>
          <w:b/>
        </w:rPr>
        <w:instrText xml:space="preserve">  </w:instrText>
      </w:r>
      <w:r w:rsidRPr="008D2D93">
        <w:rPr>
          <w:b/>
        </w:rPr>
        <w:fldChar w:fldCharType="end"/>
      </w:r>
      <w:r w:rsidRPr="008D2D93">
        <w:rPr>
          <w:b/>
        </w:rPr>
        <w:tab/>
        <w:t>Recommendation</w:t>
      </w:r>
    </w:p>
    <w:p w:rsidR="00DA2432" w:rsidRDefault="00DA2432" w:rsidP="00DA2432">
      <w:pPr>
        <w:keepNext/>
        <w:ind w:left="1267" w:hanging="1267"/>
      </w:pPr>
    </w:p>
    <w:p w:rsidR="00DA2432" w:rsidRDefault="00DA2432" w:rsidP="008D2D93">
      <w:pPr>
        <w:pStyle w:val="Heading3"/>
        <w:ind w:left="1260" w:hanging="1260"/>
      </w:pPr>
      <w:r>
        <w:t>7.1</w:t>
      </w:r>
      <w:r>
        <w:tab/>
        <w:t xml:space="preserve">That Audit Committee agree the annual SIAS Audit </w:t>
      </w:r>
      <w:r w:rsidR="00C04D43">
        <w:t>Plans</w:t>
      </w:r>
      <w:r>
        <w:t xml:space="preserve"> for both TRDC and </w:t>
      </w:r>
      <w:r w:rsidR="00C04D43">
        <w:t>Shared</w:t>
      </w:r>
      <w:r>
        <w:t xml:space="preserve"> </w:t>
      </w:r>
      <w:r w:rsidR="00C04D43">
        <w:t>Services</w:t>
      </w:r>
      <w:r>
        <w:fldChar w:fldCharType="begin"/>
      </w:r>
      <w:r>
        <w:instrText xml:space="preserve">  </w:instrText>
      </w:r>
      <w:r>
        <w:fldChar w:fldCharType="end"/>
      </w:r>
      <w:r>
        <w:t xml:space="preserve">. </w:t>
      </w:r>
    </w:p>
    <w:p w:rsidR="00DA2432" w:rsidRDefault="00DA2432" w:rsidP="00DA2432">
      <w:pPr>
        <w:ind w:left="1260" w:hanging="1260"/>
        <w:rPr>
          <w:b/>
          <w:i/>
          <w:color w:val="008000"/>
        </w:rPr>
      </w:pPr>
      <w:bookmarkStart w:id="0" w:name="_GoBack"/>
      <w:bookmarkEnd w:id="0"/>
    </w:p>
    <w:p w:rsidR="00DA2432" w:rsidRDefault="00DA2432" w:rsidP="00DA2432">
      <w:pPr>
        <w:rPr>
          <w:b/>
          <w:i/>
          <w:color w:val="008000"/>
        </w:rPr>
      </w:pPr>
      <w:r>
        <w:tab/>
        <w:t>Report prepared by: Bob Watson, Head of Finance</w:t>
      </w:r>
      <w:r>
        <w:fldChar w:fldCharType="begin"/>
      </w:r>
      <w:r>
        <w:instrText xml:space="preserve">  </w:instrText>
      </w:r>
      <w:r>
        <w:fldChar w:fldCharType="end"/>
      </w:r>
    </w:p>
    <w:p w:rsidR="00DA2432" w:rsidRDefault="00DA2432" w:rsidP="00DA2432">
      <w:pPr>
        <w:ind w:left="1253" w:hanging="1253"/>
      </w:pPr>
    </w:p>
    <w:p w:rsidR="00DA2432" w:rsidRDefault="00DA2432" w:rsidP="00DA2432">
      <w:pPr>
        <w:keepNext/>
        <w:keepLines/>
        <w:ind w:left="1267" w:hanging="1267"/>
        <w:outlineLvl w:val="0"/>
        <w:rPr>
          <w:b/>
        </w:rPr>
      </w:pPr>
      <w:r>
        <w:tab/>
      </w:r>
      <w:r>
        <w:rPr>
          <w:b/>
        </w:rPr>
        <w:t>Data Quality</w:t>
      </w:r>
    </w:p>
    <w:p w:rsidR="00DA2432" w:rsidRDefault="00DA2432" w:rsidP="00DA2432">
      <w:pPr>
        <w:keepNext/>
        <w:keepLines/>
        <w:ind w:left="1267" w:hanging="1267"/>
        <w:outlineLvl w:val="0"/>
        <w:rPr>
          <w:b/>
        </w:rPr>
      </w:pPr>
    </w:p>
    <w:p w:rsidR="00DA2432" w:rsidRDefault="00DA2432" w:rsidP="00DA2432">
      <w:pPr>
        <w:keepNext/>
        <w:keepLines/>
        <w:ind w:left="1267" w:hanging="1267"/>
      </w:pPr>
      <w:r>
        <w:rPr>
          <w:b/>
        </w:rPr>
        <w:tab/>
      </w:r>
      <w:r>
        <w:t>Data sources: N/A</w:t>
      </w:r>
    </w:p>
    <w:p w:rsidR="00DA2432" w:rsidRDefault="00DA2432" w:rsidP="00DA2432">
      <w:pPr>
        <w:keepNext/>
        <w:keepLines/>
        <w:ind w:left="1267" w:hanging="1267"/>
      </w:pPr>
    </w:p>
    <w:p w:rsidR="00DA2432" w:rsidRDefault="00DA2432" w:rsidP="00DA2432">
      <w:pPr>
        <w:keepNext/>
        <w:keepLines/>
        <w:ind w:left="1260" w:hanging="1260"/>
      </w:pPr>
      <w:r>
        <w:tab/>
      </w:r>
      <w:r>
        <w:fldChar w:fldCharType="begin"/>
      </w:r>
      <w:r>
        <w:instrText xml:space="preserve"> ASK   \* MERGEFORMAT </w:instrText>
      </w:r>
      <w:r>
        <w:fldChar w:fldCharType="end"/>
      </w:r>
    </w:p>
    <w:p w:rsidR="00DA2432" w:rsidRDefault="00DA2432" w:rsidP="00DA2432">
      <w:pPr>
        <w:ind w:left="1253" w:hanging="1253"/>
        <w:rPr>
          <w:b/>
          <w:i/>
          <w:color w:val="008000"/>
        </w:rPr>
      </w:pPr>
      <w:r>
        <w:rPr>
          <w:i/>
        </w:rPr>
        <w:tab/>
      </w:r>
      <w:r>
        <w:rPr>
          <w:i/>
        </w:rPr>
        <w:tab/>
      </w:r>
      <w:r>
        <w:t>Data checked by: N/A</w:t>
      </w:r>
      <w:r>
        <w:fldChar w:fldCharType="begin"/>
      </w:r>
      <w:r>
        <w:instrText xml:space="preserve"> ASK   \* MERGEFORMAT </w:instrText>
      </w:r>
      <w:r>
        <w:fldChar w:fldCharType="end"/>
      </w:r>
    </w:p>
    <w:p w:rsidR="00DA2432" w:rsidRDefault="00DA2432" w:rsidP="00DA2432">
      <w:pPr>
        <w:ind w:left="1253" w:hanging="1253"/>
      </w:pPr>
    </w:p>
    <w:p w:rsidR="00DA2432" w:rsidRDefault="00DA2432" w:rsidP="00DA2432">
      <w:pPr>
        <w:ind w:left="1260" w:hanging="1260"/>
        <w:rPr>
          <w:b/>
          <w:i/>
          <w:color w:val="008000"/>
        </w:rPr>
      </w:pPr>
      <w:r>
        <w:tab/>
        <w:t>Data rating:</w:t>
      </w:r>
    </w:p>
    <w:p w:rsidR="00DA2432" w:rsidRDefault="00DA2432" w:rsidP="00DA2432">
      <w:pPr>
        <w:ind w:left="1253" w:hanging="1253"/>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DA2432" w:rsidTr="00DA2432">
        <w:trPr>
          <w:trHeight w:hRule="exact" w:val="346"/>
        </w:trPr>
        <w:tc>
          <w:tcPr>
            <w:tcW w:w="392" w:type="dxa"/>
            <w:vAlign w:val="center"/>
          </w:tcPr>
          <w:p w:rsidR="00DA2432" w:rsidRDefault="00DA2432" w:rsidP="00DA2432">
            <w:pPr>
              <w:keepNext/>
              <w:keepLines/>
            </w:pPr>
            <w:r>
              <w:t>1</w:t>
            </w:r>
          </w:p>
        </w:tc>
        <w:tc>
          <w:tcPr>
            <w:tcW w:w="1276" w:type="dxa"/>
            <w:vAlign w:val="center"/>
          </w:tcPr>
          <w:p w:rsidR="00DA2432" w:rsidRDefault="00DA2432" w:rsidP="00DA2432">
            <w:pPr>
              <w:keepNext/>
              <w:keepLines/>
            </w:pPr>
            <w:r>
              <w:t>Poor</w:t>
            </w:r>
          </w:p>
        </w:tc>
        <w:tc>
          <w:tcPr>
            <w:tcW w:w="492" w:type="dxa"/>
            <w:vAlign w:val="center"/>
          </w:tcPr>
          <w:p w:rsidR="00DA2432" w:rsidRDefault="00DA2432" w:rsidP="00DA2432">
            <w:pPr>
              <w:keepNext/>
              <w:keepLines/>
              <w:jc w:val="center"/>
            </w:pPr>
          </w:p>
        </w:tc>
      </w:tr>
      <w:tr w:rsidR="00DA2432" w:rsidTr="00DA2432">
        <w:trPr>
          <w:trHeight w:hRule="exact" w:val="346"/>
        </w:trPr>
        <w:tc>
          <w:tcPr>
            <w:tcW w:w="392" w:type="dxa"/>
            <w:vAlign w:val="center"/>
          </w:tcPr>
          <w:p w:rsidR="00DA2432" w:rsidRDefault="00DA2432" w:rsidP="00DA2432">
            <w:pPr>
              <w:keepNext/>
              <w:keepLines/>
            </w:pPr>
            <w:r>
              <w:t>2</w:t>
            </w:r>
          </w:p>
        </w:tc>
        <w:tc>
          <w:tcPr>
            <w:tcW w:w="1276" w:type="dxa"/>
            <w:vAlign w:val="center"/>
          </w:tcPr>
          <w:p w:rsidR="00DA2432" w:rsidRDefault="00DA2432" w:rsidP="00DA2432">
            <w:pPr>
              <w:keepNext/>
              <w:keepLines/>
            </w:pPr>
            <w:r>
              <w:t>Sufficient</w:t>
            </w:r>
          </w:p>
        </w:tc>
        <w:tc>
          <w:tcPr>
            <w:tcW w:w="492" w:type="dxa"/>
            <w:vAlign w:val="center"/>
          </w:tcPr>
          <w:p w:rsidR="00DA2432" w:rsidRDefault="00DA2432" w:rsidP="00DA2432">
            <w:pPr>
              <w:keepNext/>
              <w:keepLines/>
              <w:jc w:val="center"/>
            </w:pPr>
          </w:p>
        </w:tc>
      </w:tr>
      <w:tr w:rsidR="00DA2432" w:rsidTr="00DA2432">
        <w:trPr>
          <w:trHeight w:hRule="exact" w:val="346"/>
        </w:trPr>
        <w:tc>
          <w:tcPr>
            <w:tcW w:w="392" w:type="dxa"/>
            <w:vAlign w:val="center"/>
          </w:tcPr>
          <w:p w:rsidR="00DA2432" w:rsidRDefault="00DA2432" w:rsidP="00DA2432">
            <w:pPr>
              <w:keepNext/>
              <w:keepLines/>
            </w:pPr>
            <w:r>
              <w:t>3</w:t>
            </w:r>
          </w:p>
        </w:tc>
        <w:tc>
          <w:tcPr>
            <w:tcW w:w="1276" w:type="dxa"/>
            <w:vAlign w:val="center"/>
          </w:tcPr>
          <w:p w:rsidR="00DA2432" w:rsidRDefault="00DA2432" w:rsidP="00DA2432">
            <w:pPr>
              <w:keepNext/>
              <w:keepLines/>
            </w:pPr>
            <w:r>
              <w:t>High</w:t>
            </w:r>
          </w:p>
        </w:tc>
        <w:tc>
          <w:tcPr>
            <w:tcW w:w="492" w:type="dxa"/>
            <w:vAlign w:val="center"/>
          </w:tcPr>
          <w:p w:rsidR="00DA2432" w:rsidRDefault="00DA2432" w:rsidP="00DA2432">
            <w:pPr>
              <w:keepNext/>
              <w:keepLines/>
              <w:jc w:val="center"/>
            </w:pPr>
            <w:r>
              <w:rPr>
                <w:b/>
                <w:szCs w:val="22"/>
              </w:rPr>
              <w:sym w:font="Wingdings" w:char="F0FC"/>
            </w:r>
          </w:p>
        </w:tc>
      </w:tr>
    </w:tbl>
    <w:p w:rsidR="00DA2432" w:rsidRDefault="00DA2432" w:rsidP="00DA2432">
      <w:pPr>
        <w:ind w:left="1253" w:hanging="1253"/>
      </w:pPr>
    </w:p>
    <w:p w:rsidR="00DA2432" w:rsidRDefault="00DA2432" w:rsidP="00DA2432"/>
    <w:p w:rsidR="00C04D43" w:rsidRDefault="00C04D43" w:rsidP="00DA2432">
      <w:pPr>
        <w:keepNext/>
        <w:ind w:left="1267" w:hanging="1267"/>
      </w:pPr>
      <w:r>
        <w:t>Attachments</w:t>
      </w:r>
    </w:p>
    <w:p w:rsidR="00C04D43" w:rsidRDefault="00C04D43" w:rsidP="00DA2432">
      <w:pPr>
        <w:keepNext/>
        <w:ind w:left="1267" w:hanging="1267"/>
      </w:pPr>
    </w:p>
    <w:p w:rsidR="00C04D43" w:rsidRDefault="00C04D43" w:rsidP="00DA2432">
      <w:pPr>
        <w:keepNext/>
        <w:ind w:left="1267" w:hanging="1267"/>
      </w:pPr>
      <w:r>
        <w:t>SIAS Internal Audit Plan 18/19 report</w:t>
      </w:r>
    </w:p>
    <w:p w:rsidR="00C04D43" w:rsidRDefault="00C04D43" w:rsidP="00DA2432">
      <w:pPr>
        <w:keepNext/>
        <w:ind w:left="1267" w:hanging="1267"/>
      </w:pPr>
      <w:r>
        <w:t>SIAS Internal Audit Plan 18/19 - TRDC</w:t>
      </w:r>
    </w:p>
    <w:p w:rsidR="00DA2432" w:rsidRPr="000C6213" w:rsidRDefault="00C04D43" w:rsidP="00DA2432">
      <w:pPr>
        <w:keepNext/>
        <w:ind w:left="1267" w:hanging="1267"/>
      </w:pPr>
      <w:r>
        <w:t>SIAS Internal Audit Plan 18/19 – Shared Services</w:t>
      </w:r>
      <w:r w:rsidR="00DA2432">
        <w:tab/>
      </w:r>
    </w:p>
    <w:p w:rsidR="00DA2432" w:rsidRDefault="00DA2432" w:rsidP="00F60775">
      <w:pPr>
        <w:keepNext/>
        <w:ind w:left="1267" w:hanging="1267"/>
      </w:pPr>
    </w:p>
    <w:p w:rsidR="00DA2432" w:rsidRDefault="00DA2432" w:rsidP="00F60775">
      <w:pPr>
        <w:keepNext/>
        <w:ind w:left="1267" w:hanging="1267"/>
      </w:pPr>
    </w:p>
    <w:p w:rsidR="00DA2432" w:rsidRDefault="00DA2432" w:rsidP="00F60775">
      <w:pPr>
        <w:keepNext/>
        <w:ind w:left="1267" w:hanging="1267"/>
      </w:pPr>
    </w:p>
    <w:p w:rsidR="00DA2432" w:rsidRDefault="00DA2432" w:rsidP="00F60775">
      <w:pPr>
        <w:keepNext/>
        <w:ind w:left="1267" w:hanging="1267"/>
      </w:pPr>
    </w:p>
    <w:sectPr w:rsidR="00DA2432">
      <w:pgSz w:w="11909" w:h="16834" w:code="9"/>
      <w:pgMar w:top="720" w:right="1411" w:bottom="403" w:left="1411"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32" w:rsidRDefault="00DA2432">
      <w:r>
        <w:separator/>
      </w:r>
    </w:p>
  </w:endnote>
  <w:endnote w:type="continuationSeparator" w:id="0">
    <w:p w:rsidR="00DA2432" w:rsidRDefault="00DA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32" w:rsidRDefault="00DA2432">
      <w:r>
        <w:separator/>
      </w:r>
    </w:p>
  </w:footnote>
  <w:footnote w:type="continuationSeparator" w:id="0">
    <w:p w:rsidR="00DA2432" w:rsidRDefault="00DA2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B0AE5"/>
    <w:multiLevelType w:val="hybridMultilevel"/>
    <w:tmpl w:val="634489A0"/>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
    <w:nsid w:val="4C360B83"/>
    <w:multiLevelType w:val="hybridMultilevel"/>
    <w:tmpl w:val="A2FE525A"/>
    <w:lvl w:ilvl="0" w:tplc="7904053A">
      <w:start w:val="1"/>
      <w:numFmt w:val="decimal"/>
      <w:lvlText w:val="%1."/>
      <w:lvlJc w:val="left"/>
      <w:pPr>
        <w:tabs>
          <w:tab w:val="num" w:pos="720"/>
        </w:tabs>
        <w:ind w:left="720" w:hanging="360"/>
      </w:pPr>
    </w:lvl>
    <w:lvl w:ilvl="1" w:tplc="CA6630D4" w:tentative="1">
      <w:start w:val="1"/>
      <w:numFmt w:val="decimal"/>
      <w:lvlText w:val="%2."/>
      <w:lvlJc w:val="left"/>
      <w:pPr>
        <w:tabs>
          <w:tab w:val="num" w:pos="1440"/>
        </w:tabs>
        <w:ind w:left="1440" w:hanging="360"/>
      </w:pPr>
    </w:lvl>
    <w:lvl w:ilvl="2" w:tplc="04090005">
      <w:start w:val="1"/>
      <w:numFmt w:val="bullet"/>
      <w:lvlText w:val=""/>
      <w:lvlJc w:val="left"/>
      <w:pPr>
        <w:tabs>
          <w:tab w:val="num" w:pos="2062"/>
        </w:tabs>
        <w:ind w:left="2062" w:hanging="360"/>
      </w:pPr>
      <w:rPr>
        <w:rFonts w:ascii="Wingdings" w:hAnsi="Wingdings" w:hint="default"/>
      </w:rPr>
    </w:lvl>
    <w:lvl w:ilvl="3" w:tplc="DFAA40E6" w:tentative="1">
      <w:start w:val="1"/>
      <w:numFmt w:val="decimal"/>
      <w:lvlText w:val="%4."/>
      <w:lvlJc w:val="left"/>
      <w:pPr>
        <w:tabs>
          <w:tab w:val="num" w:pos="2880"/>
        </w:tabs>
        <w:ind w:left="2880" w:hanging="360"/>
      </w:pPr>
    </w:lvl>
    <w:lvl w:ilvl="4" w:tplc="12A8106A" w:tentative="1">
      <w:start w:val="1"/>
      <w:numFmt w:val="decimal"/>
      <w:lvlText w:val="%5."/>
      <w:lvlJc w:val="left"/>
      <w:pPr>
        <w:tabs>
          <w:tab w:val="num" w:pos="3600"/>
        </w:tabs>
        <w:ind w:left="3600" w:hanging="360"/>
      </w:pPr>
    </w:lvl>
    <w:lvl w:ilvl="5" w:tplc="35BCC2B2" w:tentative="1">
      <w:start w:val="1"/>
      <w:numFmt w:val="decimal"/>
      <w:lvlText w:val="%6."/>
      <w:lvlJc w:val="left"/>
      <w:pPr>
        <w:tabs>
          <w:tab w:val="num" w:pos="4320"/>
        </w:tabs>
        <w:ind w:left="4320" w:hanging="360"/>
      </w:pPr>
    </w:lvl>
    <w:lvl w:ilvl="6" w:tplc="B3AEAC04" w:tentative="1">
      <w:start w:val="1"/>
      <w:numFmt w:val="decimal"/>
      <w:lvlText w:val="%7."/>
      <w:lvlJc w:val="left"/>
      <w:pPr>
        <w:tabs>
          <w:tab w:val="num" w:pos="5040"/>
        </w:tabs>
        <w:ind w:left="5040" w:hanging="360"/>
      </w:pPr>
    </w:lvl>
    <w:lvl w:ilvl="7" w:tplc="8CEA7278" w:tentative="1">
      <w:start w:val="1"/>
      <w:numFmt w:val="decimal"/>
      <w:lvlText w:val="%8."/>
      <w:lvlJc w:val="left"/>
      <w:pPr>
        <w:tabs>
          <w:tab w:val="num" w:pos="5760"/>
        </w:tabs>
        <w:ind w:left="5760" w:hanging="360"/>
      </w:pPr>
    </w:lvl>
    <w:lvl w:ilvl="8" w:tplc="E0CA6380" w:tentative="1">
      <w:start w:val="1"/>
      <w:numFmt w:val="decimal"/>
      <w:lvlText w:val="%9."/>
      <w:lvlJc w:val="left"/>
      <w:pPr>
        <w:tabs>
          <w:tab w:val="num" w:pos="6480"/>
        </w:tabs>
        <w:ind w:left="6480" w:hanging="360"/>
      </w:pPr>
    </w:lvl>
  </w:abstractNum>
  <w:abstractNum w:abstractNumId="2">
    <w:nsid w:val="53B053A2"/>
    <w:multiLevelType w:val="hybridMultilevel"/>
    <w:tmpl w:val="070A7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CC960E1"/>
    <w:multiLevelType w:val="hybridMultilevel"/>
    <w:tmpl w:val="D05277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E62326C"/>
    <w:multiLevelType w:val="multilevel"/>
    <w:tmpl w:val="A67A1CE6"/>
    <w:lvl w:ilvl="0">
      <w:start w:val="2"/>
      <w:numFmt w:val="decimal"/>
      <w:lvlText w:val="%1"/>
      <w:lvlJc w:val="left"/>
      <w:pPr>
        <w:tabs>
          <w:tab w:val="num" w:pos="1260"/>
        </w:tabs>
        <w:ind w:left="1260" w:hanging="1260"/>
      </w:pPr>
      <w:rPr>
        <w:b w:val="0"/>
        <w:i w:val="0"/>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3A0327D"/>
    <w:multiLevelType w:val="hybridMultilevel"/>
    <w:tmpl w:val="3E98B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BD218C1"/>
    <w:multiLevelType w:val="hybridMultilevel"/>
    <w:tmpl w:val="A22E4AA2"/>
    <w:lvl w:ilvl="0" w:tplc="7904053A">
      <w:start w:val="1"/>
      <w:numFmt w:val="decimal"/>
      <w:lvlText w:val="%1."/>
      <w:lvlJc w:val="left"/>
      <w:pPr>
        <w:tabs>
          <w:tab w:val="num" w:pos="720"/>
        </w:tabs>
        <w:ind w:left="720" w:hanging="360"/>
      </w:pPr>
    </w:lvl>
    <w:lvl w:ilvl="1" w:tplc="CA6630D4" w:tentative="1">
      <w:start w:val="1"/>
      <w:numFmt w:val="decimal"/>
      <w:lvlText w:val="%2."/>
      <w:lvlJc w:val="left"/>
      <w:pPr>
        <w:tabs>
          <w:tab w:val="num" w:pos="1440"/>
        </w:tabs>
        <w:ind w:left="1440" w:hanging="360"/>
      </w:pPr>
    </w:lvl>
    <w:lvl w:ilvl="2" w:tplc="AA4A585A">
      <w:start w:val="1"/>
      <w:numFmt w:val="decimal"/>
      <w:lvlText w:val="%3."/>
      <w:lvlJc w:val="left"/>
      <w:pPr>
        <w:tabs>
          <w:tab w:val="num" w:pos="2160"/>
        </w:tabs>
        <w:ind w:left="2160" w:hanging="360"/>
      </w:pPr>
    </w:lvl>
    <w:lvl w:ilvl="3" w:tplc="DFAA40E6" w:tentative="1">
      <w:start w:val="1"/>
      <w:numFmt w:val="decimal"/>
      <w:lvlText w:val="%4."/>
      <w:lvlJc w:val="left"/>
      <w:pPr>
        <w:tabs>
          <w:tab w:val="num" w:pos="2880"/>
        </w:tabs>
        <w:ind w:left="2880" w:hanging="360"/>
      </w:pPr>
    </w:lvl>
    <w:lvl w:ilvl="4" w:tplc="12A8106A" w:tentative="1">
      <w:start w:val="1"/>
      <w:numFmt w:val="decimal"/>
      <w:lvlText w:val="%5."/>
      <w:lvlJc w:val="left"/>
      <w:pPr>
        <w:tabs>
          <w:tab w:val="num" w:pos="3600"/>
        </w:tabs>
        <w:ind w:left="3600" w:hanging="360"/>
      </w:pPr>
    </w:lvl>
    <w:lvl w:ilvl="5" w:tplc="35BCC2B2" w:tentative="1">
      <w:start w:val="1"/>
      <w:numFmt w:val="decimal"/>
      <w:lvlText w:val="%6."/>
      <w:lvlJc w:val="left"/>
      <w:pPr>
        <w:tabs>
          <w:tab w:val="num" w:pos="4320"/>
        </w:tabs>
        <w:ind w:left="4320" w:hanging="360"/>
      </w:pPr>
    </w:lvl>
    <w:lvl w:ilvl="6" w:tplc="B3AEAC04" w:tentative="1">
      <w:start w:val="1"/>
      <w:numFmt w:val="decimal"/>
      <w:lvlText w:val="%7."/>
      <w:lvlJc w:val="left"/>
      <w:pPr>
        <w:tabs>
          <w:tab w:val="num" w:pos="5040"/>
        </w:tabs>
        <w:ind w:left="5040" w:hanging="360"/>
      </w:pPr>
    </w:lvl>
    <w:lvl w:ilvl="7" w:tplc="8CEA7278" w:tentative="1">
      <w:start w:val="1"/>
      <w:numFmt w:val="decimal"/>
      <w:lvlText w:val="%8."/>
      <w:lvlJc w:val="left"/>
      <w:pPr>
        <w:tabs>
          <w:tab w:val="num" w:pos="5760"/>
        </w:tabs>
        <w:ind w:left="5760" w:hanging="360"/>
      </w:pPr>
    </w:lvl>
    <w:lvl w:ilvl="8" w:tplc="E0CA6380" w:tentative="1">
      <w:start w:val="1"/>
      <w:numFmt w:val="decimal"/>
      <w:lvlText w:val="%9."/>
      <w:lvlJc w:val="left"/>
      <w:pPr>
        <w:tabs>
          <w:tab w:val="num" w:pos="6480"/>
        </w:tabs>
        <w:ind w:left="6480" w:hanging="360"/>
      </w:pPr>
    </w:lvl>
  </w:abstractNum>
  <w:abstractNum w:abstractNumId="7">
    <w:nsid w:val="755D41D8"/>
    <w:multiLevelType w:val="multilevel"/>
    <w:tmpl w:val="A22E4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DD"/>
    <w:rsid w:val="000234BD"/>
    <w:rsid w:val="0003116E"/>
    <w:rsid w:val="00057CB9"/>
    <w:rsid w:val="00085258"/>
    <w:rsid w:val="00092414"/>
    <w:rsid w:val="00096831"/>
    <w:rsid w:val="000A66FA"/>
    <w:rsid w:val="000B2715"/>
    <w:rsid w:val="000C06ED"/>
    <w:rsid w:val="000D0E5C"/>
    <w:rsid w:val="000D3172"/>
    <w:rsid w:val="000D3C76"/>
    <w:rsid w:val="00105A13"/>
    <w:rsid w:val="00126067"/>
    <w:rsid w:val="00130C4D"/>
    <w:rsid w:val="001464B1"/>
    <w:rsid w:val="001625E4"/>
    <w:rsid w:val="001641C9"/>
    <w:rsid w:val="001A3792"/>
    <w:rsid w:val="001C4C97"/>
    <w:rsid w:val="001F2A81"/>
    <w:rsid w:val="002859FC"/>
    <w:rsid w:val="002D0705"/>
    <w:rsid w:val="003035AF"/>
    <w:rsid w:val="00322F63"/>
    <w:rsid w:val="0032522E"/>
    <w:rsid w:val="003336D3"/>
    <w:rsid w:val="00340B38"/>
    <w:rsid w:val="00361C57"/>
    <w:rsid w:val="003F37B4"/>
    <w:rsid w:val="004072B9"/>
    <w:rsid w:val="004242C6"/>
    <w:rsid w:val="00495264"/>
    <w:rsid w:val="0049582C"/>
    <w:rsid w:val="004B5FDA"/>
    <w:rsid w:val="005267C9"/>
    <w:rsid w:val="00526F3D"/>
    <w:rsid w:val="005305AD"/>
    <w:rsid w:val="005E3FAB"/>
    <w:rsid w:val="00605C74"/>
    <w:rsid w:val="00611E53"/>
    <w:rsid w:val="006223E6"/>
    <w:rsid w:val="00624AC1"/>
    <w:rsid w:val="00625630"/>
    <w:rsid w:val="006441F8"/>
    <w:rsid w:val="006501AE"/>
    <w:rsid w:val="006615CE"/>
    <w:rsid w:val="006739DD"/>
    <w:rsid w:val="00677846"/>
    <w:rsid w:val="006A02CC"/>
    <w:rsid w:val="006C3598"/>
    <w:rsid w:val="006E3D8A"/>
    <w:rsid w:val="006F5703"/>
    <w:rsid w:val="00707141"/>
    <w:rsid w:val="00707348"/>
    <w:rsid w:val="00710FB1"/>
    <w:rsid w:val="00750FBC"/>
    <w:rsid w:val="007B1957"/>
    <w:rsid w:val="007B34B3"/>
    <w:rsid w:val="007C0F52"/>
    <w:rsid w:val="007C7392"/>
    <w:rsid w:val="007D2D5B"/>
    <w:rsid w:val="007E54C2"/>
    <w:rsid w:val="00800471"/>
    <w:rsid w:val="0081151C"/>
    <w:rsid w:val="00813DF2"/>
    <w:rsid w:val="008314A2"/>
    <w:rsid w:val="00856557"/>
    <w:rsid w:val="00864B68"/>
    <w:rsid w:val="00885536"/>
    <w:rsid w:val="008B55B3"/>
    <w:rsid w:val="008D2D93"/>
    <w:rsid w:val="00955BB9"/>
    <w:rsid w:val="00960D2A"/>
    <w:rsid w:val="009671FB"/>
    <w:rsid w:val="00970277"/>
    <w:rsid w:val="00974C5C"/>
    <w:rsid w:val="009971F5"/>
    <w:rsid w:val="00A14AA6"/>
    <w:rsid w:val="00A1715A"/>
    <w:rsid w:val="00A1768F"/>
    <w:rsid w:val="00A32CF9"/>
    <w:rsid w:val="00A43F16"/>
    <w:rsid w:val="00A544D4"/>
    <w:rsid w:val="00A81011"/>
    <w:rsid w:val="00AA0989"/>
    <w:rsid w:val="00B04677"/>
    <w:rsid w:val="00B11A8C"/>
    <w:rsid w:val="00B54E79"/>
    <w:rsid w:val="00B86524"/>
    <w:rsid w:val="00BE0E63"/>
    <w:rsid w:val="00C04D43"/>
    <w:rsid w:val="00C27553"/>
    <w:rsid w:val="00C42F64"/>
    <w:rsid w:val="00C6427B"/>
    <w:rsid w:val="00C70353"/>
    <w:rsid w:val="00C75395"/>
    <w:rsid w:val="00CA0E84"/>
    <w:rsid w:val="00CA3413"/>
    <w:rsid w:val="00CD5B98"/>
    <w:rsid w:val="00CE54C5"/>
    <w:rsid w:val="00CF431B"/>
    <w:rsid w:val="00D42514"/>
    <w:rsid w:val="00D65D16"/>
    <w:rsid w:val="00D66E75"/>
    <w:rsid w:val="00D67CA7"/>
    <w:rsid w:val="00DA2432"/>
    <w:rsid w:val="00DF4975"/>
    <w:rsid w:val="00E05827"/>
    <w:rsid w:val="00E05B81"/>
    <w:rsid w:val="00E14D9B"/>
    <w:rsid w:val="00E76657"/>
    <w:rsid w:val="00EB128F"/>
    <w:rsid w:val="00EF2545"/>
    <w:rsid w:val="00F03ECA"/>
    <w:rsid w:val="00F13386"/>
    <w:rsid w:val="00F21A19"/>
    <w:rsid w:val="00F52AE0"/>
    <w:rsid w:val="00F60775"/>
    <w:rsid w:val="00FB7964"/>
    <w:rsid w:val="00FF1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DocumentMap">
    <w:name w:val="Document Map"/>
    <w:basedOn w:val="Normal"/>
    <w:semiHidden/>
    <w:rsid w:val="00E05827"/>
    <w:pPr>
      <w:shd w:val="clear" w:color="auto" w:fill="000080"/>
    </w:pPr>
    <w:rPr>
      <w:rFonts w:ascii="Tahoma" w:hAnsi="Tahoma" w:cs="Tahoma"/>
      <w:sz w:val="20"/>
    </w:rPr>
  </w:style>
  <w:style w:type="paragraph" w:styleId="ListParagraph">
    <w:name w:val="List Paragraph"/>
    <w:basedOn w:val="Normal"/>
    <w:uiPriority w:val="34"/>
    <w:qFormat/>
    <w:rsid w:val="00F60775"/>
    <w:pPr>
      <w:ind w:left="720"/>
      <w:contextualSpacing/>
    </w:pPr>
  </w:style>
  <w:style w:type="character" w:customStyle="1" w:styleId="HeaderChar">
    <w:name w:val="Header Char"/>
    <w:link w:val="Header"/>
    <w:rsid w:val="00DA2432"/>
    <w:rPr>
      <w:rFonts w:ascii="Arial" w:hAnsi="Arial"/>
      <w:sz w:val="22"/>
    </w:rPr>
  </w:style>
  <w:style w:type="character" w:customStyle="1" w:styleId="BodyTextIndentChar">
    <w:name w:val="Body Text Indent Char"/>
    <w:link w:val="BodyTextIndent"/>
    <w:rsid w:val="00DA2432"/>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rFonts w:ascii="Arial" w:hAnsi="Arial"/>
      <w:sz w:val="22"/>
    </w:rPr>
  </w:style>
  <w:style w:type="paragraph" w:styleId="BodyTextIndent">
    <w:name w:val="Body Text Indent"/>
    <w:basedOn w:val="Normal"/>
    <w:link w:val="BodyTextIndentChar"/>
    <w:pPr>
      <w:ind w:left="1276" w:hanging="1276"/>
    </w:pPr>
  </w:style>
  <w:style w:type="paragraph" w:styleId="BodyTextIndent2">
    <w:name w:val="Body Text Indent 2"/>
    <w:basedOn w:val="Normal"/>
    <w:pPr>
      <w:ind w:left="2707" w:hanging="2707"/>
    </w:pPr>
  </w:style>
  <w:style w:type="paragraph" w:styleId="DocumentMap">
    <w:name w:val="Document Map"/>
    <w:basedOn w:val="Normal"/>
    <w:semiHidden/>
    <w:rsid w:val="00E05827"/>
    <w:pPr>
      <w:shd w:val="clear" w:color="auto" w:fill="000080"/>
    </w:pPr>
    <w:rPr>
      <w:rFonts w:ascii="Tahoma" w:hAnsi="Tahoma" w:cs="Tahoma"/>
      <w:sz w:val="20"/>
    </w:rPr>
  </w:style>
  <w:style w:type="paragraph" w:styleId="ListParagraph">
    <w:name w:val="List Paragraph"/>
    <w:basedOn w:val="Normal"/>
    <w:uiPriority w:val="34"/>
    <w:qFormat/>
    <w:rsid w:val="00F60775"/>
    <w:pPr>
      <w:ind w:left="720"/>
      <w:contextualSpacing/>
    </w:pPr>
  </w:style>
  <w:style w:type="character" w:customStyle="1" w:styleId="HeaderChar">
    <w:name w:val="Header Char"/>
    <w:link w:val="Header"/>
    <w:rsid w:val="00DA2432"/>
    <w:rPr>
      <w:rFonts w:ascii="Arial" w:hAnsi="Arial"/>
      <w:sz w:val="22"/>
    </w:rPr>
  </w:style>
  <w:style w:type="character" w:customStyle="1" w:styleId="BodyTextIndentChar">
    <w:name w:val="Body Text Indent Char"/>
    <w:link w:val="BodyTextIndent"/>
    <w:rsid w:val="00DA243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49319">
      <w:bodyDiv w:val="1"/>
      <w:marLeft w:val="0"/>
      <w:marRight w:val="0"/>
      <w:marTop w:val="0"/>
      <w:marBottom w:val="0"/>
      <w:divBdr>
        <w:top w:val="none" w:sz="0" w:space="0" w:color="auto"/>
        <w:left w:val="none" w:sz="0" w:space="0" w:color="auto"/>
        <w:bottom w:val="none" w:sz="0" w:space="0" w:color="auto"/>
        <w:right w:val="none" w:sz="0" w:space="0" w:color="auto"/>
      </w:divBdr>
      <w:divsChild>
        <w:div w:id="1834025436">
          <w:marLeft w:val="0"/>
          <w:marRight w:val="0"/>
          <w:marTop w:val="0"/>
          <w:marBottom w:val="0"/>
          <w:divBdr>
            <w:top w:val="none" w:sz="0" w:space="0" w:color="auto"/>
            <w:left w:val="none" w:sz="0" w:space="0" w:color="auto"/>
            <w:bottom w:val="none" w:sz="0" w:space="0" w:color="auto"/>
            <w:right w:val="none" w:sz="0" w:space="0" w:color="auto"/>
          </w:divBdr>
          <w:divsChild>
            <w:div w:id="71244064">
              <w:marLeft w:val="0"/>
              <w:marRight w:val="0"/>
              <w:marTop w:val="0"/>
              <w:marBottom w:val="0"/>
              <w:divBdr>
                <w:top w:val="none" w:sz="0" w:space="0" w:color="auto"/>
                <w:left w:val="none" w:sz="0" w:space="0" w:color="auto"/>
                <w:bottom w:val="none" w:sz="0" w:space="0" w:color="auto"/>
                <w:right w:val="none" w:sz="0" w:space="0" w:color="auto"/>
              </w:divBdr>
            </w:div>
            <w:div w:id="402146488">
              <w:marLeft w:val="0"/>
              <w:marRight w:val="0"/>
              <w:marTop w:val="0"/>
              <w:marBottom w:val="0"/>
              <w:divBdr>
                <w:top w:val="none" w:sz="0" w:space="0" w:color="auto"/>
                <w:left w:val="none" w:sz="0" w:space="0" w:color="auto"/>
                <w:bottom w:val="none" w:sz="0" w:space="0" w:color="auto"/>
                <w:right w:val="none" w:sz="0" w:space="0" w:color="auto"/>
              </w:divBdr>
            </w:div>
            <w:div w:id="881481542">
              <w:marLeft w:val="0"/>
              <w:marRight w:val="0"/>
              <w:marTop w:val="0"/>
              <w:marBottom w:val="0"/>
              <w:divBdr>
                <w:top w:val="none" w:sz="0" w:space="0" w:color="auto"/>
                <w:left w:val="none" w:sz="0" w:space="0" w:color="auto"/>
                <w:bottom w:val="none" w:sz="0" w:space="0" w:color="auto"/>
                <w:right w:val="none" w:sz="0" w:space="0" w:color="auto"/>
              </w:divBdr>
            </w:div>
            <w:div w:id="1011840101">
              <w:marLeft w:val="0"/>
              <w:marRight w:val="0"/>
              <w:marTop w:val="0"/>
              <w:marBottom w:val="0"/>
              <w:divBdr>
                <w:top w:val="none" w:sz="0" w:space="0" w:color="auto"/>
                <w:left w:val="none" w:sz="0" w:space="0" w:color="auto"/>
                <w:bottom w:val="none" w:sz="0" w:space="0" w:color="auto"/>
                <w:right w:val="none" w:sz="0" w:space="0" w:color="auto"/>
              </w:divBdr>
            </w:div>
            <w:div w:id="1223828879">
              <w:marLeft w:val="0"/>
              <w:marRight w:val="0"/>
              <w:marTop w:val="0"/>
              <w:marBottom w:val="0"/>
              <w:divBdr>
                <w:top w:val="none" w:sz="0" w:space="0" w:color="auto"/>
                <w:left w:val="none" w:sz="0" w:space="0" w:color="auto"/>
                <w:bottom w:val="none" w:sz="0" w:space="0" w:color="auto"/>
                <w:right w:val="none" w:sz="0" w:space="0" w:color="auto"/>
              </w:divBdr>
            </w:div>
            <w:div w:id="1616519491">
              <w:marLeft w:val="0"/>
              <w:marRight w:val="0"/>
              <w:marTop w:val="0"/>
              <w:marBottom w:val="0"/>
              <w:divBdr>
                <w:top w:val="none" w:sz="0" w:space="0" w:color="auto"/>
                <w:left w:val="none" w:sz="0" w:space="0" w:color="auto"/>
                <w:bottom w:val="none" w:sz="0" w:space="0" w:color="auto"/>
                <w:right w:val="none" w:sz="0" w:space="0" w:color="auto"/>
              </w:divBdr>
            </w:div>
            <w:div w:id="1636636863">
              <w:marLeft w:val="0"/>
              <w:marRight w:val="0"/>
              <w:marTop w:val="0"/>
              <w:marBottom w:val="0"/>
              <w:divBdr>
                <w:top w:val="none" w:sz="0" w:space="0" w:color="auto"/>
                <w:left w:val="none" w:sz="0" w:space="0" w:color="auto"/>
                <w:bottom w:val="none" w:sz="0" w:space="0" w:color="auto"/>
                <w:right w:val="none" w:sz="0" w:space="0" w:color="auto"/>
              </w:divBdr>
            </w:div>
            <w:div w:id="1637485520">
              <w:marLeft w:val="0"/>
              <w:marRight w:val="0"/>
              <w:marTop w:val="0"/>
              <w:marBottom w:val="0"/>
              <w:divBdr>
                <w:top w:val="none" w:sz="0" w:space="0" w:color="auto"/>
                <w:left w:val="none" w:sz="0" w:space="0" w:color="auto"/>
                <w:bottom w:val="none" w:sz="0" w:space="0" w:color="auto"/>
                <w:right w:val="none" w:sz="0" w:space="0" w:color="auto"/>
              </w:divBdr>
            </w:div>
            <w:div w:id="17846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517</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Audit Committee 13.06.13: part i - (06) external audit plan</vt:lpstr>
    </vt:vector>
  </TitlesOfParts>
  <Company>Pre-installed Company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(06) external audit plan</dc:title>
  <dc:creator>Three Rivers DC</dc:creator>
  <cp:lastModifiedBy>Sarah Haythorpe</cp:lastModifiedBy>
  <cp:revision>5</cp:revision>
  <cp:lastPrinted>2013-05-29T10:56:00Z</cp:lastPrinted>
  <dcterms:created xsi:type="dcterms:W3CDTF">2018-03-12T12:41:00Z</dcterms:created>
  <dcterms:modified xsi:type="dcterms:W3CDTF">2018-03-12T14:16:00Z</dcterms:modified>
</cp:coreProperties>
</file>