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4" w:rsidRDefault="00370304"/>
    <w:p w:rsidR="00370304" w:rsidRPr="00F81512" w:rsidRDefault="00F81512" w:rsidP="00F81512">
      <w:pPr>
        <w:ind w:left="11520" w:firstLine="720"/>
        <w:rPr>
          <w:rFonts w:ascii="Arial" w:hAnsi="Arial" w:cs="Arial"/>
        </w:rPr>
      </w:pPr>
      <w:r w:rsidRPr="00F81512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>B</w:t>
      </w:r>
      <w:r w:rsidRPr="00F81512">
        <w:rPr>
          <w:rFonts w:ascii="Arial" w:hAnsi="Arial" w:cs="Arial"/>
        </w:rPr>
        <w:t xml:space="preserve"> </w:t>
      </w:r>
    </w:p>
    <w:p w:rsidR="00370304" w:rsidRDefault="00370304"/>
    <w:p w:rsidR="004A7213" w:rsidRDefault="004A7213"/>
    <w:p w:rsidR="004A7213" w:rsidRDefault="004A7213"/>
    <w:p w:rsidR="004A7213" w:rsidRDefault="004A7213"/>
    <w:p w:rsidR="004A7213" w:rsidRDefault="004A7213"/>
    <w:p w:rsidR="004A7213" w:rsidRDefault="004A7213"/>
    <w:p w:rsidR="00370304" w:rsidRDefault="00370304"/>
    <w:p w:rsidR="00370304" w:rsidRPr="002827C4" w:rsidRDefault="00AA6FC1" w:rsidP="00370304">
      <w:pPr>
        <w:jc w:val="center"/>
        <w:outlineLvl w:val="0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Three Rivers District </w:t>
      </w:r>
      <w:r w:rsidR="00370304" w:rsidRPr="002827C4">
        <w:rPr>
          <w:rFonts w:ascii="Arial" w:hAnsi="Arial" w:cs="Arial"/>
          <w:sz w:val="40"/>
          <w:szCs w:val="40"/>
        </w:rPr>
        <w:t>Council</w:t>
      </w:r>
      <w:proofErr w:type="gramEnd"/>
    </w:p>
    <w:p w:rsidR="00370304" w:rsidRPr="002827C4" w:rsidRDefault="00AA6FC1" w:rsidP="00370304">
      <w:pPr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Audit Committee </w:t>
      </w:r>
      <w:r w:rsidR="00CA0ABA">
        <w:rPr>
          <w:rFonts w:ascii="Arial" w:hAnsi="Arial" w:cs="Arial"/>
          <w:sz w:val="40"/>
          <w:szCs w:val="40"/>
        </w:rPr>
        <w:t xml:space="preserve"> </w:t>
      </w:r>
      <w:r w:rsidR="004B1696">
        <w:rPr>
          <w:rFonts w:ascii="Arial" w:hAnsi="Arial" w:cs="Arial"/>
          <w:sz w:val="40"/>
          <w:szCs w:val="40"/>
        </w:rPr>
        <w:t xml:space="preserve"> </w:t>
      </w:r>
    </w:p>
    <w:p w:rsidR="00370304" w:rsidRDefault="00FD7803" w:rsidP="00370304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D7803">
        <w:rPr>
          <w:rFonts w:ascii="Arial" w:hAnsi="Arial" w:cs="Arial"/>
          <w:sz w:val="40"/>
          <w:szCs w:val="40"/>
        </w:rPr>
        <w:t>2</w:t>
      </w:r>
      <w:r w:rsidR="00AA6FC1">
        <w:rPr>
          <w:rFonts w:ascii="Arial" w:hAnsi="Arial" w:cs="Arial"/>
          <w:sz w:val="40"/>
          <w:szCs w:val="40"/>
        </w:rPr>
        <w:t>0</w:t>
      </w:r>
      <w:r w:rsidR="007E6A88" w:rsidRPr="00FD7803">
        <w:rPr>
          <w:rFonts w:ascii="Arial" w:hAnsi="Arial" w:cs="Arial"/>
          <w:sz w:val="40"/>
          <w:szCs w:val="40"/>
        </w:rPr>
        <w:t xml:space="preserve"> </w:t>
      </w:r>
      <w:r w:rsidR="00AA6FC1">
        <w:rPr>
          <w:rFonts w:ascii="Arial" w:hAnsi="Arial" w:cs="Arial"/>
          <w:sz w:val="40"/>
          <w:szCs w:val="40"/>
        </w:rPr>
        <w:t xml:space="preserve">March </w:t>
      </w:r>
      <w:r w:rsidR="004264E2" w:rsidRPr="004264E2">
        <w:rPr>
          <w:rFonts w:ascii="Arial" w:hAnsi="Arial" w:cs="Arial"/>
          <w:sz w:val="40"/>
          <w:szCs w:val="40"/>
        </w:rPr>
        <w:t>201</w:t>
      </w:r>
      <w:r w:rsidR="001766EF">
        <w:rPr>
          <w:rFonts w:ascii="Arial" w:hAnsi="Arial" w:cs="Arial"/>
          <w:sz w:val="40"/>
          <w:szCs w:val="40"/>
        </w:rPr>
        <w:t>8</w:t>
      </w:r>
    </w:p>
    <w:p w:rsidR="00370304" w:rsidRDefault="00370304" w:rsidP="00370304">
      <w:pPr>
        <w:jc w:val="center"/>
        <w:outlineLvl w:val="0"/>
        <w:rPr>
          <w:rFonts w:ascii="Arial" w:hAnsi="Arial" w:cs="Arial"/>
          <w:sz w:val="40"/>
          <w:szCs w:val="40"/>
        </w:rPr>
      </w:pPr>
    </w:p>
    <w:p w:rsidR="00370304" w:rsidRPr="005F620C" w:rsidRDefault="00DC5D69" w:rsidP="00370304">
      <w:pPr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Watford </w:t>
      </w:r>
      <w:r w:rsidR="00A25F69">
        <w:rPr>
          <w:rFonts w:ascii="Arial" w:hAnsi="Arial" w:cs="Arial"/>
          <w:sz w:val="40"/>
          <w:szCs w:val="40"/>
        </w:rPr>
        <w:t xml:space="preserve">&amp; Three Rivers Shared Services </w:t>
      </w:r>
      <w:r w:rsidR="00370304">
        <w:rPr>
          <w:rFonts w:ascii="Arial" w:hAnsi="Arial" w:cs="Arial"/>
          <w:sz w:val="40"/>
          <w:szCs w:val="40"/>
        </w:rPr>
        <w:t>201</w:t>
      </w:r>
      <w:r w:rsidR="001766EF">
        <w:rPr>
          <w:rFonts w:ascii="Arial" w:hAnsi="Arial" w:cs="Arial"/>
          <w:sz w:val="40"/>
          <w:szCs w:val="40"/>
        </w:rPr>
        <w:t>8</w:t>
      </w:r>
      <w:r w:rsidR="00370304">
        <w:rPr>
          <w:rFonts w:ascii="Arial" w:hAnsi="Arial" w:cs="Arial"/>
          <w:sz w:val="40"/>
          <w:szCs w:val="40"/>
        </w:rPr>
        <w:t>/1</w:t>
      </w:r>
      <w:r w:rsidR="001766EF">
        <w:rPr>
          <w:rFonts w:ascii="Arial" w:hAnsi="Arial" w:cs="Arial"/>
          <w:sz w:val="40"/>
          <w:szCs w:val="40"/>
        </w:rPr>
        <w:t>9</w:t>
      </w:r>
      <w:r w:rsidR="00370304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  <w:r w:rsidR="00370304">
        <w:rPr>
          <w:rFonts w:ascii="Arial" w:hAnsi="Arial" w:cs="Arial"/>
          <w:sz w:val="40"/>
          <w:szCs w:val="40"/>
        </w:rPr>
        <w:t>Internal Audit Plan</w:t>
      </w:r>
    </w:p>
    <w:p w:rsidR="00370304" w:rsidRDefault="00370304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Default="00F81512" w:rsidP="00370304">
      <w:pPr>
        <w:rPr>
          <w:rFonts w:ascii="Arial" w:hAnsi="Arial" w:cs="Arial"/>
        </w:rPr>
      </w:pPr>
    </w:p>
    <w:p w:rsidR="00F81512" w:rsidRPr="005F620C" w:rsidRDefault="00F81512" w:rsidP="00370304">
      <w:pPr>
        <w:rPr>
          <w:rFonts w:ascii="Arial" w:hAnsi="Arial" w:cs="Arial"/>
        </w:rPr>
      </w:pPr>
    </w:p>
    <w:p w:rsidR="00370304" w:rsidRDefault="00370304" w:rsidP="00370304">
      <w:pPr>
        <w:tabs>
          <w:tab w:val="left" w:pos="4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9"/>
        <w:gridCol w:w="9133"/>
        <w:gridCol w:w="55"/>
        <w:gridCol w:w="1362"/>
        <w:gridCol w:w="56"/>
        <w:gridCol w:w="1308"/>
      </w:tblGrid>
      <w:tr w:rsidR="00CF52F2" w:rsidTr="00447D96">
        <w:trPr>
          <w:tblHeader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00CCFF"/>
          </w:tcPr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 xml:space="preserve">Audit </w:t>
            </w:r>
          </w:p>
          <w:p w:rsidR="003A48FF" w:rsidRDefault="003A48FF" w:rsidP="00F81B8C"/>
        </w:tc>
        <w:tc>
          <w:tcPr>
            <w:tcW w:w="9133" w:type="dxa"/>
            <w:tcBorders>
              <w:bottom w:val="single" w:sz="4" w:space="0" w:color="auto"/>
            </w:tcBorders>
            <w:shd w:val="clear" w:color="auto" w:fill="00CCFF"/>
          </w:tcPr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Default="003A48FF" w:rsidP="005905D7">
            <w:r w:rsidRPr="00C6475B">
              <w:rPr>
                <w:rFonts w:ascii="Arial" w:hAnsi="Arial" w:cs="Arial"/>
                <w:b/>
              </w:rPr>
              <w:t>Proposed Outline Scope / Reason for Inclusion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00CCFF"/>
          </w:tcPr>
          <w:p w:rsidR="003A48FF" w:rsidRDefault="003A48FF" w:rsidP="003A48FF">
            <w:pPr>
              <w:jc w:val="center"/>
              <w:rPr>
                <w:rFonts w:ascii="Arial" w:hAnsi="Arial" w:cs="Arial"/>
                <w:b/>
              </w:rPr>
            </w:pPr>
          </w:p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Days 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00CCFF"/>
          </w:tcPr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C6475B" w:rsidRDefault="006F7621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Estimated </w:t>
            </w:r>
            <w:r w:rsidR="003A48FF" w:rsidRPr="00C6475B">
              <w:rPr>
                <w:rFonts w:ascii="Arial" w:hAnsi="Arial" w:cs="Arial"/>
                <w:b/>
              </w:rPr>
              <w:t>Target Quarter</w:t>
            </w:r>
          </w:p>
        </w:tc>
      </w:tr>
      <w:tr w:rsidR="00C50528" w:rsidRPr="00C6475B" w:rsidTr="007A0AB8">
        <w:tc>
          <w:tcPr>
            <w:tcW w:w="14170" w:type="dxa"/>
            <w:gridSpan w:val="7"/>
          </w:tcPr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  <w:p w:rsidR="00C50528" w:rsidRPr="00C6475B" w:rsidRDefault="00C50528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>KEY FINANCIAL SYSTEMS</w:t>
            </w:r>
          </w:p>
          <w:p w:rsidR="00DA0EAD" w:rsidRDefault="00DA0EAD" w:rsidP="00DA0EAD">
            <w:pPr>
              <w:rPr>
                <w:rFonts w:ascii="Arial" w:hAnsi="Arial" w:cs="Arial"/>
                <w:color w:val="000000"/>
              </w:rPr>
            </w:pPr>
            <w:r w:rsidRPr="008E37DC">
              <w:rPr>
                <w:rFonts w:ascii="Arial" w:hAnsi="Arial" w:cs="Arial"/>
                <w:color w:val="000000"/>
              </w:rPr>
              <w:t>Key financial systems are of critical importance to sound financial management and</w:t>
            </w:r>
            <w:r w:rsidR="00E52A94">
              <w:rPr>
                <w:rFonts w:ascii="Arial" w:hAnsi="Arial" w:cs="Arial"/>
                <w:color w:val="000000"/>
              </w:rPr>
              <w:t xml:space="preserve"> financial reporting.  </w:t>
            </w:r>
            <w:proofErr w:type="gramStart"/>
            <w:r w:rsidR="00E52A94">
              <w:rPr>
                <w:rFonts w:ascii="Arial" w:hAnsi="Arial" w:cs="Arial"/>
                <w:color w:val="000000"/>
              </w:rPr>
              <w:t xml:space="preserve">Management  </w:t>
            </w:r>
            <w:r>
              <w:rPr>
                <w:rFonts w:ascii="Arial" w:hAnsi="Arial" w:cs="Arial"/>
                <w:color w:val="000000"/>
              </w:rPr>
              <w:t>need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8E37DC">
              <w:rPr>
                <w:rFonts w:ascii="Arial" w:hAnsi="Arial" w:cs="Arial"/>
                <w:color w:val="000000"/>
              </w:rPr>
              <w:t>to be assured that the</w:t>
            </w:r>
            <w:r>
              <w:rPr>
                <w:rFonts w:ascii="Arial" w:hAnsi="Arial" w:cs="Arial"/>
                <w:color w:val="000000"/>
              </w:rPr>
              <w:t xml:space="preserve">se </w:t>
            </w:r>
            <w:r w:rsidRPr="008E37DC">
              <w:rPr>
                <w:rFonts w:ascii="Arial" w:hAnsi="Arial" w:cs="Arial"/>
                <w:color w:val="000000"/>
              </w:rPr>
              <w:t xml:space="preserve">systems are soundly controlled in order to meet </w:t>
            </w:r>
            <w:r>
              <w:rPr>
                <w:rFonts w:ascii="Arial" w:hAnsi="Arial" w:cs="Arial"/>
                <w:color w:val="000000"/>
              </w:rPr>
              <w:t xml:space="preserve">organisational objectives. </w:t>
            </w:r>
          </w:p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6F7621" w:rsidRDefault="006F7621" w:rsidP="005905D7">
            <w:pPr>
              <w:rPr>
                <w:rFonts w:ascii="Arial" w:hAnsi="Arial" w:cs="Arial"/>
              </w:rPr>
            </w:pPr>
          </w:p>
          <w:p w:rsidR="006F7621" w:rsidRDefault="006F7621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</w:t>
            </w:r>
          </w:p>
        </w:tc>
        <w:tc>
          <w:tcPr>
            <w:tcW w:w="9133" w:type="dxa"/>
            <w:shd w:val="clear" w:color="auto" w:fill="auto"/>
          </w:tcPr>
          <w:p w:rsidR="006F7621" w:rsidRPr="00351665" w:rsidRDefault="006F7621" w:rsidP="006F7621">
            <w:pPr>
              <w:tabs>
                <w:tab w:val="left" w:pos="2055"/>
              </w:tabs>
              <w:rPr>
                <w:rFonts w:ascii="Arial" w:hAnsi="Arial" w:cs="Arial"/>
              </w:rPr>
            </w:pPr>
            <w:r w:rsidRPr="00351665">
              <w:rPr>
                <w:rFonts w:ascii="Arial" w:hAnsi="Arial" w:cs="Arial"/>
              </w:rPr>
              <w:tab/>
            </w:r>
          </w:p>
          <w:p w:rsidR="006F7621" w:rsidRPr="00BD1191" w:rsidRDefault="006F7621" w:rsidP="006F7621">
            <w:pPr>
              <w:rPr>
                <w:rFonts w:ascii="Arial" w:hAnsi="Arial" w:cs="Arial"/>
              </w:rPr>
            </w:pPr>
            <w:r w:rsidRPr="00BD1191">
              <w:rPr>
                <w:rFonts w:ascii="Arial" w:hAnsi="Arial" w:cs="Arial"/>
              </w:rPr>
              <w:t xml:space="preserve">Review of </w:t>
            </w:r>
            <w:r w:rsidR="0095431A">
              <w:rPr>
                <w:rFonts w:ascii="Arial" w:hAnsi="Arial" w:cs="Arial"/>
              </w:rPr>
              <w:t>Housing Benefit and Local Council Tax Support t</w:t>
            </w:r>
            <w:r w:rsidRPr="00BD1191">
              <w:rPr>
                <w:rFonts w:ascii="Arial" w:hAnsi="Arial" w:cs="Arial"/>
              </w:rPr>
              <w:t xml:space="preserve">o confirm that </w:t>
            </w:r>
            <w:r w:rsidR="0095431A">
              <w:rPr>
                <w:rFonts w:ascii="Arial" w:hAnsi="Arial" w:cs="Arial"/>
              </w:rPr>
              <w:t>c</w:t>
            </w:r>
            <w:r w:rsidRPr="00BD1191">
              <w:rPr>
                <w:rFonts w:ascii="Arial" w:hAnsi="Arial" w:cs="Arial"/>
              </w:rPr>
              <w:t xml:space="preserve">ontrols are adequate and </w:t>
            </w:r>
            <w:r w:rsidR="00967B6A">
              <w:rPr>
                <w:rFonts w:ascii="Arial" w:hAnsi="Arial" w:cs="Arial"/>
              </w:rPr>
              <w:t xml:space="preserve">are </w:t>
            </w:r>
            <w:r w:rsidRPr="00BD1191">
              <w:rPr>
                <w:rFonts w:ascii="Arial" w:hAnsi="Arial" w:cs="Arial"/>
              </w:rPr>
              <w:t>operating effectively</w:t>
            </w:r>
            <w:r w:rsidR="00927D98">
              <w:rPr>
                <w:rFonts w:ascii="Arial" w:hAnsi="Arial" w:cs="Arial"/>
              </w:rPr>
              <w:t xml:space="preserve"> and </w:t>
            </w:r>
            <w:r w:rsidR="0095431A">
              <w:rPr>
                <w:rFonts w:ascii="Arial" w:hAnsi="Arial" w:cs="Arial"/>
              </w:rPr>
              <w:t>t</w:t>
            </w:r>
            <w:r w:rsidR="00BD1191">
              <w:rPr>
                <w:rFonts w:ascii="Arial" w:hAnsi="Arial" w:cs="Arial"/>
              </w:rPr>
              <w:t xml:space="preserve">hat previous </w:t>
            </w:r>
            <w:r w:rsidR="0095431A">
              <w:rPr>
                <w:rFonts w:ascii="Arial" w:hAnsi="Arial" w:cs="Arial"/>
              </w:rPr>
              <w:t xml:space="preserve">internal </w:t>
            </w:r>
            <w:r w:rsidR="00BD1191">
              <w:rPr>
                <w:rFonts w:ascii="Arial" w:hAnsi="Arial" w:cs="Arial"/>
              </w:rPr>
              <w:t>audit recommendations have been implemented</w:t>
            </w:r>
            <w:r w:rsidRPr="00BD1191">
              <w:rPr>
                <w:rFonts w:ascii="Arial" w:hAnsi="Arial" w:cs="Arial"/>
              </w:rPr>
              <w:t>.</w:t>
            </w:r>
            <w:r w:rsidR="00DD195C" w:rsidRPr="00BD1191">
              <w:rPr>
                <w:rFonts w:ascii="Arial" w:hAnsi="Arial" w:cs="Arial"/>
              </w:rPr>
              <w:t xml:space="preserve"> </w:t>
            </w:r>
            <w:r w:rsidR="00346ACF">
              <w:rPr>
                <w:rFonts w:ascii="Arial" w:hAnsi="Arial" w:cs="Arial"/>
              </w:rPr>
              <w:t>S</w:t>
            </w:r>
            <w:r w:rsidR="00DD195C" w:rsidRPr="00BD1191">
              <w:rPr>
                <w:rFonts w:ascii="Arial" w:hAnsi="Arial" w:cs="Arial"/>
              </w:rPr>
              <w:t>co</w:t>
            </w:r>
            <w:r w:rsidR="00625134" w:rsidRPr="00BD1191">
              <w:rPr>
                <w:rFonts w:ascii="Arial" w:hAnsi="Arial" w:cs="Arial"/>
              </w:rPr>
              <w:t>pe to be agreed with management</w:t>
            </w:r>
            <w:r w:rsidR="003B5629">
              <w:rPr>
                <w:rFonts w:ascii="Arial" w:hAnsi="Arial" w:cs="Arial"/>
              </w:rPr>
              <w:t xml:space="preserve"> </w:t>
            </w:r>
            <w:r w:rsidR="00C96B2C">
              <w:rPr>
                <w:rFonts w:ascii="Arial" w:hAnsi="Arial" w:cs="Arial"/>
              </w:rPr>
              <w:t>–</w:t>
            </w:r>
            <w:r w:rsidR="003B5629">
              <w:rPr>
                <w:rFonts w:ascii="Arial" w:hAnsi="Arial" w:cs="Arial"/>
              </w:rPr>
              <w:t xml:space="preserve"> </w:t>
            </w:r>
            <w:r w:rsidR="00C96B2C">
              <w:rPr>
                <w:rFonts w:ascii="Arial" w:hAnsi="Arial" w:cs="Arial"/>
              </w:rPr>
              <w:t xml:space="preserve">typical </w:t>
            </w:r>
            <w:r w:rsidR="00625134" w:rsidRPr="00BD1191">
              <w:rPr>
                <w:rFonts w:ascii="Arial" w:hAnsi="Arial" w:cs="Arial"/>
              </w:rPr>
              <w:t xml:space="preserve">areas </w:t>
            </w:r>
            <w:r w:rsidR="00346ACF">
              <w:rPr>
                <w:rFonts w:ascii="Arial" w:hAnsi="Arial" w:cs="Arial"/>
              </w:rPr>
              <w:t>in</w:t>
            </w:r>
            <w:r w:rsidR="00625134" w:rsidRPr="00BD1191">
              <w:rPr>
                <w:rFonts w:ascii="Arial" w:hAnsi="Arial" w:cs="Arial"/>
              </w:rPr>
              <w:t>clude:</w:t>
            </w:r>
          </w:p>
          <w:p w:rsidR="00625134" w:rsidRPr="00BD1191" w:rsidRDefault="00625134" w:rsidP="006F7621">
            <w:pPr>
              <w:rPr>
                <w:rFonts w:ascii="Arial" w:hAnsi="Arial" w:cs="Arial"/>
              </w:rPr>
            </w:pPr>
          </w:p>
          <w:p w:rsidR="00BD1191" w:rsidRPr="00F3736B" w:rsidRDefault="00BD1191" w:rsidP="003B5629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  <w:r w:rsidRPr="00F3736B">
              <w:rPr>
                <w:rFonts w:ascii="Arial" w:hAnsi="Arial" w:cs="Arial"/>
              </w:rPr>
              <w:t>Policies, procedure</w:t>
            </w:r>
            <w:r w:rsidR="00F3736B">
              <w:rPr>
                <w:rFonts w:ascii="Arial" w:hAnsi="Arial" w:cs="Arial"/>
              </w:rPr>
              <w:t>s and set-up of standing data</w:t>
            </w:r>
            <w:r w:rsidR="0095431A">
              <w:rPr>
                <w:rFonts w:ascii="Arial" w:hAnsi="Arial" w:cs="Arial"/>
              </w:rPr>
              <w:t>,</w:t>
            </w:r>
            <w:r w:rsidR="00F3736B">
              <w:rPr>
                <w:rFonts w:ascii="Arial" w:hAnsi="Arial" w:cs="Arial"/>
              </w:rPr>
              <w:t xml:space="preserve"> </w:t>
            </w:r>
          </w:p>
          <w:p w:rsidR="00F3736B" w:rsidRPr="00F3736B" w:rsidRDefault="00F3736B" w:rsidP="00BD1191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Ass</w:t>
            </w:r>
            <w:r w:rsidR="00967B6A">
              <w:rPr>
                <w:rFonts w:ascii="Arial" w:hAnsi="Arial" w:cs="Arial"/>
              </w:rPr>
              <w:t xml:space="preserve">essments, </w:t>
            </w:r>
            <w:r>
              <w:rPr>
                <w:rFonts w:ascii="Arial" w:hAnsi="Arial" w:cs="Arial"/>
              </w:rPr>
              <w:t>backdating</w:t>
            </w:r>
            <w:r w:rsidR="0095431A">
              <w:rPr>
                <w:rFonts w:ascii="Arial" w:hAnsi="Arial" w:cs="Arial"/>
              </w:rPr>
              <w:t>,</w:t>
            </w:r>
            <w:r w:rsidR="00967B6A">
              <w:rPr>
                <w:rFonts w:ascii="Arial" w:hAnsi="Arial" w:cs="Arial"/>
              </w:rPr>
              <w:t xml:space="preserve"> spare room subsidy, benefit cap,</w:t>
            </w:r>
          </w:p>
          <w:p w:rsidR="00F3736B" w:rsidRPr="00493A85" w:rsidRDefault="00BD1191" w:rsidP="00BD1191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493A85">
              <w:rPr>
                <w:rFonts w:ascii="Arial" w:hAnsi="Arial" w:cs="Arial"/>
                <w:color w:val="000000"/>
              </w:rPr>
              <w:t>Recovery and write-off of overpayments</w:t>
            </w:r>
            <w:r w:rsidR="0095431A" w:rsidRPr="00493A85">
              <w:rPr>
                <w:rFonts w:ascii="Arial" w:hAnsi="Arial" w:cs="Arial"/>
                <w:color w:val="000000"/>
              </w:rPr>
              <w:t>,</w:t>
            </w:r>
          </w:p>
          <w:p w:rsidR="00F3736B" w:rsidRDefault="00BD1191" w:rsidP="00BD1191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D1191">
              <w:rPr>
                <w:rFonts w:ascii="Arial" w:hAnsi="Arial" w:cs="Arial"/>
                <w:color w:val="000000"/>
              </w:rPr>
              <w:t>Reconciliation between the benefits system and general ledger</w:t>
            </w:r>
            <w:r w:rsidR="0095431A">
              <w:rPr>
                <w:rFonts w:ascii="Arial" w:hAnsi="Arial" w:cs="Arial"/>
                <w:color w:val="000000"/>
              </w:rPr>
              <w:t>,</w:t>
            </w:r>
          </w:p>
          <w:p w:rsidR="00BD1191" w:rsidRPr="00967B6A" w:rsidRDefault="00BD1191" w:rsidP="00BD1191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967B6A">
              <w:rPr>
                <w:rFonts w:ascii="Arial" w:hAnsi="Arial" w:cs="Arial"/>
                <w:color w:val="000000"/>
              </w:rPr>
              <w:t>System contr</w:t>
            </w:r>
            <w:r w:rsidR="00346ACF" w:rsidRPr="00967B6A">
              <w:rPr>
                <w:rFonts w:ascii="Arial" w:hAnsi="Arial" w:cs="Arial"/>
                <w:color w:val="000000"/>
              </w:rPr>
              <w:t>ols and data retention.</w:t>
            </w:r>
          </w:p>
          <w:p w:rsidR="00F3736B" w:rsidRDefault="00F3736B" w:rsidP="006F7621">
            <w:pPr>
              <w:rPr>
                <w:rFonts w:ascii="Arial" w:hAnsi="Arial" w:cs="Arial"/>
              </w:rPr>
            </w:pPr>
          </w:p>
          <w:p w:rsidR="00107649" w:rsidRDefault="00107649" w:rsidP="006F7621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 xml:space="preserve">will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FE4A51">
              <w:rPr>
                <w:rFonts w:ascii="Arial" w:hAnsi="Arial" w:cs="Arial"/>
                <w:color w:val="000000"/>
              </w:rPr>
              <w:t xml:space="preserve">the </w:t>
            </w:r>
            <w:r w:rsidR="00346ACF"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 w:rsidR="00642DEA"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 w:rsidR="00346ACF"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 xml:space="preserve">financial year </w:t>
            </w:r>
            <w:r w:rsidR="00346ACF"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Pr="00C96B2C">
              <w:rPr>
                <w:rFonts w:ascii="Arial" w:hAnsi="Arial" w:cs="Arial"/>
                <w:color w:val="000000"/>
              </w:rPr>
              <w:t xml:space="preserve">Watford Borough </w:t>
            </w:r>
            <w:r w:rsidR="007B4390">
              <w:rPr>
                <w:rFonts w:ascii="Arial" w:hAnsi="Arial" w:cs="Arial"/>
                <w:color w:val="000000"/>
              </w:rPr>
              <w:t>Council and Three Rivers Council</w:t>
            </w:r>
            <w:r w:rsidR="00642DEA">
              <w:rPr>
                <w:rFonts w:ascii="Arial" w:hAnsi="Arial" w:cs="Arial"/>
                <w:color w:val="000000"/>
              </w:rPr>
              <w:t xml:space="preserve"> cases</w:t>
            </w:r>
            <w:r w:rsidR="007B4390">
              <w:rPr>
                <w:rFonts w:ascii="Arial" w:hAnsi="Arial" w:cs="Arial"/>
                <w:color w:val="000000"/>
              </w:rPr>
              <w:t>.</w:t>
            </w:r>
          </w:p>
          <w:p w:rsidR="00107649" w:rsidRDefault="00107649" w:rsidP="006F7621">
            <w:pPr>
              <w:rPr>
                <w:rFonts w:ascii="Arial" w:hAnsi="Arial" w:cs="Arial"/>
              </w:rPr>
            </w:pPr>
          </w:p>
          <w:p w:rsidR="00010E6F" w:rsidRDefault="00A50213" w:rsidP="00010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10E6F">
              <w:rPr>
                <w:rFonts w:ascii="Arial" w:hAnsi="Arial" w:cs="Arial"/>
              </w:rPr>
              <w:t xml:space="preserve">esting of </w:t>
            </w:r>
            <w:r>
              <w:rPr>
                <w:rFonts w:ascii="Arial" w:hAnsi="Arial" w:cs="Arial"/>
              </w:rPr>
              <w:t>201</w:t>
            </w:r>
            <w:r w:rsidR="008414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="008414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010E6F">
              <w:rPr>
                <w:rFonts w:ascii="Arial" w:hAnsi="Arial" w:cs="Arial"/>
              </w:rPr>
              <w:t>standing data will be carried out in May 201</w:t>
            </w:r>
            <w:r w:rsidR="008414C7">
              <w:rPr>
                <w:rFonts w:ascii="Arial" w:hAnsi="Arial" w:cs="Arial"/>
              </w:rPr>
              <w:t>8</w:t>
            </w:r>
            <w:r w:rsidR="00010E6F">
              <w:rPr>
                <w:rFonts w:ascii="Arial" w:hAnsi="Arial" w:cs="Arial"/>
              </w:rPr>
              <w:t xml:space="preserve"> to give assurance early in the year that these have been correctly set </w:t>
            </w:r>
            <w:r w:rsidR="00642DEA">
              <w:rPr>
                <w:rFonts w:ascii="Arial" w:hAnsi="Arial" w:cs="Arial"/>
              </w:rPr>
              <w:t>with</w:t>
            </w:r>
            <w:r w:rsidR="00010E6F">
              <w:rPr>
                <w:rFonts w:ascii="Arial" w:hAnsi="Arial" w:cs="Arial"/>
              </w:rPr>
              <w:t xml:space="preserve">in </w:t>
            </w:r>
            <w:r w:rsidR="0094681D">
              <w:rPr>
                <w:rFonts w:ascii="Arial" w:hAnsi="Arial" w:cs="Arial"/>
              </w:rPr>
              <w:t xml:space="preserve">the </w:t>
            </w:r>
            <w:r w:rsidR="00010E6F">
              <w:rPr>
                <w:rFonts w:ascii="Arial" w:hAnsi="Arial" w:cs="Arial"/>
              </w:rPr>
              <w:t>system parameters.</w:t>
            </w:r>
          </w:p>
          <w:p w:rsidR="00642DEA" w:rsidRPr="00351665" w:rsidRDefault="00642DEA" w:rsidP="00010E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6F7621" w:rsidRDefault="006F7621" w:rsidP="005905D7">
            <w:pPr>
              <w:rPr>
                <w:rFonts w:ascii="Arial" w:hAnsi="Arial" w:cs="Arial"/>
              </w:rPr>
            </w:pPr>
          </w:p>
          <w:p w:rsidR="006F7621" w:rsidRDefault="008414C7" w:rsidP="00E52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2A94">
              <w:rPr>
                <w:rFonts w:ascii="Arial" w:hAnsi="Arial" w:cs="Arial"/>
              </w:rPr>
              <w:t>3</w:t>
            </w:r>
          </w:p>
        </w:tc>
        <w:tc>
          <w:tcPr>
            <w:tcW w:w="1364" w:type="dxa"/>
            <w:gridSpan w:val="2"/>
          </w:tcPr>
          <w:p w:rsidR="006F7621" w:rsidRDefault="006F7621" w:rsidP="006F7621">
            <w:pPr>
              <w:jc w:val="center"/>
              <w:rPr>
                <w:rFonts w:ascii="Arial" w:hAnsi="Arial" w:cs="Arial"/>
              </w:rPr>
            </w:pPr>
          </w:p>
          <w:p w:rsidR="00F3736B" w:rsidRDefault="006F7621" w:rsidP="006F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  <w:r w:rsidR="00F3736B">
              <w:rPr>
                <w:rFonts w:ascii="Arial" w:hAnsi="Arial" w:cs="Arial"/>
              </w:rPr>
              <w:t xml:space="preserve"> </w:t>
            </w:r>
          </w:p>
          <w:p w:rsidR="006F7621" w:rsidRDefault="00F3736B" w:rsidP="006F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(Q1 for system parameter testing)</w:t>
            </w: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6F7621" w:rsidRDefault="006F7621" w:rsidP="005905D7">
            <w:pPr>
              <w:rPr>
                <w:rFonts w:ascii="Arial" w:hAnsi="Arial" w:cs="Arial"/>
              </w:rPr>
            </w:pPr>
          </w:p>
          <w:p w:rsidR="00447D96" w:rsidRDefault="00447D96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Tax</w:t>
            </w:r>
          </w:p>
        </w:tc>
        <w:tc>
          <w:tcPr>
            <w:tcW w:w="9133" w:type="dxa"/>
            <w:shd w:val="clear" w:color="auto" w:fill="auto"/>
          </w:tcPr>
          <w:p w:rsidR="003B5629" w:rsidRPr="00351665" w:rsidRDefault="003B5629" w:rsidP="003B5629">
            <w:pPr>
              <w:tabs>
                <w:tab w:val="left" w:pos="2055"/>
              </w:tabs>
              <w:rPr>
                <w:rFonts w:ascii="Arial" w:hAnsi="Arial" w:cs="Arial"/>
              </w:rPr>
            </w:pPr>
            <w:r w:rsidRPr="00351665">
              <w:rPr>
                <w:rFonts w:ascii="Arial" w:hAnsi="Arial" w:cs="Arial"/>
              </w:rPr>
              <w:tab/>
            </w:r>
          </w:p>
          <w:p w:rsidR="00346ACF" w:rsidRPr="00BD1191" w:rsidRDefault="003B5629" w:rsidP="00346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Council Tax </w:t>
            </w:r>
            <w:r w:rsidRPr="00BD1191">
              <w:rPr>
                <w:rFonts w:ascii="Arial" w:hAnsi="Arial" w:cs="Arial"/>
              </w:rPr>
              <w:t>system to confirm that</w:t>
            </w:r>
            <w:r w:rsidR="00642DEA">
              <w:rPr>
                <w:rFonts w:ascii="Arial" w:hAnsi="Arial" w:cs="Arial"/>
              </w:rPr>
              <w:t xml:space="preserve"> existing controls are adequate</w:t>
            </w:r>
            <w:r w:rsidR="008E34E6">
              <w:rPr>
                <w:rFonts w:ascii="Arial" w:hAnsi="Arial" w:cs="Arial"/>
              </w:rPr>
              <w:t xml:space="preserve"> a</w:t>
            </w:r>
            <w:r w:rsidRPr="00BD1191">
              <w:rPr>
                <w:rFonts w:ascii="Arial" w:hAnsi="Arial" w:cs="Arial"/>
              </w:rPr>
              <w:t xml:space="preserve">nd </w:t>
            </w:r>
            <w:r w:rsidR="00642DEA">
              <w:rPr>
                <w:rFonts w:ascii="Arial" w:hAnsi="Arial" w:cs="Arial"/>
              </w:rPr>
              <w:t xml:space="preserve">are </w:t>
            </w:r>
            <w:r w:rsidRPr="00BD1191">
              <w:rPr>
                <w:rFonts w:ascii="Arial" w:hAnsi="Arial" w:cs="Arial"/>
              </w:rPr>
              <w:t>operating effectively</w:t>
            </w:r>
            <w:r w:rsidR="00927D98">
              <w:rPr>
                <w:rFonts w:ascii="Arial" w:hAnsi="Arial" w:cs="Arial"/>
              </w:rPr>
              <w:t xml:space="preserve"> and </w:t>
            </w:r>
            <w:r w:rsidR="00642DE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hat previous audit recommendations have been implemented</w:t>
            </w:r>
            <w:r w:rsidRPr="00BD1191">
              <w:rPr>
                <w:rFonts w:ascii="Arial" w:hAnsi="Arial" w:cs="Arial"/>
              </w:rPr>
              <w:t xml:space="preserve">. </w:t>
            </w:r>
            <w:r w:rsidR="00346ACF">
              <w:rPr>
                <w:rFonts w:ascii="Arial" w:hAnsi="Arial" w:cs="Arial"/>
              </w:rPr>
              <w:t>S</w:t>
            </w:r>
            <w:r w:rsidR="00346ACF" w:rsidRPr="00BD1191">
              <w:rPr>
                <w:rFonts w:ascii="Arial" w:hAnsi="Arial" w:cs="Arial"/>
              </w:rPr>
              <w:t>cope to be agreed with management</w:t>
            </w:r>
            <w:r w:rsidR="00346ACF">
              <w:rPr>
                <w:rFonts w:ascii="Arial" w:hAnsi="Arial" w:cs="Arial"/>
              </w:rPr>
              <w:t xml:space="preserve"> – typical </w:t>
            </w:r>
            <w:r w:rsidR="00346ACF" w:rsidRPr="00BD1191">
              <w:rPr>
                <w:rFonts w:ascii="Arial" w:hAnsi="Arial" w:cs="Arial"/>
              </w:rPr>
              <w:t xml:space="preserve">areas </w:t>
            </w:r>
            <w:r w:rsidR="00346ACF">
              <w:rPr>
                <w:rFonts w:ascii="Arial" w:hAnsi="Arial" w:cs="Arial"/>
              </w:rPr>
              <w:t>in</w:t>
            </w:r>
            <w:r w:rsidR="00346ACF" w:rsidRPr="00BD1191">
              <w:rPr>
                <w:rFonts w:ascii="Arial" w:hAnsi="Arial" w:cs="Arial"/>
              </w:rPr>
              <w:t>clude:</w:t>
            </w:r>
          </w:p>
          <w:p w:rsidR="003B5629" w:rsidRPr="00BD1191" w:rsidRDefault="003B5629" w:rsidP="003B5629">
            <w:pPr>
              <w:rPr>
                <w:rFonts w:ascii="Arial" w:hAnsi="Arial" w:cs="Arial"/>
              </w:rPr>
            </w:pPr>
          </w:p>
          <w:p w:rsidR="003B5629" w:rsidRDefault="003B5629" w:rsidP="00C96B2C">
            <w:pPr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3B5629">
              <w:rPr>
                <w:rFonts w:ascii="Arial" w:hAnsi="Arial" w:cs="Arial"/>
                <w:color w:val="000000"/>
              </w:rPr>
              <w:lastRenderedPageBreak/>
              <w:t>Polic</w:t>
            </w:r>
            <w:r w:rsidR="00642DEA">
              <w:rPr>
                <w:rFonts w:ascii="Arial" w:hAnsi="Arial" w:cs="Arial"/>
                <w:color w:val="000000"/>
              </w:rPr>
              <w:t xml:space="preserve">ies, </w:t>
            </w:r>
            <w:r w:rsidR="00FE4A51">
              <w:rPr>
                <w:rFonts w:ascii="Arial" w:hAnsi="Arial" w:cs="Arial"/>
                <w:color w:val="000000"/>
              </w:rPr>
              <w:t>p</w:t>
            </w:r>
            <w:r w:rsidR="00642DEA">
              <w:rPr>
                <w:rFonts w:ascii="Arial" w:hAnsi="Arial" w:cs="Arial"/>
                <w:color w:val="000000"/>
              </w:rPr>
              <w:t xml:space="preserve">rocedures and </w:t>
            </w:r>
            <w:r w:rsidR="00FE4A51">
              <w:rPr>
                <w:rFonts w:ascii="Arial" w:hAnsi="Arial" w:cs="Arial"/>
                <w:color w:val="000000"/>
              </w:rPr>
              <w:t>l</w:t>
            </w:r>
            <w:r w:rsidR="00642DEA">
              <w:rPr>
                <w:rFonts w:ascii="Arial" w:hAnsi="Arial" w:cs="Arial"/>
                <w:color w:val="000000"/>
              </w:rPr>
              <w:t>egislation,</w:t>
            </w:r>
          </w:p>
          <w:p w:rsidR="003B5629" w:rsidRDefault="003B5629" w:rsidP="003B5629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3B5629">
              <w:rPr>
                <w:rFonts w:ascii="Arial" w:hAnsi="Arial" w:cs="Arial"/>
                <w:color w:val="000000"/>
              </w:rPr>
              <w:t xml:space="preserve">b)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5629">
              <w:rPr>
                <w:rFonts w:ascii="Arial" w:hAnsi="Arial" w:cs="Arial"/>
                <w:color w:val="000000"/>
              </w:rPr>
              <w:t>A</w:t>
            </w:r>
            <w:r w:rsidR="00642DEA">
              <w:rPr>
                <w:rFonts w:ascii="Arial" w:hAnsi="Arial" w:cs="Arial"/>
                <w:color w:val="000000"/>
              </w:rPr>
              <w:t xml:space="preserve">mendment to Council Tax </w:t>
            </w:r>
            <w:r w:rsidR="00FE4A51">
              <w:rPr>
                <w:rFonts w:ascii="Arial" w:hAnsi="Arial" w:cs="Arial"/>
                <w:color w:val="000000"/>
              </w:rPr>
              <w:t>r</w:t>
            </w:r>
            <w:r w:rsidR="00642DEA">
              <w:rPr>
                <w:rFonts w:ascii="Arial" w:hAnsi="Arial" w:cs="Arial"/>
                <w:color w:val="000000"/>
              </w:rPr>
              <w:t>ecords</w:t>
            </w:r>
            <w:r w:rsidR="00966910">
              <w:rPr>
                <w:rFonts w:ascii="Arial" w:hAnsi="Arial" w:cs="Arial"/>
                <w:color w:val="000000"/>
              </w:rPr>
              <w:t xml:space="preserve"> including reconciliation between Valuation Office Agency and Council records</w:t>
            </w:r>
            <w:r w:rsidR="00642DEA">
              <w:rPr>
                <w:rFonts w:ascii="Arial" w:hAnsi="Arial" w:cs="Arial"/>
                <w:color w:val="000000"/>
              </w:rPr>
              <w:t>,</w:t>
            </w:r>
          </w:p>
          <w:p w:rsidR="003B5629" w:rsidRDefault="003B5629" w:rsidP="003B5629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3B5629">
              <w:rPr>
                <w:rFonts w:ascii="Arial" w:hAnsi="Arial" w:cs="Arial"/>
                <w:color w:val="000000"/>
              </w:rPr>
              <w:t>c)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42DEA">
              <w:rPr>
                <w:rFonts w:ascii="Arial" w:hAnsi="Arial" w:cs="Arial"/>
                <w:color w:val="000000"/>
              </w:rPr>
              <w:t xml:space="preserve"> Discounts </w:t>
            </w:r>
            <w:r w:rsidR="00966910">
              <w:rPr>
                <w:rFonts w:ascii="Arial" w:hAnsi="Arial" w:cs="Arial"/>
                <w:color w:val="000000"/>
              </w:rPr>
              <w:t xml:space="preserve">(single persons, disabled persons) </w:t>
            </w:r>
            <w:r w:rsidR="00642DEA">
              <w:rPr>
                <w:rFonts w:ascii="Arial" w:hAnsi="Arial" w:cs="Arial"/>
                <w:color w:val="000000"/>
              </w:rPr>
              <w:t xml:space="preserve">and </w:t>
            </w:r>
            <w:r w:rsidR="00FE4A51">
              <w:rPr>
                <w:rFonts w:ascii="Arial" w:hAnsi="Arial" w:cs="Arial"/>
                <w:color w:val="000000"/>
              </w:rPr>
              <w:t>e</w:t>
            </w:r>
            <w:r w:rsidR="00642DEA">
              <w:rPr>
                <w:rFonts w:ascii="Arial" w:hAnsi="Arial" w:cs="Arial"/>
                <w:color w:val="000000"/>
              </w:rPr>
              <w:t>xemptions</w:t>
            </w:r>
            <w:r w:rsidR="00966910">
              <w:rPr>
                <w:rFonts w:ascii="Arial" w:hAnsi="Arial" w:cs="Arial"/>
                <w:color w:val="000000"/>
              </w:rPr>
              <w:t xml:space="preserve"> (e.g. empty property relief)</w:t>
            </w:r>
            <w:r w:rsidR="00642DEA">
              <w:rPr>
                <w:rFonts w:ascii="Arial" w:hAnsi="Arial" w:cs="Arial"/>
                <w:color w:val="000000"/>
              </w:rPr>
              <w:t>,</w:t>
            </w:r>
          </w:p>
          <w:p w:rsidR="003B5629" w:rsidRDefault="003B5629" w:rsidP="003B5629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3B5629">
              <w:rPr>
                <w:rFonts w:ascii="Arial" w:hAnsi="Arial" w:cs="Arial"/>
                <w:color w:val="000000"/>
              </w:rPr>
              <w:t xml:space="preserve">d) </w:t>
            </w:r>
            <w:r w:rsidR="00642DEA">
              <w:rPr>
                <w:rFonts w:ascii="Arial" w:hAnsi="Arial" w:cs="Arial"/>
                <w:color w:val="000000"/>
              </w:rPr>
              <w:t xml:space="preserve"> Billing</w:t>
            </w:r>
            <w:r w:rsidR="00966910">
              <w:rPr>
                <w:rFonts w:ascii="Arial" w:hAnsi="Arial" w:cs="Arial"/>
                <w:color w:val="000000"/>
              </w:rPr>
              <w:t xml:space="preserve"> (annual and in-year)</w:t>
            </w:r>
            <w:r w:rsidR="00642DEA">
              <w:rPr>
                <w:rFonts w:ascii="Arial" w:hAnsi="Arial" w:cs="Arial"/>
                <w:color w:val="000000"/>
              </w:rPr>
              <w:t>,</w:t>
            </w:r>
          </w:p>
          <w:p w:rsidR="003B5629" w:rsidRDefault="003B5629" w:rsidP="003B5629">
            <w:p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e)  </w:t>
            </w:r>
            <w:r w:rsidRPr="003B5629">
              <w:rPr>
                <w:rFonts w:ascii="Arial" w:hAnsi="Arial" w:cs="Arial"/>
                <w:color w:val="000000"/>
              </w:rPr>
              <w:t xml:space="preserve">Collection and </w:t>
            </w:r>
            <w:r w:rsidR="00FE4A51">
              <w:rPr>
                <w:rFonts w:ascii="Arial" w:hAnsi="Arial" w:cs="Arial"/>
                <w:color w:val="000000"/>
              </w:rPr>
              <w:t>r</w:t>
            </w:r>
            <w:r w:rsidRPr="003B5629">
              <w:rPr>
                <w:rFonts w:ascii="Arial" w:hAnsi="Arial" w:cs="Arial"/>
                <w:color w:val="000000"/>
              </w:rPr>
              <w:t>efunds</w:t>
            </w:r>
            <w:r w:rsidR="00642DEA">
              <w:rPr>
                <w:rFonts w:ascii="Arial" w:hAnsi="Arial" w:cs="Arial"/>
                <w:color w:val="000000"/>
              </w:rPr>
              <w:t>,</w:t>
            </w:r>
          </w:p>
          <w:p w:rsidR="003B5629" w:rsidRDefault="003B5629" w:rsidP="003B5629">
            <w:p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3B5629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B5629">
              <w:rPr>
                <w:rFonts w:ascii="Arial" w:hAnsi="Arial" w:cs="Arial"/>
                <w:color w:val="000000"/>
              </w:rPr>
              <w:t>Recovery,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nforcement and </w:t>
            </w:r>
            <w:r w:rsidR="00FE4A51"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>rite</w:t>
            </w:r>
            <w:r w:rsidR="00FE4A51">
              <w:rPr>
                <w:rFonts w:ascii="Arial" w:hAnsi="Arial" w:cs="Arial"/>
                <w:color w:val="000000"/>
              </w:rPr>
              <w:t>-o</w:t>
            </w:r>
            <w:r>
              <w:rPr>
                <w:rFonts w:ascii="Arial" w:hAnsi="Arial" w:cs="Arial"/>
                <w:color w:val="000000"/>
              </w:rPr>
              <w:t>ffs</w:t>
            </w:r>
            <w:r w:rsidR="00642DEA">
              <w:rPr>
                <w:rFonts w:ascii="Arial" w:hAnsi="Arial" w:cs="Arial"/>
                <w:color w:val="000000"/>
              </w:rPr>
              <w:t>,</w:t>
            </w:r>
          </w:p>
          <w:p w:rsidR="003B5629" w:rsidRDefault="003B5629" w:rsidP="00967B6A">
            <w:p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g) </w:t>
            </w:r>
            <w:r w:rsidR="009669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B5629">
              <w:rPr>
                <w:rFonts w:ascii="Arial" w:hAnsi="Arial" w:cs="Arial"/>
                <w:color w:val="000000"/>
              </w:rPr>
              <w:t>econciliation</w:t>
            </w:r>
            <w:r w:rsidR="00966910">
              <w:rPr>
                <w:rFonts w:ascii="Arial" w:hAnsi="Arial" w:cs="Arial"/>
                <w:color w:val="000000"/>
              </w:rPr>
              <w:t xml:space="preserve"> between the </w:t>
            </w:r>
            <w:r w:rsidR="00493A85">
              <w:rPr>
                <w:rFonts w:ascii="Arial" w:hAnsi="Arial" w:cs="Arial"/>
                <w:color w:val="000000"/>
              </w:rPr>
              <w:t>Council Tax s</w:t>
            </w:r>
            <w:r w:rsidR="00967B6A">
              <w:rPr>
                <w:rFonts w:ascii="Arial" w:hAnsi="Arial" w:cs="Arial"/>
                <w:color w:val="000000"/>
              </w:rPr>
              <w:t>ystem and general ledger.</w:t>
            </w:r>
          </w:p>
          <w:p w:rsidR="003B5629" w:rsidRDefault="003B5629" w:rsidP="003B5629">
            <w:pPr>
              <w:rPr>
                <w:rFonts w:ascii="Arial" w:hAnsi="Arial" w:cs="Arial"/>
                <w:color w:val="000000"/>
              </w:rPr>
            </w:pPr>
          </w:p>
          <w:p w:rsidR="003B5629" w:rsidRPr="003B5629" w:rsidRDefault="00C214B2" w:rsidP="003B5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(System</w:t>
            </w:r>
            <w:r w:rsidR="00AE29D8">
              <w:rPr>
                <w:rFonts w:ascii="Arial" w:hAnsi="Arial" w:cs="Arial"/>
                <w:color w:val="000000"/>
              </w:rPr>
              <w:t xml:space="preserve"> access </w:t>
            </w:r>
            <w:r>
              <w:rPr>
                <w:rFonts w:ascii="Arial" w:hAnsi="Arial" w:cs="Arial"/>
                <w:color w:val="000000"/>
              </w:rPr>
              <w:t xml:space="preserve">controls and data retention are included in the scope of the Benefits audit as the same systems (Academy and </w:t>
            </w:r>
            <w:proofErr w:type="spellStart"/>
            <w:r>
              <w:rPr>
                <w:rFonts w:ascii="Arial" w:hAnsi="Arial" w:cs="Arial"/>
                <w:color w:val="000000"/>
              </w:rPr>
              <w:t>Anite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are used </w:t>
            </w:r>
            <w:r w:rsidR="00AE29D8">
              <w:rPr>
                <w:rFonts w:ascii="Arial" w:hAnsi="Arial" w:cs="Arial"/>
                <w:color w:val="000000"/>
              </w:rPr>
              <w:t xml:space="preserve">across </w:t>
            </w:r>
            <w:r>
              <w:rPr>
                <w:rFonts w:ascii="Arial" w:hAnsi="Arial" w:cs="Arial"/>
                <w:color w:val="000000"/>
              </w:rPr>
              <w:t xml:space="preserve">the Revenues &amp; Benefits service).  </w:t>
            </w:r>
          </w:p>
          <w:p w:rsidR="00107649" w:rsidRDefault="00107649" w:rsidP="005905D7">
            <w:pPr>
              <w:rPr>
                <w:rFonts w:ascii="Arial" w:hAnsi="Arial" w:cs="Arial"/>
                <w:color w:val="000000"/>
              </w:rPr>
            </w:pPr>
          </w:p>
          <w:p w:rsidR="00AE29D8" w:rsidRDefault="00AE29D8" w:rsidP="00AE29D8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>will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FE4A51">
              <w:rPr>
                <w:rFonts w:ascii="Arial" w:hAnsi="Arial" w:cs="Arial"/>
                <w:color w:val="000000"/>
              </w:rPr>
              <w:t xml:space="preserve">the </w:t>
            </w:r>
            <w:r w:rsidR="0006425C"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 xml:space="preserve">financial year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Pr="00C96B2C">
              <w:rPr>
                <w:rFonts w:ascii="Arial" w:hAnsi="Arial" w:cs="Arial"/>
                <w:color w:val="000000"/>
              </w:rPr>
              <w:t xml:space="preserve">Watford Borough </w:t>
            </w:r>
            <w:r>
              <w:rPr>
                <w:rFonts w:ascii="Arial" w:hAnsi="Arial" w:cs="Arial"/>
                <w:color w:val="000000"/>
              </w:rPr>
              <w:t>Council and Three Rivers Council cases.</w:t>
            </w:r>
          </w:p>
          <w:p w:rsidR="00107649" w:rsidRPr="00351665" w:rsidRDefault="00107649" w:rsidP="00590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6F7621" w:rsidRDefault="006F7621" w:rsidP="00447D96">
            <w:pPr>
              <w:jc w:val="center"/>
              <w:rPr>
                <w:rFonts w:ascii="Arial" w:hAnsi="Arial" w:cs="Arial"/>
              </w:rPr>
            </w:pPr>
          </w:p>
          <w:p w:rsidR="00447D96" w:rsidRDefault="00447D96" w:rsidP="0011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1E1A"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gridSpan w:val="2"/>
          </w:tcPr>
          <w:p w:rsidR="006F7621" w:rsidRDefault="006F7621" w:rsidP="005905D7">
            <w:pPr>
              <w:rPr>
                <w:rFonts w:ascii="Arial" w:hAnsi="Arial" w:cs="Arial"/>
              </w:rPr>
            </w:pPr>
          </w:p>
          <w:p w:rsidR="00447D96" w:rsidRDefault="00447D96" w:rsidP="00447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F52F2" w:rsidRPr="00C6475B" w:rsidTr="00107649">
        <w:tc>
          <w:tcPr>
            <w:tcW w:w="2256" w:type="dxa"/>
            <w:gridSpan w:val="2"/>
            <w:shd w:val="clear" w:color="auto" w:fill="auto"/>
          </w:tcPr>
          <w:p w:rsidR="006F7621" w:rsidRDefault="006F7621" w:rsidP="005905D7">
            <w:pPr>
              <w:rPr>
                <w:rFonts w:ascii="Arial" w:hAnsi="Arial" w:cs="Arial"/>
              </w:rPr>
            </w:pPr>
          </w:p>
          <w:p w:rsidR="00447D96" w:rsidRDefault="00447D96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9133" w:type="dxa"/>
            <w:shd w:val="clear" w:color="auto" w:fill="auto"/>
          </w:tcPr>
          <w:p w:rsidR="00447D96" w:rsidRDefault="00447D96" w:rsidP="00107649">
            <w:pPr>
              <w:rPr>
                <w:rFonts w:ascii="Arial" w:hAnsi="Arial" w:cs="Arial"/>
              </w:rPr>
            </w:pPr>
          </w:p>
          <w:p w:rsidR="00C96B2C" w:rsidRPr="00BD1191" w:rsidRDefault="00C96B2C" w:rsidP="00107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Creditors </w:t>
            </w:r>
            <w:r w:rsidRPr="00BD1191">
              <w:rPr>
                <w:rFonts w:ascii="Arial" w:hAnsi="Arial" w:cs="Arial"/>
              </w:rPr>
              <w:t>system to confirm that existing controls are adequate</w:t>
            </w:r>
            <w:r w:rsidR="008E34E6">
              <w:rPr>
                <w:rFonts w:ascii="Arial" w:hAnsi="Arial" w:cs="Arial"/>
              </w:rPr>
              <w:t xml:space="preserve"> </w:t>
            </w:r>
            <w:r w:rsidRPr="00BD1191">
              <w:rPr>
                <w:rFonts w:ascii="Arial" w:hAnsi="Arial" w:cs="Arial"/>
              </w:rPr>
              <w:t xml:space="preserve">and </w:t>
            </w:r>
            <w:r w:rsidR="002E3172">
              <w:rPr>
                <w:rFonts w:ascii="Arial" w:hAnsi="Arial" w:cs="Arial"/>
              </w:rPr>
              <w:t xml:space="preserve">are </w:t>
            </w:r>
            <w:r w:rsidRPr="00BD1191">
              <w:rPr>
                <w:rFonts w:ascii="Arial" w:hAnsi="Arial" w:cs="Arial"/>
              </w:rPr>
              <w:t>operating effectively</w:t>
            </w:r>
            <w:r w:rsidR="00927D98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that previous audit recommendations have been implemented</w:t>
            </w:r>
            <w:r w:rsidRPr="00BD1191">
              <w:rPr>
                <w:rFonts w:ascii="Arial" w:hAnsi="Arial" w:cs="Arial"/>
              </w:rPr>
              <w:t>.</w:t>
            </w:r>
            <w:r w:rsidR="008D01C9">
              <w:rPr>
                <w:rFonts w:ascii="Arial" w:hAnsi="Arial" w:cs="Arial"/>
              </w:rPr>
              <w:t xml:space="preserve"> </w:t>
            </w:r>
            <w:r w:rsidR="00346ACF">
              <w:rPr>
                <w:rFonts w:ascii="Arial" w:hAnsi="Arial" w:cs="Arial"/>
              </w:rPr>
              <w:t>S</w:t>
            </w:r>
            <w:r w:rsidR="00346ACF" w:rsidRPr="00BD1191">
              <w:rPr>
                <w:rFonts w:ascii="Arial" w:hAnsi="Arial" w:cs="Arial"/>
              </w:rPr>
              <w:t>cope to be agreed with management</w:t>
            </w:r>
            <w:r w:rsidR="00346ACF">
              <w:rPr>
                <w:rFonts w:ascii="Arial" w:hAnsi="Arial" w:cs="Arial"/>
              </w:rPr>
              <w:t xml:space="preserve"> – typical </w:t>
            </w:r>
            <w:r w:rsidR="00346ACF" w:rsidRPr="00BD1191">
              <w:rPr>
                <w:rFonts w:ascii="Arial" w:hAnsi="Arial" w:cs="Arial"/>
              </w:rPr>
              <w:t xml:space="preserve">areas </w:t>
            </w:r>
            <w:r w:rsidR="00346ACF">
              <w:rPr>
                <w:rFonts w:ascii="Arial" w:hAnsi="Arial" w:cs="Arial"/>
              </w:rPr>
              <w:t>in</w:t>
            </w:r>
            <w:r w:rsidR="00346ACF" w:rsidRPr="00BD1191">
              <w:rPr>
                <w:rFonts w:ascii="Arial" w:hAnsi="Arial" w:cs="Arial"/>
              </w:rPr>
              <w:t>clude:</w:t>
            </w:r>
          </w:p>
          <w:p w:rsidR="00C96B2C" w:rsidRPr="00BD1191" w:rsidRDefault="00C96B2C" w:rsidP="00107649">
            <w:pPr>
              <w:rPr>
                <w:rFonts w:ascii="Arial" w:hAnsi="Arial" w:cs="Arial"/>
              </w:rPr>
            </w:pPr>
          </w:p>
          <w:p w:rsidR="00C96B2C" w:rsidRDefault="00C96B2C" w:rsidP="00107649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a) </w:t>
            </w:r>
            <w:r w:rsidR="0048781D">
              <w:rPr>
                <w:rFonts w:ascii="Arial" w:hAnsi="Arial" w:cs="Arial"/>
                <w:color w:val="000000"/>
              </w:rPr>
              <w:t xml:space="preserve"> </w:t>
            </w:r>
            <w:r w:rsidR="00783F90">
              <w:rPr>
                <w:rFonts w:ascii="Arial" w:hAnsi="Arial" w:cs="Arial"/>
                <w:color w:val="000000"/>
              </w:rPr>
              <w:t>Set-up and amendment of s</w:t>
            </w:r>
            <w:r w:rsidR="002E3172">
              <w:rPr>
                <w:rFonts w:ascii="Arial" w:hAnsi="Arial" w:cs="Arial"/>
                <w:color w:val="000000"/>
              </w:rPr>
              <w:t xml:space="preserve">upplier </w:t>
            </w:r>
            <w:r w:rsidR="00FE4A51">
              <w:rPr>
                <w:rFonts w:ascii="Arial" w:hAnsi="Arial" w:cs="Arial"/>
                <w:color w:val="000000"/>
              </w:rPr>
              <w:t>a</w:t>
            </w:r>
            <w:r w:rsidR="002E3172">
              <w:rPr>
                <w:rFonts w:ascii="Arial" w:hAnsi="Arial" w:cs="Arial"/>
                <w:color w:val="000000"/>
              </w:rPr>
              <w:t>ccounts,</w:t>
            </w:r>
          </w:p>
          <w:p w:rsidR="00C96B2C" w:rsidRDefault="00C96B2C" w:rsidP="00107649">
            <w:p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C96B2C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t xml:space="preserve">Ordering of </w:t>
            </w:r>
            <w:r w:rsidR="00FE4A51">
              <w:rPr>
                <w:rFonts w:ascii="Arial" w:hAnsi="Arial" w:cs="Arial"/>
                <w:color w:val="000000"/>
              </w:rPr>
              <w:t>g</w:t>
            </w:r>
            <w:r w:rsidRPr="00C96B2C">
              <w:rPr>
                <w:rFonts w:ascii="Arial" w:hAnsi="Arial" w:cs="Arial"/>
                <w:color w:val="000000"/>
              </w:rPr>
              <w:t xml:space="preserve">oods and </w:t>
            </w:r>
            <w:r w:rsidR="00FE4A51">
              <w:rPr>
                <w:rFonts w:ascii="Arial" w:hAnsi="Arial" w:cs="Arial"/>
                <w:color w:val="000000"/>
              </w:rPr>
              <w:t>s</w:t>
            </w:r>
            <w:r w:rsidRPr="00C96B2C">
              <w:rPr>
                <w:rFonts w:ascii="Arial" w:hAnsi="Arial" w:cs="Arial"/>
                <w:color w:val="000000"/>
              </w:rPr>
              <w:t>ervices</w:t>
            </w:r>
            <w:r w:rsidR="002E3172">
              <w:rPr>
                <w:rFonts w:ascii="Arial" w:hAnsi="Arial" w:cs="Arial"/>
                <w:color w:val="000000"/>
              </w:rPr>
              <w:t>,</w:t>
            </w:r>
          </w:p>
          <w:p w:rsidR="00C96B2C" w:rsidRDefault="00C96B2C" w:rsidP="00107649">
            <w:p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 </w:t>
            </w:r>
            <w:r w:rsidRPr="00C96B2C">
              <w:rPr>
                <w:rFonts w:ascii="Arial" w:hAnsi="Arial" w:cs="Arial"/>
                <w:color w:val="000000"/>
              </w:rPr>
              <w:t xml:space="preserve">Receipt of </w:t>
            </w:r>
            <w:r w:rsidR="00FE4A51">
              <w:rPr>
                <w:rFonts w:ascii="Arial" w:hAnsi="Arial" w:cs="Arial"/>
                <w:color w:val="000000"/>
              </w:rPr>
              <w:t>g</w:t>
            </w:r>
            <w:r w:rsidRPr="00C96B2C">
              <w:rPr>
                <w:rFonts w:ascii="Arial" w:hAnsi="Arial" w:cs="Arial"/>
                <w:color w:val="000000"/>
              </w:rPr>
              <w:t xml:space="preserve">oods and </w:t>
            </w:r>
            <w:r w:rsidR="00FE4A51">
              <w:rPr>
                <w:rFonts w:ascii="Arial" w:hAnsi="Arial" w:cs="Arial"/>
                <w:color w:val="000000"/>
              </w:rPr>
              <w:t>s</w:t>
            </w:r>
            <w:r w:rsidRPr="00C96B2C">
              <w:rPr>
                <w:rFonts w:ascii="Arial" w:hAnsi="Arial" w:cs="Arial"/>
                <w:color w:val="000000"/>
              </w:rPr>
              <w:t>ervices</w:t>
            </w:r>
            <w:r w:rsidR="002E3172">
              <w:rPr>
                <w:rFonts w:ascii="Arial" w:hAnsi="Arial" w:cs="Arial"/>
                <w:color w:val="000000"/>
              </w:rPr>
              <w:t>,</w:t>
            </w:r>
          </w:p>
          <w:p w:rsidR="00C96B2C" w:rsidRDefault="00C96B2C" w:rsidP="00107649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d)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E3172">
              <w:rPr>
                <w:rFonts w:ascii="Arial" w:hAnsi="Arial" w:cs="Arial"/>
                <w:color w:val="000000"/>
              </w:rPr>
              <w:t xml:space="preserve">Payment of </w:t>
            </w:r>
            <w:r w:rsidR="00FE4A51">
              <w:rPr>
                <w:rFonts w:ascii="Arial" w:hAnsi="Arial" w:cs="Arial"/>
                <w:color w:val="000000"/>
              </w:rPr>
              <w:t>i</w:t>
            </w:r>
            <w:r w:rsidR="002E3172">
              <w:rPr>
                <w:rFonts w:ascii="Arial" w:hAnsi="Arial" w:cs="Arial"/>
                <w:color w:val="000000"/>
              </w:rPr>
              <w:t>nvoices,</w:t>
            </w:r>
          </w:p>
          <w:p w:rsidR="00C96B2C" w:rsidRDefault="00C96B2C" w:rsidP="00107649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e)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E3172">
              <w:rPr>
                <w:rFonts w:ascii="Arial" w:hAnsi="Arial" w:cs="Arial"/>
                <w:color w:val="000000"/>
              </w:rPr>
              <w:t>Reconciliation</w:t>
            </w:r>
            <w:r w:rsidR="00967B6A">
              <w:rPr>
                <w:rFonts w:ascii="Arial" w:hAnsi="Arial" w:cs="Arial"/>
                <w:color w:val="000000"/>
              </w:rPr>
              <w:t xml:space="preserve"> between the Creditors module and general ledger</w:t>
            </w:r>
            <w:r w:rsidR="002E3172">
              <w:rPr>
                <w:rFonts w:ascii="Arial" w:hAnsi="Arial" w:cs="Arial"/>
                <w:color w:val="000000"/>
              </w:rPr>
              <w:t>,</w:t>
            </w:r>
          </w:p>
          <w:p w:rsidR="00C96B2C" w:rsidRDefault="00C96B2C" w:rsidP="00967B6A">
            <w:pPr>
              <w:ind w:left="357" w:hanging="357"/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f) </w:t>
            </w:r>
            <w:r>
              <w:rPr>
                <w:rFonts w:ascii="Arial" w:hAnsi="Arial" w:cs="Arial"/>
                <w:color w:val="000000"/>
              </w:rPr>
              <w:t xml:space="preserve">  Credit </w:t>
            </w:r>
            <w:r w:rsidR="00FE4A51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otes and </w:t>
            </w:r>
            <w:r w:rsidR="00FE4A51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efunds</w:t>
            </w:r>
            <w:r w:rsidR="00967B6A">
              <w:rPr>
                <w:rFonts w:ascii="Arial" w:hAnsi="Arial" w:cs="Arial"/>
                <w:color w:val="000000"/>
              </w:rPr>
              <w:t>.</w:t>
            </w:r>
          </w:p>
          <w:p w:rsidR="002E3172" w:rsidRDefault="002E3172" w:rsidP="00107649">
            <w:pPr>
              <w:ind w:left="357" w:hanging="357"/>
              <w:rPr>
                <w:rFonts w:ascii="Arial" w:hAnsi="Arial" w:cs="Arial"/>
                <w:color w:val="000000"/>
              </w:rPr>
            </w:pPr>
          </w:p>
          <w:p w:rsidR="006F7621" w:rsidRDefault="002E3172" w:rsidP="002E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Access controls over the </w:t>
            </w:r>
            <w:r w:rsidR="00AF643D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urchas</w:t>
            </w:r>
            <w:r w:rsidR="00AF643D">
              <w:rPr>
                <w:rFonts w:ascii="Arial" w:hAnsi="Arial" w:cs="Arial"/>
                <w:color w:val="000000"/>
              </w:rPr>
              <w:t xml:space="preserve">ing module within the main financial system </w:t>
            </w:r>
            <w:r>
              <w:rPr>
                <w:rFonts w:ascii="Arial" w:hAnsi="Arial" w:cs="Arial"/>
                <w:color w:val="000000"/>
              </w:rPr>
              <w:t>will be co</w:t>
            </w:r>
            <w:r w:rsidR="00AF643D">
              <w:rPr>
                <w:rFonts w:ascii="Arial" w:hAnsi="Arial" w:cs="Arial"/>
                <w:color w:val="000000"/>
              </w:rPr>
              <w:t xml:space="preserve">vered </w:t>
            </w:r>
            <w:r>
              <w:rPr>
                <w:rFonts w:ascii="Arial" w:hAnsi="Arial" w:cs="Arial"/>
                <w:color w:val="000000"/>
              </w:rPr>
              <w:t>in the Main Accounting system audit.</w:t>
            </w:r>
            <w:r w:rsidR="00C96B2C">
              <w:rPr>
                <w:rFonts w:ascii="Arial" w:hAnsi="Arial" w:cs="Arial"/>
                <w:color w:val="000000"/>
              </w:rPr>
              <w:br/>
            </w:r>
          </w:p>
          <w:p w:rsidR="00346ACF" w:rsidRDefault="00346ACF" w:rsidP="00346ACF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>will</w:t>
            </w:r>
            <w:r w:rsidR="007B4390"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FE4A51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 xml:space="preserve">financial year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Pr="00C96B2C">
              <w:rPr>
                <w:rFonts w:ascii="Arial" w:hAnsi="Arial" w:cs="Arial"/>
                <w:color w:val="000000"/>
              </w:rPr>
              <w:t>Watford Borough Council and Three Rivers Council</w:t>
            </w:r>
            <w:r w:rsidR="002E3172">
              <w:rPr>
                <w:rFonts w:ascii="Arial" w:hAnsi="Arial" w:cs="Arial"/>
                <w:color w:val="000000"/>
              </w:rPr>
              <w:t xml:space="preserve"> </w:t>
            </w:r>
            <w:r w:rsidR="00493A85">
              <w:rPr>
                <w:rFonts w:ascii="Arial" w:hAnsi="Arial" w:cs="Arial"/>
                <w:color w:val="000000"/>
              </w:rPr>
              <w:t>cases</w:t>
            </w:r>
            <w:r w:rsidRPr="00C96B2C">
              <w:rPr>
                <w:rFonts w:ascii="Arial" w:hAnsi="Arial" w:cs="Arial"/>
                <w:color w:val="000000"/>
              </w:rPr>
              <w:t>.</w:t>
            </w:r>
          </w:p>
          <w:p w:rsidR="00107649" w:rsidRPr="00C96B2C" w:rsidRDefault="00107649" w:rsidP="00107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F7621" w:rsidRDefault="006F7621" w:rsidP="00447D96">
            <w:pPr>
              <w:jc w:val="center"/>
              <w:rPr>
                <w:rFonts w:ascii="Arial" w:hAnsi="Arial" w:cs="Arial"/>
              </w:rPr>
            </w:pPr>
          </w:p>
          <w:p w:rsidR="00447D96" w:rsidRDefault="008414C7" w:rsidP="00841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4" w:type="dxa"/>
            <w:gridSpan w:val="2"/>
          </w:tcPr>
          <w:p w:rsidR="006F7621" w:rsidRDefault="006F7621" w:rsidP="005905D7">
            <w:pPr>
              <w:rPr>
                <w:rFonts w:ascii="Arial" w:hAnsi="Arial" w:cs="Arial"/>
              </w:rPr>
            </w:pPr>
          </w:p>
          <w:p w:rsidR="00447D96" w:rsidRDefault="0006425C" w:rsidP="00F027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447D96" w:rsidRDefault="00447D96" w:rsidP="005905D7">
            <w:pPr>
              <w:rPr>
                <w:rFonts w:ascii="Arial" w:hAnsi="Arial" w:cs="Arial"/>
              </w:rPr>
            </w:pPr>
          </w:p>
          <w:p w:rsidR="006F7621" w:rsidRDefault="00447D96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9133" w:type="dxa"/>
            <w:shd w:val="clear" w:color="auto" w:fill="auto"/>
          </w:tcPr>
          <w:p w:rsidR="00447D96" w:rsidRDefault="00447D96" w:rsidP="00447D96">
            <w:pPr>
              <w:rPr>
                <w:rFonts w:ascii="Arial" w:hAnsi="Arial" w:cs="Arial"/>
              </w:rPr>
            </w:pPr>
          </w:p>
          <w:p w:rsidR="00D06D68" w:rsidRPr="00BD1191" w:rsidRDefault="00C96B2C" w:rsidP="00D0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Debtors </w:t>
            </w:r>
            <w:r w:rsidRPr="00BD1191">
              <w:rPr>
                <w:rFonts w:ascii="Arial" w:hAnsi="Arial" w:cs="Arial"/>
              </w:rPr>
              <w:t>system to confirm that existing controls are adequate and operating effectively</w:t>
            </w:r>
            <w:r w:rsidR="00927D98">
              <w:rPr>
                <w:rFonts w:ascii="Arial" w:hAnsi="Arial" w:cs="Arial"/>
              </w:rPr>
              <w:t xml:space="preserve"> and </w:t>
            </w:r>
            <w:r w:rsidR="008E34E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hat previous audit recommendations have been implemented</w:t>
            </w:r>
            <w:r w:rsidRPr="00BD1191">
              <w:rPr>
                <w:rFonts w:ascii="Arial" w:hAnsi="Arial" w:cs="Arial"/>
              </w:rPr>
              <w:t xml:space="preserve">. </w:t>
            </w:r>
            <w:r w:rsidR="00D06D68">
              <w:rPr>
                <w:rFonts w:ascii="Arial" w:hAnsi="Arial" w:cs="Arial"/>
              </w:rPr>
              <w:t>S</w:t>
            </w:r>
            <w:r w:rsidR="00D06D68" w:rsidRPr="00BD1191">
              <w:rPr>
                <w:rFonts w:ascii="Arial" w:hAnsi="Arial" w:cs="Arial"/>
              </w:rPr>
              <w:t>cope to be agreed with management</w:t>
            </w:r>
            <w:r w:rsidR="00D06D68">
              <w:rPr>
                <w:rFonts w:ascii="Arial" w:hAnsi="Arial" w:cs="Arial"/>
              </w:rPr>
              <w:t xml:space="preserve"> – typical </w:t>
            </w:r>
            <w:r w:rsidR="00D06D68" w:rsidRPr="00BD1191">
              <w:rPr>
                <w:rFonts w:ascii="Arial" w:hAnsi="Arial" w:cs="Arial"/>
              </w:rPr>
              <w:t xml:space="preserve">areas </w:t>
            </w:r>
            <w:r w:rsidR="00D06D68">
              <w:rPr>
                <w:rFonts w:ascii="Arial" w:hAnsi="Arial" w:cs="Arial"/>
              </w:rPr>
              <w:t>in</w:t>
            </w:r>
            <w:r w:rsidR="00D06D68" w:rsidRPr="00BD1191">
              <w:rPr>
                <w:rFonts w:ascii="Arial" w:hAnsi="Arial" w:cs="Arial"/>
              </w:rPr>
              <w:t>clude:</w:t>
            </w:r>
          </w:p>
          <w:p w:rsidR="00C96B2C" w:rsidRDefault="00C96B2C" w:rsidP="00C96B2C">
            <w:pPr>
              <w:rPr>
                <w:rFonts w:ascii="Arial" w:hAnsi="Arial" w:cs="Arial"/>
              </w:rPr>
            </w:pPr>
          </w:p>
          <w:p w:rsidR="00107649" w:rsidRDefault="00C96B2C" w:rsidP="00C96B2C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07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E2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t xml:space="preserve">Policies and </w:t>
            </w:r>
            <w:r w:rsidR="00FE4A51">
              <w:rPr>
                <w:rFonts w:ascii="Arial" w:hAnsi="Arial" w:cs="Arial"/>
                <w:color w:val="000000"/>
              </w:rPr>
              <w:t>p</w:t>
            </w:r>
            <w:r w:rsidRPr="00C96B2C">
              <w:rPr>
                <w:rFonts w:ascii="Arial" w:hAnsi="Arial" w:cs="Arial"/>
                <w:color w:val="000000"/>
              </w:rPr>
              <w:t>rocedures</w:t>
            </w:r>
            <w:proofErr w:type="gramStart"/>
            <w:r w:rsidR="00AF643D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C96B2C">
              <w:rPr>
                <w:rFonts w:ascii="Arial" w:hAnsi="Arial" w:cs="Arial"/>
                <w:color w:val="000000"/>
              </w:rPr>
              <w:br/>
              <w:t xml:space="preserve">b) </w:t>
            </w:r>
            <w:r w:rsidR="00107649">
              <w:rPr>
                <w:rFonts w:ascii="Arial" w:hAnsi="Arial" w:cs="Arial"/>
                <w:color w:val="000000"/>
              </w:rPr>
              <w:t xml:space="preserve"> </w:t>
            </w:r>
            <w:r w:rsidR="000E5BD9">
              <w:rPr>
                <w:rFonts w:ascii="Arial" w:hAnsi="Arial" w:cs="Arial"/>
                <w:color w:val="000000"/>
              </w:rPr>
              <w:t>Set-up and amendment of c</w:t>
            </w:r>
            <w:r w:rsidRPr="00C96B2C">
              <w:rPr>
                <w:rFonts w:ascii="Arial" w:hAnsi="Arial" w:cs="Arial"/>
                <w:color w:val="000000"/>
              </w:rPr>
              <w:t xml:space="preserve">ustomer </w:t>
            </w:r>
            <w:r w:rsidR="00FE4A51">
              <w:rPr>
                <w:rFonts w:ascii="Arial" w:hAnsi="Arial" w:cs="Arial"/>
                <w:color w:val="000000"/>
              </w:rPr>
              <w:t>a</w:t>
            </w:r>
            <w:r w:rsidRPr="00C96B2C">
              <w:rPr>
                <w:rFonts w:ascii="Arial" w:hAnsi="Arial" w:cs="Arial"/>
                <w:color w:val="000000"/>
              </w:rPr>
              <w:t>ccounts</w:t>
            </w:r>
            <w:r w:rsidR="00AF643D">
              <w:rPr>
                <w:rFonts w:ascii="Arial" w:hAnsi="Arial" w:cs="Arial"/>
                <w:color w:val="000000"/>
              </w:rPr>
              <w:t>,</w:t>
            </w:r>
            <w:r w:rsidRPr="00C96B2C">
              <w:rPr>
                <w:rFonts w:ascii="Arial" w:hAnsi="Arial" w:cs="Arial"/>
                <w:color w:val="000000"/>
              </w:rPr>
              <w:br/>
              <w:t xml:space="preserve">c) </w:t>
            </w:r>
            <w:r w:rsidR="00107649"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t xml:space="preserve">Debtor </w:t>
            </w:r>
            <w:r w:rsidR="00FE4A51">
              <w:rPr>
                <w:rFonts w:ascii="Arial" w:hAnsi="Arial" w:cs="Arial"/>
                <w:color w:val="000000"/>
              </w:rPr>
              <w:t>i</w:t>
            </w:r>
            <w:r w:rsidRPr="00C96B2C">
              <w:rPr>
                <w:rFonts w:ascii="Arial" w:hAnsi="Arial" w:cs="Arial"/>
                <w:color w:val="000000"/>
              </w:rPr>
              <w:t>nvoices</w:t>
            </w:r>
            <w:r w:rsidR="00AF643D">
              <w:rPr>
                <w:rFonts w:ascii="Arial" w:hAnsi="Arial" w:cs="Arial"/>
                <w:color w:val="000000"/>
              </w:rPr>
              <w:t>,</w:t>
            </w:r>
            <w:r w:rsidRPr="00C96B2C"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br/>
              <w:t xml:space="preserve">d) </w:t>
            </w:r>
            <w:r w:rsidR="00107649"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t xml:space="preserve">Credit </w:t>
            </w:r>
            <w:r w:rsidR="00FE4A51">
              <w:rPr>
                <w:rFonts w:ascii="Arial" w:hAnsi="Arial" w:cs="Arial"/>
                <w:color w:val="000000"/>
              </w:rPr>
              <w:t>n</w:t>
            </w:r>
            <w:r w:rsidRPr="00C96B2C">
              <w:rPr>
                <w:rFonts w:ascii="Arial" w:hAnsi="Arial" w:cs="Arial"/>
                <w:color w:val="000000"/>
              </w:rPr>
              <w:t xml:space="preserve">otes and </w:t>
            </w:r>
            <w:r w:rsidR="00FE4A51">
              <w:rPr>
                <w:rFonts w:ascii="Arial" w:hAnsi="Arial" w:cs="Arial"/>
                <w:color w:val="000000"/>
              </w:rPr>
              <w:t>r</w:t>
            </w:r>
            <w:r w:rsidRPr="00C96B2C">
              <w:rPr>
                <w:rFonts w:ascii="Arial" w:hAnsi="Arial" w:cs="Arial"/>
                <w:color w:val="000000"/>
              </w:rPr>
              <w:t>efunds</w:t>
            </w:r>
            <w:r w:rsidR="00AF643D">
              <w:rPr>
                <w:rFonts w:ascii="Arial" w:hAnsi="Arial" w:cs="Arial"/>
                <w:color w:val="000000"/>
              </w:rPr>
              <w:t>,</w:t>
            </w:r>
            <w:r w:rsidRPr="00C96B2C">
              <w:rPr>
                <w:rFonts w:ascii="Arial" w:hAnsi="Arial" w:cs="Arial"/>
                <w:color w:val="000000"/>
              </w:rPr>
              <w:t xml:space="preserve"> </w:t>
            </w:r>
            <w:r w:rsidRPr="00C96B2C">
              <w:rPr>
                <w:rFonts w:ascii="Arial" w:hAnsi="Arial" w:cs="Arial"/>
                <w:color w:val="000000"/>
              </w:rPr>
              <w:br/>
              <w:t xml:space="preserve">e) </w:t>
            </w:r>
            <w:r w:rsidR="00107649"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>Recovery and write-offs</w:t>
            </w:r>
            <w:r w:rsidR="00AF643D">
              <w:rPr>
                <w:rFonts w:ascii="Arial" w:hAnsi="Arial" w:cs="Arial"/>
                <w:color w:val="000000"/>
              </w:rPr>
              <w:t>,</w:t>
            </w:r>
            <w:r w:rsidRPr="00C96B2C">
              <w:rPr>
                <w:rFonts w:ascii="Arial" w:hAnsi="Arial" w:cs="Arial"/>
                <w:color w:val="000000"/>
              </w:rPr>
              <w:br/>
              <w:t xml:space="preserve">f) </w:t>
            </w:r>
            <w:r w:rsidR="00107649">
              <w:rPr>
                <w:rFonts w:ascii="Arial" w:hAnsi="Arial" w:cs="Arial"/>
                <w:color w:val="000000"/>
              </w:rPr>
              <w:t xml:space="preserve">  </w:t>
            </w:r>
            <w:r w:rsidR="00AF643D">
              <w:rPr>
                <w:rFonts w:ascii="Arial" w:hAnsi="Arial" w:cs="Arial"/>
                <w:color w:val="000000"/>
              </w:rPr>
              <w:t>Reconciliation</w:t>
            </w:r>
            <w:r w:rsidR="00967B6A">
              <w:rPr>
                <w:rFonts w:ascii="Arial" w:hAnsi="Arial" w:cs="Arial"/>
                <w:color w:val="000000"/>
              </w:rPr>
              <w:t xml:space="preserve"> between the Debtors module and general ledger</w:t>
            </w:r>
            <w:r w:rsidR="00AF643D">
              <w:rPr>
                <w:rFonts w:ascii="Arial" w:hAnsi="Arial" w:cs="Arial"/>
                <w:color w:val="000000"/>
              </w:rPr>
              <w:t>.</w:t>
            </w:r>
            <w:r w:rsidR="00107649">
              <w:rPr>
                <w:rFonts w:ascii="Arial" w:hAnsi="Arial" w:cs="Arial"/>
                <w:color w:val="000000"/>
              </w:rPr>
              <w:br/>
            </w:r>
          </w:p>
          <w:p w:rsidR="00AF643D" w:rsidRDefault="00AF643D" w:rsidP="00346A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Access controls over the Debtors module within the main financial system will be covered in the Main Accounting system audit.</w:t>
            </w:r>
          </w:p>
          <w:p w:rsidR="00AF643D" w:rsidRDefault="00AF643D" w:rsidP="00346ACF">
            <w:pPr>
              <w:rPr>
                <w:rFonts w:ascii="Arial" w:hAnsi="Arial" w:cs="Arial"/>
                <w:color w:val="000000"/>
              </w:rPr>
            </w:pPr>
          </w:p>
          <w:p w:rsidR="00DD195C" w:rsidRDefault="00346ACF" w:rsidP="005905D7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 xml:space="preserve">will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FE4A51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 xml:space="preserve">financial year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Pr="00C96B2C">
              <w:rPr>
                <w:rFonts w:ascii="Arial" w:hAnsi="Arial" w:cs="Arial"/>
                <w:color w:val="000000"/>
              </w:rPr>
              <w:t>Watford Borough C</w:t>
            </w:r>
            <w:r w:rsidR="007B4390">
              <w:rPr>
                <w:rFonts w:ascii="Arial" w:hAnsi="Arial" w:cs="Arial"/>
                <w:color w:val="000000"/>
              </w:rPr>
              <w:t>ouncil and Three Rivers Council</w:t>
            </w:r>
            <w:r w:rsidR="00AF643D">
              <w:rPr>
                <w:rFonts w:ascii="Arial" w:hAnsi="Arial" w:cs="Arial"/>
                <w:color w:val="000000"/>
              </w:rPr>
              <w:t xml:space="preserve"> </w:t>
            </w:r>
            <w:r w:rsidR="00493A85">
              <w:rPr>
                <w:rFonts w:ascii="Arial" w:hAnsi="Arial" w:cs="Arial"/>
                <w:color w:val="000000"/>
              </w:rPr>
              <w:t>cases</w:t>
            </w:r>
            <w:r w:rsidRPr="00C96B2C">
              <w:rPr>
                <w:rFonts w:ascii="Arial" w:hAnsi="Arial" w:cs="Arial"/>
                <w:color w:val="000000"/>
              </w:rPr>
              <w:t>.</w:t>
            </w:r>
          </w:p>
          <w:p w:rsidR="00EC6663" w:rsidRPr="0006425C" w:rsidRDefault="00EC6663" w:rsidP="00590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F7621" w:rsidRDefault="006F7621" w:rsidP="00447D96">
            <w:pPr>
              <w:jc w:val="center"/>
              <w:rPr>
                <w:rFonts w:ascii="Arial" w:hAnsi="Arial" w:cs="Arial"/>
              </w:rPr>
            </w:pPr>
          </w:p>
          <w:p w:rsidR="00447D96" w:rsidRDefault="008414C7" w:rsidP="00841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4" w:type="dxa"/>
            <w:gridSpan w:val="2"/>
          </w:tcPr>
          <w:p w:rsidR="006F7621" w:rsidRDefault="006F7621" w:rsidP="00447D96">
            <w:pPr>
              <w:jc w:val="center"/>
              <w:rPr>
                <w:rFonts w:ascii="Arial" w:hAnsi="Arial" w:cs="Arial"/>
              </w:rPr>
            </w:pPr>
          </w:p>
          <w:p w:rsidR="00447D96" w:rsidRDefault="00447D96" w:rsidP="00447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Default="00A25F69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Accounting</w:t>
            </w:r>
            <w:r w:rsidR="00361D0C">
              <w:rPr>
                <w:rFonts w:ascii="Arial" w:hAnsi="Arial" w:cs="Arial"/>
              </w:rPr>
              <w:t xml:space="preserve"> System</w:t>
            </w:r>
          </w:p>
          <w:p w:rsidR="003A48FF" w:rsidRPr="00C6475B" w:rsidRDefault="003A48FF" w:rsidP="005905D7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3A48FF" w:rsidRPr="00351665" w:rsidRDefault="003A48FF" w:rsidP="005905D7">
            <w:pPr>
              <w:rPr>
                <w:rFonts w:ascii="Arial" w:hAnsi="Arial" w:cs="Arial"/>
              </w:rPr>
            </w:pPr>
          </w:p>
          <w:p w:rsidR="00D06D68" w:rsidRDefault="00651FC3" w:rsidP="00D0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Main Accounting </w:t>
            </w:r>
            <w:r w:rsidRPr="00BD1191">
              <w:rPr>
                <w:rFonts w:ascii="Arial" w:hAnsi="Arial" w:cs="Arial"/>
              </w:rPr>
              <w:t>system to confirm that existing controls are adequate and</w:t>
            </w:r>
            <w:r w:rsidR="00361D0C">
              <w:rPr>
                <w:rFonts w:ascii="Arial" w:hAnsi="Arial" w:cs="Arial"/>
              </w:rPr>
              <w:t xml:space="preserve"> are </w:t>
            </w:r>
            <w:r w:rsidRPr="00BD1191">
              <w:rPr>
                <w:rFonts w:ascii="Arial" w:hAnsi="Arial" w:cs="Arial"/>
              </w:rPr>
              <w:t>operating effectively</w:t>
            </w:r>
            <w:r w:rsidR="00927D98">
              <w:rPr>
                <w:rFonts w:ascii="Arial" w:hAnsi="Arial" w:cs="Arial"/>
              </w:rPr>
              <w:t xml:space="preserve"> and t</w:t>
            </w:r>
            <w:r>
              <w:rPr>
                <w:rFonts w:ascii="Arial" w:hAnsi="Arial" w:cs="Arial"/>
              </w:rPr>
              <w:t xml:space="preserve">hat previous audit recommendations </w:t>
            </w:r>
            <w:r>
              <w:rPr>
                <w:rFonts w:ascii="Arial" w:hAnsi="Arial" w:cs="Arial"/>
              </w:rPr>
              <w:lastRenderedPageBreak/>
              <w:t>have been implemented</w:t>
            </w:r>
            <w:r w:rsidRPr="00BD1191">
              <w:rPr>
                <w:rFonts w:ascii="Arial" w:hAnsi="Arial" w:cs="Arial"/>
              </w:rPr>
              <w:t>.</w:t>
            </w:r>
            <w:r w:rsidR="00361D0C">
              <w:rPr>
                <w:rFonts w:ascii="Arial" w:hAnsi="Arial" w:cs="Arial"/>
              </w:rPr>
              <w:t xml:space="preserve"> </w:t>
            </w:r>
            <w:r w:rsidR="00D06D68">
              <w:rPr>
                <w:rFonts w:ascii="Arial" w:hAnsi="Arial" w:cs="Arial"/>
              </w:rPr>
              <w:t>S</w:t>
            </w:r>
            <w:r w:rsidR="00D06D68" w:rsidRPr="00BD1191">
              <w:rPr>
                <w:rFonts w:ascii="Arial" w:hAnsi="Arial" w:cs="Arial"/>
              </w:rPr>
              <w:t>cope to be agreed with management</w:t>
            </w:r>
            <w:r w:rsidR="00D06D68">
              <w:rPr>
                <w:rFonts w:ascii="Arial" w:hAnsi="Arial" w:cs="Arial"/>
              </w:rPr>
              <w:t xml:space="preserve"> – typical </w:t>
            </w:r>
            <w:r w:rsidR="00D06D68" w:rsidRPr="00BD1191">
              <w:rPr>
                <w:rFonts w:ascii="Arial" w:hAnsi="Arial" w:cs="Arial"/>
              </w:rPr>
              <w:t xml:space="preserve">areas </w:t>
            </w:r>
            <w:r w:rsidR="00D06D68">
              <w:rPr>
                <w:rFonts w:ascii="Arial" w:hAnsi="Arial" w:cs="Arial"/>
              </w:rPr>
              <w:t>in</w:t>
            </w:r>
            <w:r w:rsidR="00D06D68" w:rsidRPr="00BD1191">
              <w:rPr>
                <w:rFonts w:ascii="Arial" w:hAnsi="Arial" w:cs="Arial"/>
              </w:rPr>
              <w:t>clude:</w:t>
            </w:r>
          </w:p>
          <w:p w:rsidR="00D06D68" w:rsidRPr="00BD1191" w:rsidRDefault="00D06D68" w:rsidP="00D06D68">
            <w:pPr>
              <w:rPr>
                <w:rFonts w:ascii="Arial" w:hAnsi="Arial" w:cs="Arial"/>
              </w:rPr>
            </w:pPr>
          </w:p>
          <w:p w:rsidR="00A15EF5" w:rsidRDefault="00CC0A68" w:rsidP="00A15EF5">
            <w:pPr>
              <w:rPr>
                <w:rFonts w:ascii="Arial" w:hAnsi="Arial" w:cs="Arial"/>
                <w:color w:val="000000"/>
              </w:rPr>
            </w:pPr>
            <w:r w:rsidRPr="00CC0A68">
              <w:rPr>
                <w:rFonts w:ascii="Arial" w:hAnsi="Arial" w:cs="Arial"/>
                <w:color w:val="000000"/>
              </w:rPr>
              <w:t xml:space="preserve">a)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0A68">
              <w:rPr>
                <w:rFonts w:ascii="Arial" w:hAnsi="Arial" w:cs="Arial"/>
                <w:color w:val="000000"/>
              </w:rPr>
              <w:t>Access controls to the financial system</w:t>
            </w:r>
            <w:proofErr w:type="gramStart"/>
            <w:r w:rsidRPr="00CC0A68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CC0A68">
              <w:rPr>
                <w:rFonts w:ascii="Arial" w:hAnsi="Arial" w:cs="Arial"/>
                <w:color w:val="000000"/>
              </w:rPr>
              <w:br/>
              <w:t xml:space="preserve">b)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0A68">
              <w:rPr>
                <w:rFonts w:ascii="Arial" w:hAnsi="Arial" w:cs="Arial"/>
                <w:color w:val="000000"/>
              </w:rPr>
              <w:t>Accounting codes and structure,</w:t>
            </w:r>
            <w:r w:rsidRPr="00CC0A68">
              <w:rPr>
                <w:rFonts w:ascii="Arial" w:hAnsi="Arial" w:cs="Arial"/>
                <w:color w:val="000000"/>
              </w:rPr>
              <w:br/>
              <w:t xml:space="preserve">c)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0A68">
              <w:rPr>
                <w:rFonts w:ascii="Arial" w:hAnsi="Arial" w:cs="Arial"/>
                <w:color w:val="000000"/>
              </w:rPr>
              <w:t xml:space="preserve">Journals and </w:t>
            </w:r>
            <w:proofErr w:type="spellStart"/>
            <w:r w:rsidRPr="00CC0A68">
              <w:rPr>
                <w:rFonts w:ascii="Arial" w:hAnsi="Arial" w:cs="Arial"/>
                <w:color w:val="000000"/>
              </w:rPr>
              <w:t>virements</w:t>
            </w:r>
            <w:proofErr w:type="spellEnd"/>
            <w:r w:rsidRPr="00CC0A68">
              <w:rPr>
                <w:rFonts w:ascii="Arial" w:hAnsi="Arial" w:cs="Arial"/>
                <w:color w:val="000000"/>
              </w:rPr>
              <w:t>,</w:t>
            </w:r>
            <w:r w:rsidRPr="00CC0A68">
              <w:rPr>
                <w:rFonts w:ascii="Arial" w:hAnsi="Arial" w:cs="Arial"/>
                <w:color w:val="000000"/>
              </w:rPr>
              <w:br/>
              <w:t xml:space="preserve">d)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0A68">
              <w:rPr>
                <w:rFonts w:ascii="Arial" w:hAnsi="Arial" w:cs="Arial"/>
                <w:color w:val="000000"/>
              </w:rPr>
              <w:t>Bank reconciliations,</w:t>
            </w:r>
            <w:r w:rsidRPr="00CC0A68">
              <w:rPr>
                <w:rFonts w:ascii="Arial" w:hAnsi="Arial" w:cs="Arial"/>
                <w:color w:val="000000"/>
              </w:rPr>
              <w:br/>
              <w:t xml:space="preserve">e)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0A68">
              <w:rPr>
                <w:rFonts w:ascii="Arial" w:hAnsi="Arial" w:cs="Arial"/>
                <w:color w:val="000000"/>
              </w:rPr>
              <w:t>Feeder system / control account reconciliations,</w:t>
            </w:r>
            <w:r w:rsidRPr="00CC0A68">
              <w:rPr>
                <w:rFonts w:ascii="Arial" w:hAnsi="Arial" w:cs="Arial"/>
                <w:color w:val="000000"/>
              </w:rPr>
              <w:br/>
              <w:t xml:space="preserve">f)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C0A68">
              <w:rPr>
                <w:rFonts w:ascii="Arial" w:hAnsi="Arial" w:cs="Arial"/>
                <w:color w:val="000000"/>
              </w:rPr>
              <w:t>Suspense accounts.</w:t>
            </w:r>
            <w:r w:rsidRPr="00CC0A68">
              <w:rPr>
                <w:rFonts w:ascii="Arial" w:hAnsi="Arial" w:cs="Arial"/>
                <w:color w:val="000000"/>
              </w:rPr>
              <w:br/>
            </w:r>
            <w:r w:rsidRPr="00CC0A68">
              <w:rPr>
                <w:rFonts w:ascii="Arial" w:hAnsi="Arial" w:cs="Arial"/>
                <w:color w:val="000000"/>
              </w:rPr>
              <w:br/>
            </w:r>
            <w:r w:rsidR="00A15EF5"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A15EF5">
              <w:rPr>
                <w:rFonts w:ascii="Arial" w:hAnsi="Arial" w:cs="Arial"/>
                <w:color w:val="000000"/>
              </w:rPr>
              <w:t xml:space="preserve">to </w:t>
            </w:r>
            <w:r w:rsidR="00A15EF5"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FE4A51">
              <w:rPr>
                <w:rFonts w:ascii="Arial" w:hAnsi="Arial" w:cs="Arial"/>
                <w:color w:val="000000"/>
              </w:rPr>
              <w:t xml:space="preserve">the </w:t>
            </w:r>
            <w:r w:rsidR="00A15EF5"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 w:rsidR="00A15EF5"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 w:rsidR="00A15EF5">
              <w:rPr>
                <w:rFonts w:ascii="Arial" w:hAnsi="Arial" w:cs="Arial"/>
                <w:color w:val="000000"/>
              </w:rPr>
              <w:t xml:space="preserve"> </w:t>
            </w:r>
            <w:r w:rsidR="00FE4A51">
              <w:rPr>
                <w:rFonts w:ascii="Arial" w:hAnsi="Arial" w:cs="Arial"/>
                <w:color w:val="000000"/>
              </w:rPr>
              <w:t xml:space="preserve">financial year </w:t>
            </w:r>
            <w:r w:rsidR="00A15EF5">
              <w:rPr>
                <w:rFonts w:ascii="Arial" w:hAnsi="Arial" w:cs="Arial"/>
                <w:color w:val="000000"/>
              </w:rPr>
              <w:t xml:space="preserve">and will be apportioned </w:t>
            </w:r>
            <w:r w:rsidR="00A15EF5" w:rsidRPr="00C96B2C">
              <w:rPr>
                <w:rFonts w:ascii="Arial" w:hAnsi="Arial" w:cs="Arial"/>
                <w:color w:val="000000"/>
              </w:rPr>
              <w:t>between Watford Borough C</w:t>
            </w:r>
            <w:r w:rsidR="00A15EF5">
              <w:rPr>
                <w:rFonts w:ascii="Arial" w:hAnsi="Arial" w:cs="Arial"/>
                <w:color w:val="000000"/>
              </w:rPr>
              <w:t>ouncil and Three Rivers Council</w:t>
            </w:r>
            <w:r w:rsidR="00EC4B54">
              <w:rPr>
                <w:rFonts w:ascii="Arial" w:hAnsi="Arial" w:cs="Arial"/>
                <w:color w:val="000000"/>
              </w:rPr>
              <w:t xml:space="preserve"> transactions</w:t>
            </w:r>
            <w:r w:rsidR="00A15EF5" w:rsidRPr="00C96B2C">
              <w:rPr>
                <w:rFonts w:ascii="Arial" w:hAnsi="Arial" w:cs="Arial"/>
                <w:color w:val="000000"/>
              </w:rPr>
              <w:t>.</w:t>
            </w:r>
          </w:p>
          <w:p w:rsidR="00D06D68" w:rsidRPr="00CC0A68" w:rsidRDefault="00D06D68" w:rsidP="00CC0A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04367F" w:rsidRDefault="003A456F" w:rsidP="00E17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4D">
              <w:rPr>
                <w:rFonts w:ascii="Arial" w:hAnsi="Arial" w:cs="Arial"/>
              </w:rPr>
              <w:t>0</w:t>
            </w:r>
          </w:p>
        </w:tc>
        <w:tc>
          <w:tcPr>
            <w:tcW w:w="1364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1B7C3E" w:rsidP="00EC4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A456F">
              <w:rPr>
                <w:rFonts w:ascii="Arial" w:hAnsi="Arial" w:cs="Arial"/>
              </w:rPr>
              <w:t>4</w:t>
            </w:r>
          </w:p>
        </w:tc>
      </w:tr>
      <w:tr w:rsidR="003335F6" w:rsidRPr="00C6475B" w:rsidTr="00447D96">
        <w:tc>
          <w:tcPr>
            <w:tcW w:w="2256" w:type="dxa"/>
            <w:gridSpan w:val="2"/>
            <w:shd w:val="clear" w:color="auto" w:fill="auto"/>
          </w:tcPr>
          <w:p w:rsidR="003335F6" w:rsidRDefault="003335F6" w:rsidP="005A7924">
            <w:pPr>
              <w:rPr>
                <w:rFonts w:ascii="Arial" w:hAnsi="Arial" w:cs="Arial"/>
              </w:rPr>
            </w:pPr>
          </w:p>
          <w:p w:rsidR="003335F6" w:rsidRDefault="003335F6" w:rsidP="005A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NDR</w:t>
            </w:r>
          </w:p>
          <w:p w:rsidR="003335F6" w:rsidRDefault="003335F6" w:rsidP="005A7924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3335F6" w:rsidRDefault="003335F6" w:rsidP="005A7924">
            <w:pPr>
              <w:rPr>
                <w:rFonts w:ascii="Arial" w:hAnsi="Arial" w:cs="Arial"/>
              </w:rPr>
            </w:pPr>
          </w:p>
          <w:p w:rsidR="00651FC3" w:rsidRPr="00BD1191" w:rsidRDefault="00651FC3" w:rsidP="00651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NDR </w:t>
            </w:r>
            <w:r w:rsidRPr="00BD1191">
              <w:rPr>
                <w:rFonts w:ascii="Arial" w:hAnsi="Arial" w:cs="Arial"/>
              </w:rPr>
              <w:t>system to confirm that existing controls are adequate and operating effectively</w:t>
            </w:r>
            <w:r w:rsidR="00927D98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that previous audit recommendations have been implemented</w:t>
            </w:r>
            <w:r w:rsidRPr="00BD1191">
              <w:rPr>
                <w:rFonts w:ascii="Arial" w:hAnsi="Arial" w:cs="Arial"/>
              </w:rPr>
              <w:t xml:space="preserve">. </w:t>
            </w:r>
            <w:r w:rsidR="008D01C9">
              <w:rPr>
                <w:rFonts w:ascii="Arial" w:hAnsi="Arial" w:cs="Arial"/>
              </w:rPr>
              <w:t>S</w:t>
            </w:r>
            <w:r w:rsidRPr="00BD1191">
              <w:rPr>
                <w:rFonts w:ascii="Arial" w:hAnsi="Arial" w:cs="Arial"/>
              </w:rPr>
              <w:t>cope to be agreed with management</w:t>
            </w:r>
            <w:r>
              <w:rPr>
                <w:rFonts w:ascii="Arial" w:hAnsi="Arial" w:cs="Arial"/>
              </w:rPr>
              <w:t xml:space="preserve"> – typical </w:t>
            </w:r>
            <w:r w:rsidRPr="00BD1191">
              <w:rPr>
                <w:rFonts w:ascii="Arial" w:hAnsi="Arial" w:cs="Arial"/>
              </w:rPr>
              <w:t>areas include:</w:t>
            </w:r>
          </w:p>
          <w:p w:rsidR="00651FC3" w:rsidRDefault="00651FC3" w:rsidP="00651FC3">
            <w:pPr>
              <w:ind w:left="357" w:hanging="357"/>
              <w:rPr>
                <w:rFonts w:ascii="Arial" w:hAnsi="Arial" w:cs="Arial"/>
                <w:color w:val="000000"/>
              </w:rPr>
            </w:pPr>
          </w:p>
          <w:p w:rsidR="00651FC3" w:rsidRDefault="00651FC3" w:rsidP="00651FC3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651FC3">
              <w:rPr>
                <w:rFonts w:ascii="Arial" w:hAnsi="Arial" w:cs="Arial"/>
                <w:color w:val="000000"/>
              </w:rPr>
              <w:t xml:space="preserve">Policies, Procedures and </w:t>
            </w:r>
            <w:r w:rsidR="00FE4A51">
              <w:rPr>
                <w:rFonts w:ascii="Arial" w:hAnsi="Arial" w:cs="Arial"/>
                <w:color w:val="000000"/>
              </w:rPr>
              <w:t>Legislation</w:t>
            </w:r>
            <w:r w:rsidR="00EC4B54">
              <w:rPr>
                <w:rFonts w:ascii="Arial" w:hAnsi="Arial" w:cs="Arial"/>
                <w:color w:val="000000"/>
              </w:rPr>
              <w:t>,</w:t>
            </w:r>
          </w:p>
          <w:p w:rsidR="00651FC3" w:rsidRDefault="00EC4B54" w:rsidP="00651FC3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Amendment to NDR records</w:t>
            </w:r>
            <w:r w:rsidR="00FE4A51">
              <w:rPr>
                <w:rFonts w:ascii="Arial" w:hAnsi="Arial" w:cs="Arial"/>
                <w:color w:val="000000"/>
              </w:rPr>
              <w:t>, including reconciliation between the Valuation Office Agency and Council records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651FC3" w:rsidRDefault="00651FC3" w:rsidP="00651FC3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Multiplier Setting</w:t>
            </w:r>
            <w:r w:rsidR="00EC4B54">
              <w:rPr>
                <w:rFonts w:ascii="Arial" w:hAnsi="Arial" w:cs="Arial"/>
                <w:color w:val="000000"/>
              </w:rPr>
              <w:t>,</w:t>
            </w:r>
          </w:p>
          <w:p w:rsidR="00651FC3" w:rsidRDefault="00651FC3" w:rsidP="00651FC3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651FC3">
              <w:rPr>
                <w:rFonts w:ascii="Arial" w:hAnsi="Arial" w:cs="Arial"/>
                <w:color w:val="000000"/>
              </w:rPr>
              <w:t>Voids and Reliefs</w:t>
            </w:r>
            <w:r w:rsidR="00EC4B54">
              <w:rPr>
                <w:rFonts w:ascii="Arial" w:hAnsi="Arial" w:cs="Arial"/>
                <w:color w:val="000000"/>
              </w:rPr>
              <w:t>,</w:t>
            </w:r>
          </w:p>
          <w:p w:rsidR="00EC4B54" w:rsidRPr="00EC4B54" w:rsidRDefault="00EC4B54" w:rsidP="00EC4B54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Billing</w:t>
            </w:r>
            <w:r w:rsidR="00FE4A51">
              <w:rPr>
                <w:rFonts w:ascii="Arial" w:hAnsi="Arial" w:cs="Arial"/>
                <w:color w:val="000000"/>
              </w:rPr>
              <w:t xml:space="preserve"> (annual and in-year)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651FC3" w:rsidRDefault="00651FC3" w:rsidP="00651FC3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Payments and Refunds</w:t>
            </w:r>
            <w:r w:rsidR="00EC4B54">
              <w:rPr>
                <w:rFonts w:ascii="Arial" w:hAnsi="Arial" w:cs="Arial"/>
                <w:color w:val="000000"/>
              </w:rPr>
              <w:t>,</w:t>
            </w:r>
          </w:p>
          <w:p w:rsidR="00651FC3" w:rsidRDefault="00651FC3" w:rsidP="00651FC3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651FC3">
              <w:rPr>
                <w:rFonts w:ascii="Arial" w:hAnsi="Arial" w:cs="Arial"/>
                <w:color w:val="000000"/>
              </w:rPr>
              <w:t>Recovery,</w:t>
            </w:r>
            <w:r>
              <w:rPr>
                <w:rFonts w:ascii="Arial" w:hAnsi="Arial" w:cs="Arial"/>
                <w:color w:val="000000"/>
              </w:rPr>
              <w:t xml:space="preserve"> Enforcement and Write offs</w:t>
            </w:r>
            <w:r w:rsidR="00EC4B54">
              <w:rPr>
                <w:rFonts w:ascii="Arial" w:hAnsi="Arial" w:cs="Arial"/>
                <w:color w:val="000000"/>
              </w:rPr>
              <w:t>,</w:t>
            </w:r>
          </w:p>
          <w:p w:rsidR="00B50E52" w:rsidRPr="00967B6A" w:rsidRDefault="00651FC3" w:rsidP="00967B6A">
            <w:pPr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651FC3">
              <w:rPr>
                <w:rFonts w:ascii="Arial" w:hAnsi="Arial" w:cs="Arial"/>
                <w:color w:val="000000"/>
              </w:rPr>
              <w:t xml:space="preserve">Reconciliation between </w:t>
            </w:r>
            <w:r w:rsidR="00FE4A51">
              <w:rPr>
                <w:rFonts w:ascii="Arial" w:hAnsi="Arial" w:cs="Arial"/>
                <w:color w:val="000000"/>
              </w:rPr>
              <w:t xml:space="preserve">the </w:t>
            </w:r>
            <w:r w:rsidRPr="00651FC3">
              <w:rPr>
                <w:rFonts w:ascii="Arial" w:hAnsi="Arial" w:cs="Arial"/>
                <w:color w:val="000000"/>
              </w:rPr>
              <w:t>ND</w:t>
            </w:r>
            <w:r>
              <w:rPr>
                <w:rFonts w:ascii="Arial" w:hAnsi="Arial" w:cs="Arial"/>
                <w:color w:val="000000"/>
              </w:rPr>
              <w:t>R System and general ledger</w:t>
            </w:r>
            <w:r w:rsidR="00967B6A">
              <w:rPr>
                <w:rFonts w:ascii="Arial" w:hAnsi="Arial" w:cs="Arial"/>
                <w:color w:val="000000"/>
              </w:rPr>
              <w:t>.</w:t>
            </w:r>
          </w:p>
          <w:p w:rsidR="00B50E52" w:rsidRDefault="00B50E52" w:rsidP="00B50E52">
            <w:pPr>
              <w:ind w:left="357"/>
              <w:rPr>
                <w:rFonts w:ascii="Arial" w:hAnsi="Arial" w:cs="Arial"/>
                <w:color w:val="000000"/>
              </w:rPr>
            </w:pPr>
          </w:p>
          <w:p w:rsidR="00651FC3" w:rsidRPr="00B50E52" w:rsidRDefault="00651FC3" w:rsidP="00B50E52">
            <w:pPr>
              <w:rPr>
                <w:rFonts w:ascii="Arial" w:hAnsi="Arial" w:cs="Arial"/>
                <w:color w:val="000000"/>
              </w:rPr>
            </w:pPr>
            <w:r w:rsidRPr="00B50E52">
              <w:rPr>
                <w:rFonts w:ascii="Arial" w:hAnsi="Arial" w:cs="Arial"/>
                <w:color w:val="000000"/>
              </w:rPr>
              <w:lastRenderedPageBreak/>
              <w:t xml:space="preserve">(System controls and data retention are included in the scope of the Benefits audit as the same systems (Academy and </w:t>
            </w:r>
            <w:proofErr w:type="spellStart"/>
            <w:r w:rsidRPr="00B50E52">
              <w:rPr>
                <w:rFonts w:ascii="Arial" w:hAnsi="Arial" w:cs="Arial"/>
                <w:color w:val="000000"/>
              </w:rPr>
              <w:t>Anite</w:t>
            </w:r>
            <w:proofErr w:type="spellEnd"/>
            <w:r w:rsidRPr="00B50E52">
              <w:rPr>
                <w:rFonts w:ascii="Arial" w:hAnsi="Arial" w:cs="Arial"/>
                <w:color w:val="000000"/>
              </w:rPr>
              <w:t xml:space="preserve">) are used throughout the Revenues &amp; Benefits service).  </w:t>
            </w:r>
          </w:p>
          <w:p w:rsidR="00651FC3" w:rsidRDefault="00651FC3" w:rsidP="00651FC3">
            <w:pPr>
              <w:rPr>
                <w:rFonts w:ascii="Arial" w:hAnsi="Arial" w:cs="Arial"/>
                <w:color w:val="000000"/>
              </w:rPr>
            </w:pPr>
          </w:p>
          <w:p w:rsidR="00A15EF5" w:rsidRDefault="00A15EF5" w:rsidP="00A15EF5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 xml:space="preserve">will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E17CAD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7CAD">
              <w:rPr>
                <w:rFonts w:ascii="Arial" w:hAnsi="Arial" w:cs="Arial"/>
                <w:color w:val="000000"/>
              </w:rPr>
              <w:t xml:space="preserve">financial year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Pr="00C96B2C">
              <w:rPr>
                <w:rFonts w:ascii="Arial" w:hAnsi="Arial" w:cs="Arial"/>
                <w:color w:val="000000"/>
              </w:rPr>
              <w:t>Watford Borough C</w:t>
            </w:r>
            <w:r>
              <w:rPr>
                <w:rFonts w:ascii="Arial" w:hAnsi="Arial" w:cs="Arial"/>
                <w:color w:val="000000"/>
              </w:rPr>
              <w:t>ouncil and Three Rivers Council</w:t>
            </w:r>
            <w:r w:rsidR="0052254C">
              <w:rPr>
                <w:rFonts w:ascii="Arial" w:hAnsi="Arial" w:cs="Arial"/>
                <w:color w:val="000000"/>
              </w:rPr>
              <w:t xml:space="preserve"> </w:t>
            </w:r>
            <w:r w:rsidR="00493A85">
              <w:rPr>
                <w:rFonts w:ascii="Arial" w:hAnsi="Arial" w:cs="Arial"/>
                <w:color w:val="000000"/>
              </w:rPr>
              <w:t>cases</w:t>
            </w:r>
            <w:r w:rsidR="0052254C">
              <w:rPr>
                <w:rFonts w:ascii="Arial" w:hAnsi="Arial" w:cs="Arial"/>
                <w:color w:val="000000"/>
              </w:rPr>
              <w:t>.</w:t>
            </w:r>
          </w:p>
          <w:p w:rsidR="00651FC3" w:rsidRPr="00AA0448" w:rsidRDefault="00651FC3" w:rsidP="005A79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3335F6" w:rsidRDefault="003335F6" w:rsidP="005A7924">
            <w:pPr>
              <w:rPr>
                <w:rFonts w:ascii="Arial" w:hAnsi="Arial" w:cs="Arial"/>
              </w:rPr>
            </w:pPr>
          </w:p>
          <w:p w:rsidR="003335F6" w:rsidRDefault="003335F6" w:rsidP="00E17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7CAD"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gridSpan w:val="2"/>
          </w:tcPr>
          <w:p w:rsidR="003335F6" w:rsidRDefault="003335F6" w:rsidP="005A7924">
            <w:pPr>
              <w:rPr>
                <w:rFonts w:ascii="Arial" w:hAnsi="Arial" w:cs="Arial"/>
              </w:rPr>
            </w:pPr>
          </w:p>
          <w:p w:rsidR="003335F6" w:rsidRDefault="003335F6" w:rsidP="00333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1B7C3E" w:rsidRDefault="00A25F69" w:rsidP="001B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  <w:p w:rsidR="001B7C3E" w:rsidRDefault="001B7C3E" w:rsidP="001B7C3E">
            <w:pPr>
              <w:rPr>
                <w:rFonts w:ascii="Arial" w:hAnsi="Arial" w:cs="Arial"/>
              </w:rPr>
            </w:pPr>
          </w:p>
          <w:p w:rsidR="003A48FF" w:rsidRPr="00C6475B" w:rsidRDefault="001B7C3E" w:rsidP="001B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3" w:type="dxa"/>
            <w:shd w:val="clear" w:color="auto" w:fill="auto"/>
          </w:tcPr>
          <w:p w:rsidR="003A48FF" w:rsidRPr="00351665" w:rsidRDefault="003A48FF" w:rsidP="001B7C3E">
            <w:pPr>
              <w:rPr>
                <w:rFonts w:ascii="Arial" w:hAnsi="Arial" w:cs="Arial"/>
              </w:rPr>
            </w:pPr>
          </w:p>
          <w:p w:rsidR="006D3EF6" w:rsidRPr="00BD1191" w:rsidRDefault="006D3EF6" w:rsidP="006D3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Payroll s</w:t>
            </w:r>
            <w:r w:rsidRPr="00BD1191">
              <w:rPr>
                <w:rFonts w:ascii="Arial" w:hAnsi="Arial" w:cs="Arial"/>
              </w:rPr>
              <w:t xml:space="preserve">ystem to confirm that existing controls are adequate and </w:t>
            </w:r>
            <w:r w:rsidR="00B72C31">
              <w:rPr>
                <w:rFonts w:ascii="Arial" w:hAnsi="Arial" w:cs="Arial"/>
              </w:rPr>
              <w:t xml:space="preserve">are </w:t>
            </w:r>
            <w:r w:rsidRPr="00BD1191">
              <w:rPr>
                <w:rFonts w:ascii="Arial" w:hAnsi="Arial" w:cs="Arial"/>
              </w:rPr>
              <w:t>operating effectively</w:t>
            </w:r>
            <w:r w:rsidR="00927D98">
              <w:rPr>
                <w:rFonts w:ascii="Arial" w:hAnsi="Arial" w:cs="Arial"/>
              </w:rPr>
              <w:t xml:space="preserve"> and </w:t>
            </w:r>
            <w:r w:rsidR="00B72C3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hat previous audit recommendations have been implemented</w:t>
            </w:r>
            <w:r w:rsidRPr="00BD1191">
              <w:rPr>
                <w:rFonts w:ascii="Arial" w:hAnsi="Arial" w:cs="Arial"/>
              </w:rPr>
              <w:t xml:space="preserve">. </w:t>
            </w:r>
            <w:r w:rsidR="000F0719">
              <w:rPr>
                <w:rFonts w:ascii="Arial" w:hAnsi="Arial" w:cs="Arial"/>
              </w:rPr>
              <w:t>S</w:t>
            </w:r>
            <w:r w:rsidRPr="00BD1191">
              <w:rPr>
                <w:rFonts w:ascii="Arial" w:hAnsi="Arial" w:cs="Arial"/>
              </w:rPr>
              <w:t>cope to be agreed with management</w:t>
            </w:r>
            <w:r>
              <w:rPr>
                <w:rFonts w:ascii="Arial" w:hAnsi="Arial" w:cs="Arial"/>
              </w:rPr>
              <w:t xml:space="preserve"> – typical </w:t>
            </w:r>
            <w:r w:rsidRPr="00BD1191">
              <w:rPr>
                <w:rFonts w:ascii="Arial" w:hAnsi="Arial" w:cs="Arial"/>
              </w:rPr>
              <w:t>areas include:</w:t>
            </w:r>
          </w:p>
          <w:p w:rsidR="006D3EF6" w:rsidRDefault="006D3EF6" w:rsidP="006D3EF6">
            <w:pPr>
              <w:rPr>
                <w:rFonts w:ascii="Arial" w:hAnsi="Arial" w:cs="Arial"/>
              </w:rPr>
            </w:pPr>
          </w:p>
          <w:p w:rsidR="00C72DD5" w:rsidRDefault="006D3EF6" w:rsidP="00502B0F">
            <w:pPr>
              <w:rPr>
                <w:rFonts w:ascii="Arial" w:hAnsi="Arial" w:cs="Arial"/>
                <w:color w:val="000000"/>
              </w:rPr>
            </w:pPr>
            <w:r w:rsidRPr="006D3EF6">
              <w:rPr>
                <w:rFonts w:ascii="Arial" w:hAnsi="Arial" w:cs="Arial"/>
                <w:color w:val="000000"/>
              </w:rPr>
              <w:t xml:space="preserve">a)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72C31">
              <w:rPr>
                <w:rFonts w:ascii="Arial" w:hAnsi="Arial" w:cs="Arial"/>
                <w:color w:val="000000"/>
              </w:rPr>
              <w:t>Payroll system – standing data,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b)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D3EF6">
              <w:rPr>
                <w:rFonts w:ascii="Arial" w:hAnsi="Arial" w:cs="Arial"/>
                <w:color w:val="000000"/>
              </w:rPr>
              <w:t>Starters, leavers, transfers and amendments</w:t>
            </w:r>
            <w:r w:rsidR="00B72C31">
              <w:rPr>
                <w:rFonts w:ascii="Arial" w:hAnsi="Arial" w:cs="Arial"/>
                <w:color w:val="000000"/>
              </w:rPr>
              <w:t>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c)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D3EF6">
              <w:rPr>
                <w:rFonts w:ascii="Arial" w:hAnsi="Arial" w:cs="Arial"/>
                <w:color w:val="000000"/>
              </w:rPr>
              <w:t>Payroll payments, including scheduling and BACS</w:t>
            </w:r>
            <w:r w:rsidR="00B72C31">
              <w:rPr>
                <w:rFonts w:ascii="Arial" w:hAnsi="Arial" w:cs="Arial"/>
                <w:color w:val="000000"/>
              </w:rPr>
              <w:t>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d)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72C31">
              <w:rPr>
                <w:rFonts w:ascii="Arial" w:hAnsi="Arial" w:cs="Arial"/>
                <w:color w:val="000000"/>
              </w:rPr>
              <w:t>Pension contribution rates,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e)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D3EF6">
              <w:rPr>
                <w:rFonts w:ascii="Arial" w:hAnsi="Arial" w:cs="Arial"/>
                <w:color w:val="000000"/>
              </w:rPr>
              <w:t>Payroll deductions and third party payments</w:t>
            </w:r>
            <w:r w:rsidR="00B72C31">
              <w:rPr>
                <w:rFonts w:ascii="Arial" w:hAnsi="Arial" w:cs="Arial"/>
                <w:color w:val="000000"/>
              </w:rPr>
              <w:t>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f)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B72C31">
              <w:rPr>
                <w:rFonts w:ascii="Arial" w:hAnsi="Arial" w:cs="Arial"/>
                <w:color w:val="000000"/>
              </w:rPr>
              <w:t>Reconciliations</w:t>
            </w:r>
            <w:r w:rsidR="00967B6A">
              <w:rPr>
                <w:rFonts w:ascii="Arial" w:hAnsi="Arial" w:cs="Arial"/>
                <w:color w:val="000000"/>
              </w:rPr>
              <w:t xml:space="preserve"> between the Payroll system and general ledger</w:t>
            </w:r>
            <w:r w:rsidR="00B72C31">
              <w:rPr>
                <w:rFonts w:ascii="Arial" w:hAnsi="Arial" w:cs="Arial"/>
                <w:color w:val="000000"/>
              </w:rPr>
              <w:t>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g)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D3EF6">
              <w:rPr>
                <w:rFonts w:ascii="Arial" w:hAnsi="Arial" w:cs="Arial"/>
                <w:color w:val="000000"/>
              </w:rPr>
              <w:t>Management exception reports</w:t>
            </w:r>
            <w:r w:rsidR="00B72C31">
              <w:rPr>
                <w:rFonts w:ascii="Arial" w:hAnsi="Arial" w:cs="Arial"/>
                <w:color w:val="000000"/>
              </w:rPr>
              <w:t>,</w:t>
            </w:r>
            <w:r w:rsidRPr="006D3EF6">
              <w:rPr>
                <w:rFonts w:ascii="Arial" w:hAnsi="Arial" w:cs="Arial"/>
                <w:color w:val="000000"/>
              </w:rPr>
              <w:br/>
              <w:t xml:space="preserve">h)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D3EF6">
              <w:rPr>
                <w:rFonts w:ascii="Arial" w:hAnsi="Arial" w:cs="Arial"/>
                <w:color w:val="000000"/>
              </w:rPr>
              <w:t>Payroll contract</w:t>
            </w:r>
            <w:r w:rsidR="00C72DD5">
              <w:rPr>
                <w:rFonts w:ascii="Arial" w:hAnsi="Arial" w:cs="Arial"/>
                <w:color w:val="000000"/>
              </w:rPr>
              <w:t xml:space="preserve"> managemen</w:t>
            </w:r>
            <w:r w:rsidR="00B72C31">
              <w:rPr>
                <w:rFonts w:ascii="Arial" w:hAnsi="Arial" w:cs="Arial"/>
                <w:color w:val="000000"/>
              </w:rPr>
              <w:t>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15EF5"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 xml:space="preserve">will </w:t>
            </w:r>
            <w:r w:rsidR="00A15EF5"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B72C31">
              <w:rPr>
                <w:rFonts w:ascii="Arial" w:hAnsi="Arial" w:cs="Arial"/>
                <w:color w:val="000000"/>
              </w:rPr>
              <w:t>the 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 w:rsidR="00B72C31"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 w:rsidR="00A15EF5">
              <w:rPr>
                <w:rFonts w:ascii="Arial" w:hAnsi="Arial" w:cs="Arial"/>
                <w:color w:val="000000"/>
              </w:rPr>
              <w:t xml:space="preserve"> </w:t>
            </w:r>
            <w:r w:rsidR="00B72C31">
              <w:rPr>
                <w:rFonts w:ascii="Arial" w:hAnsi="Arial" w:cs="Arial"/>
                <w:color w:val="000000"/>
              </w:rPr>
              <w:t xml:space="preserve">financial year </w:t>
            </w:r>
            <w:r w:rsidR="00A15EF5"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="00A15EF5" w:rsidRPr="00C96B2C">
              <w:rPr>
                <w:rFonts w:ascii="Arial" w:hAnsi="Arial" w:cs="Arial"/>
                <w:color w:val="000000"/>
              </w:rPr>
              <w:t>Watford Borough C</w:t>
            </w:r>
            <w:r w:rsidR="00A15EF5">
              <w:rPr>
                <w:rFonts w:ascii="Arial" w:hAnsi="Arial" w:cs="Arial"/>
                <w:color w:val="000000"/>
              </w:rPr>
              <w:t>ouncil and Three Rivers Council</w:t>
            </w:r>
            <w:r w:rsidR="00B72C31">
              <w:rPr>
                <w:rFonts w:ascii="Arial" w:hAnsi="Arial" w:cs="Arial"/>
                <w:color w:val="000000"/>
              </w:rPr>
              <w:t xml:space="preserve"> transactions</w:t>
            </w:r>
            <w:r w:rsidR="00A15EF5" w:rsidRPr="00C96B2C">
              <w:rPr>
                <w:rFonts w:ascii="Arial" w:hAnsi="Arial" w:cs="Arial"/>
                <w:color w:val="000000"/>
              </w:rPr>
              <w:t>.</w:t>
            </w:r>
          </w:p>
          <w:p w:rsidR="00EC6663" w:rsidRPr="00824A01" w:rsidRDefault="00EC6663" w:rsidP="00502B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04367F" w:rsidRDefault="003A456F" w:rsidP="00841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14C7">
              <w:rPr>
                <w:rFonts w:ascii="Arial" w:hAnsi="Arial" w:cs="Arial"/>
              </w:rPr>
              <w:t>0</w:t>
            </w:r>
          </w:p>
        </w:tc>
        <w:tc>
          <w:tcPr>
            <w:tcW w:w="1364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3A48FF" w:rsidP="00B7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942177" w:rsidRDefault="00942177" w:rsidP="005905D7">
            <w:pPr>
              <w:rPr>
                <w:rFonts w:ascii="Arial" w:hAnsi="Arial" w:cs="Arial"/>
              </w:rPr>
            </w:pPr>
          </w:p>
          <w:p w:rsidR="001B7C3E" w:rsidRDefault="003335F6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</w:t>
            </w:r>
            <w:r w:rsidR="00502B0F">
              <w:rPr>
                <w:rFonts w:ascii="Arial" w:hAnsi="Arial" w:cs="Arial"/>
              </w:rPr>
              <w:t>y Management</w:t>
            </w:r>
          </w:p>
          <w:p w:rsidR="00942177" w:rsidRDefault="00942177" w:rsidP="005905D7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1B7C3E" w:rsidRDefault="001B7C3E" w:rsidP="001B7C3E">
            <w:pPr>
              <w:rPr>
                <w:rFonts w:ascii="Arial" w:hAnsi="Arial" w:cs="Arial"/>
                <w:highlight w:val="yellow"/>
              </w:rPr>
            </w:pPr>
          </w:p>
          <w:p w:rsidR="00BC38C3" w:rsidRPr="00BD1191" w:rsidRDefault="000A7E59" w:rsidP="00B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Treasury Management </w:t>
            </w:r>
            <w:r w:rsidRPr="00BD1191">
              <w:rPr>
                <w:rFonts w:ascii="Arial" w:hAnsi="Arial" w:cs="Arial"/>
              </w:rPr>
              <w:t>system to confirm that existing controls are adequate and operating effectively</w:t>
            </w:r>
            <w:r>
              <w:rPr>
                <w:rFonts w:ascii="Arial" w:hAnsi="Arial" w:cs="Arial"/>
              </w:rPr>
              <w:t xml:space="preserve"> and that previous audit recommendations have been implemented</w:t>
            </w:r>
            <w:r w:rsidRPr="00BD1191">
              <w:rPr>
                <w:rFonts w:ascii="Arial" w:hAnsi="Arial" w:cs="Arial"/>
              </w:rPr>
              <w:t xml:space="preserve">. </w:t>
            </w:r>
            <w:r w:rsidR="000F0719">
              <w:rPr>
                <w:rFonts w:ascii="Arial" w:hAnsi="Arial" w:cs="Arial"/>
              </w:rPr>
              <w:t>S</w:t>
            </w:r>
            <w:r w:rsidR="00BC38C3" w:rsidRPr="00BD1191">
              <w:rPr>
                <w:rFonts w:ascii="Arial" w:hAnsi="Arial" w:cs="Arial"/>
              </w:rPr>
              <w:t>cope to be agreed with management</w:t>
            </w:r>
            <w:r w:rsidR="00BC38C3">
              <w:rPr>
                <w:rFonts w:ascii="Arial" w:hAnsi="Arial" w:cs="Arial"/>
              </w:rPr>
              <w:t xml:space="preserve"> – typical </w:t>
            </w:r>
            <w:r w:rsidR="00BC38C3" w:rsidRPr="00BD1191">
              <w:rPr>
                <w:rFonts w:ascii="Arial" w:hAnsi="Arial" w:cs="Arial"/>
              </w:rPr>
              <w:t>areas</w:t>
            </w:r>
            <w:r w:rsidR="000F0719">
              <w:rPr>
                <w:rFonts w:ascii="Arial" w:hAnsi="Arial" w:cs="Arial"/>
              </w:rPr>
              <w:t xml:space="preserve"> </w:t>
            </w:r>
            <w:r w:rsidR="00BC38C3" w:rsidRPr="00BD1191">
              <w:rPr>
                <w:rFonts w:ascii="Arial" w:hAnsi="Arial" w:cs="Arial"/>
              </w:rPr>
              <w:t>include:</w:t>
            </w:r>
          </w:p>
          <w:p w:rsidR="00BC38C3" w:rsidRDefault="00BC38C3" w:rsidP="00BC38C3">
            <w:pPr>
              <w:rPr>
                <w:rFonts w:ascii="Arial" w:hAnsi="Arial" w:cs="Arial"/>
              </w:rPr>
            </w:pPr>
          </w:p>
          <w:p w:rsid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C38C3">
              <w:rPr>
                <w:rFonts w:ascii="Arial" w:hAnsi="Arial" w:cs="Arial"/>
                <w:color w:val="000000"/>
              </w:rPr>
              <w:t>Treasury Management</w:t>
            </w:r>
            <w:r>
              <w:rPr>
                <w:rFonts w:ascii="Arial" w:hAnsi="Arial" w:cs="Arial"/>
                <w:color w:val="000000"/>
              </w:rPr>
              <w:t xml:space="preserve"> (TM) Practices, TM Procedures.</w:t>
            </w:r>
          </w:p>
          <w:p w:rsid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C38C3">
              <w:rPr>
                <w:rFonts w:ascii="Arial" w:hAnsi="Arial" w:cs="Arial"/>
                <w:color w:val="000000"/>
              </w:rPr>
              <w:t>TM Reporting Arrangements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C38C3">
              <w:rPr>
                <w:rFonts w:ascii="Arial" w:hAnsi="Arial" w:cs="Arial"/>
                <w:color w:val="000000"/>
              </w:rPr>
              <w:t>TM Training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C38C3">
              <w:rPr>
                <w:rFonts w:ascii="Arial" w:hAnsi="Arial" w:cs="Arial"/>
                <w:color w:val="000000"/>
              </w:rPr>
              <w:t>Service Continuity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Cashflow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Management.</w:t>
            </w:r>
          </w:p>
          <w:p w:rsid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C38C3">
              <w:rPr>
                <w:rFonts w:ascii="Arial" w:hAnsi="Arial" w:cs="Arial"/>
                <w:color w:val="000000"/>
              </w:rPr>
              <w:t>Counter-Party Risk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BC38C3" w:rsidRPr="00BC38C3" w:rsidRDefault="00BC38C3" w:rsidP="00BC38C3">
            <w:pPr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color w:val="000000"/>
              </w:rPr>
            </w:pPr>
            <w:r w:rsidRPr="00BC38C3">
              <w:rPr>
                <w:rFonts w:ascii="Arial" w:hAnsi="Arial" w:cs="Arial"/>
                <w:color w:val="000000"/>
              </w:rPr>
              <w:t xml:space="preserve">Transactions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BC38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BC38C3">
              <w:rPr>
                <w:rFonts w:ascii="Arial" w:hAnsi="Arial" w:cs="Arial"/>
                <w:color w:val="000000"/>
              </w:rPr>
              <w:t>includ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BC38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BC38C3">
              <w:rPr>
                <w:rFonts w:ascii="Arial" w:hAnsi="Arial" w:cs="Arial"/>
                <w:color w:val="000000"/>
              </w:rPr>
              <w:t xml:space="preserve">nline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BC38C3">
              <w:rPr>
                <w:rFonts w:ascii="Arial" w:hAnsi="Arial" w:cs="Arial"/>
                <w:color w:val="000000"/>
              </w:rPr>
              <w:t xml:space="preserve">anking and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BC38C3">
              <w:rPr>
                <w:rFonts w:ascii="Arial" w:hAnsi="Arial" w:cs="Arial"/>
                <w:color w:val="000000"/>
              </w:rPr>
              <w:t xml:space="preserve">lacing of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BC38C3">
              <w:rPr>
                <w:rFonts w:ascii="Arial" w:hAnsi="Arial" w:cs="Arial"/>
                <w:color w:val="000000"/>
              </w:rPr>
              <w:t xml:space="preserve">nvestments,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BC38C3">
              <w:rPr>
                <w:rFonts w:ascii="Arial" w:hAnsi="Arial" w:cs="Arial"/>
                <w:color w:val="000000"/>
              </w:rPr>
              <w:t>apital and Interest Payments, Reconciliations, External Service Providers / Contracts and Performance Monitoring.</w:t>
            </w:r>
          </w:p>
          <w:p w:rsidR="00BC38C3" w:rsidRDefault="00BC38C3" w:rsidP="001B7C3E">
            <w:pPr>
              <w:rPr>
                <w:rFonts w:ascii="Arial" w:hAnsi="Arial" w:cs="Arial"/>
                <w:highlight w:val="yellow"/>
              </w:rPr>
            </w:pPr>
          </w:p>
          <w:p w:rsidR="003E5F12" w:rsidRDefault="003E5F12" w:rsidP="003E5F12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>Testing</w:t>
            </w:r>
            <w:r w:rsidR="00493A85">
              <w:rPr>
                <w:rFonts w:ascii="Arial" w:hAnsi="Arial" w:cs="Arial"/>
                <w:color w:val="000000"/>
              </w:rPr>
              <w:t xml:space="preserve"> will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52254C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201</w:t>
            </w:r>
            <w:r w:rsidR="008414C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</w:t>
            </w:r>
            <w:r w:rsidR="008414C7">
              <w:rPr>
                <w:rFonts w:ascii="Arial" w:hAnsi="Arial" w:cs="Arial"/>
                <w:color w:val="000000"/>
              </w:rPr>
              <w:t>9</w:t>
            </w:r>
            <w:r w:rsidR="0052254C">
              <w:rPr>
                <w:rFonts w:ascii="Arial" w:hAnsi="Arial" w:cs="Arial"/>
                <w:color w:val="000000"/>
              </w:rPr>
              <w:t xml:space="preserve"> financial year </w:t>
            </w:r>
            <w:r>
              <w:rPr>
                <w:rFonts w:ascii="Arial" w:hAnsi="Arial" w:cs="Arial"/>
                <w:color w:val="000000"/>
              </w:rPr>
              <w:t>and b</w:t>
            </w:r>
            <w:r w:rsidR="00493A85">
              <w:rPr>
                <w:rFonts w:ascii="Arial" w:hAnsi="Arial" w:cs="Arial"/>
                <w:color w:val="000000"/>
              </w:rPr>
              <w:t xml:space="preserve">oth </w:t>
            </w:r>
            <w:r w:rsidRPr="00C96B2C">
              <w:rPr>
                <w:rFonts w:ascii="Arial" w:hAnsi="Arial" w:cs="Arial"/>
                <w:color w:val="000000"/>
              </w:rPr>
              <w:t>Watford Borough C</w:t>
            </w:r>
            <w:r>
              <w:rPr>
                <w:rFonts w:ascii="Arial" w:hAnsi="Arial" w:cs="Arial"/>
                <w:color w:val="000000"/>
              </w:rPr>
              <w:t>ouncil and Three Rivers Council</w:t>
            </w:r>
            <w:r w:rsidR="0052254C">
              <w:rPr>
                <w:rFonts w:ascii="Arial" w:hAnsi="Arial" w:cs="Arial"/>
                <w:color w:val="000000"/>
              </w:rPr>
              <w:t xml:space="preserve"> </w:t>
            </w:r>
            <w:r w:rsidR="00493A85">
              <w:rPr>
                <w:rFonts w:ascii="Arial" w:hAnsi="Arial" w:cs="Arial"/>
                <w:color w:val="000000"/>
              </w:rPr>
              <w:t>transactions</w:t>
            </w:r>
            <w:r w:rsidR="0052254C">
              <w:rPr>
                <w:rFonts w:ascii="Arial" w:hAnsi="Arial" w:cs="Arial"/>
                <w:color w:val="000000"/>
              </w:rPr>
              <w:t>.</w:t>
            </w:r>
          </w:p>
          <w:p w:rsidR="007B4390" w:rsidRPr="00AA0448" w:rsidRDefault="007B4390" w:rsidP="001B7C3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1B7C3E" w:rsidRDefault="001B7C3E" w:rsidP="001B7C3E">
            <w:pPr>
              <w:jc w:val="center"/>
              <w:rPr>
                <w:rFonts w:ascii="Arial" w:hAnsi="Arial" w:cs="Arial"/>
              </w:rPr>
            </w:pPr>
          </w:p>
          <w:p w:rsidR="003335F6" w:rsidRDefault="0091694D" w:rsidP="00841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4" w:type="dxa"/>
            <w:gridSpan w:val="2"/>
          </w:tcPr>
          <w:p w:rsidR="001B7C3E" w:rsidRDefault="001B7C3E" w:rsidP="001B7C3E">
            <w:pPr>
              <w:jc w:val="center"/>
              <w:rPr>
                <w:rFonts w:ascii="Arial" w:hAnsi="Arial" w:cs="Arial"/>
              </w:rPr>
            </w:pPr>
          </w:p>
          <w:p w:rsidR="003335F6" w:rsidRDefault="003335F6" w:rsidP="0050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3A456F" w:rsidRDefault="003A456F" w:rsidP="005905D7">
            <w:pPr>
              <w:rPr>
                <w:rFonts w:ascii="Arial" w:hAnsi="Arial" w:cs="Arial"/>
              </w:rPr>
            </w:pPr>
          </w:p>
          <w:p w:rsidR="00A25F69" w:rsidRDefault="003335F6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Monitoring</w:t>
            </w:r>
          </w:p>
          <w:p w:rsidR="003A456F" w:rsidRDefault="003A456F" w:rsidP="005905D7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9D7B16" w:rsidRDefault="009D7B16" w:rsidP="009D7B16">
            <w:pPr>
              <w:rPr>
                <w:rFonts w:ascii="Arial" w:hAnsi="Arial" w:cs="Arial"/>
              </w:rPr>
            </w:pPr>
          </w:p>
          <w:p w:rsidR="009D7B16" w:rsidRDefault="009D7B16" w:rsidP="009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Budget Monitoring system to</w:t>
            </w:r>
            <w:r w:rsidRPr="00BD1191">
              <w:rPr>
                <w:rFonts w:ascii="Arial" w:hAnsi="Arial" w:cs="Arial"/>
              </w:rPr>
              <w:t xml:space="preserve"> confirm that existing controls are adequate and operating effectively</w:t>
            </w:r>
            <w:r>
              <w:rPr>
                <w:rFonts w:ascii="Arial" w:hAnsi="Arial" w:cs="Arial"/>
              </w:rPr>
              <w:t xml:space="preserve"> and that previous audit recommendations have been implemented</w:t>
            </w:r>
            <w:r w:rsidRPr="00BD119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</w:t>
            </w:r>
            <w:r w:rsidRPr="00BD1191">
              <w:rPr>
                <w:rFonts w:ascii="Arial" w:hAnsi="Arial" w:cs="Arial"/>
              </w:rPr>
              <w:t>cope to be agreed with management</w:t>
            </w:r>
            <w:r>
              <w:rPr>
                <w:rFonts w:ascii="Arial" w:hAnsi="Arial" w:cs="Arial"/>
              </w:rPr>
              <w:t xml:space="preserve"> – typical </w:t>
            </w:r>
            <w:r w:rsidRPr="00BD1191">
              <w:rPr>
                <w:rFonts w:ascii="Arial" w:hAnsi="Arial" w:cs="Arial"/>
              </w:rPr>
              <w:t>areas</w:t>
            </w:r>
            <w:r>
              <w:rPr>
                <w:rFonts w:ascii="Arial" w:hAnsi="Arial" w:cs="Arial"/>
              </w:rPr>
              <w:t xml:space="preserve"> </w:t>
            </w:r>
            <w:r w:rsidRPr="00BD1191">
              <w:rPr>
                <w:rFonts w:ascii="Arial" w:hAnsi="Arial" w:cs="Arial"/>
              </w:rPr>
              <w:t>include:</w:t>
            </w:r>
          </w:p>
          <w:p w:rsidR="009B5EBC" w:rsidRPr="00BD1191" w:rsidRDefault="009B5EBC" w:rsidP="009D7B16">
            <w:pPr>
              <w:rPr>
                <w:rFonts w:ascii="Arial" w:hAnsi="Arial" w:cs="Arial"/>
              </w:rPr>
            </w:pPr>
          </w:p>
          <w:p w:rsidR="00DB3EB9" w:rsidRDefault="009D7B16" w:rsidP="009D7B16">
            <w:pPr>
              <w:rPr>
                <w:rFonts w:ascii="Arial" w:hAnsi="Arial" w:cs="Arial"/>
                <w:color w:val="000000"/>
              </w:rPr>
            </w:pPr>
            <w:r w:rsidRPr="009D7B16">
              <w:rPr>
                <w:rFonts w:ascii="Arial" w:hAnsi="Arial" w:cs="Arial"/>
                <w:color w:val="000000"/>
              </w:rPr>
              <w:t xml:space="preserve">a) </w:t>
            </w:r>
            <w:r w:rsidR="0052254C">
              <w:rPr>
                <w:rFonts w:ascii="Arial" w:hAnsi="Arial" w:cs="Arial"/>
                <w:color w:val="000000"/>
              </w:rPr>
              <w:t xml:space="preserve"> Budget monitoring process.</w:t>
            </w:r>
            <w:r w:rsidRPr="009D7B16">
              <w:rPr>
                <w:rFonts w:ascii="Arial" w:hAnsi="Arial" w:cs="Arial"/>
                <w:color w:val="000000"/>
              </w:rPr>
              <w:br/>
              <w:t>b)  Accuracy and timeliness</w:t>
            </w:r>
            <w:r w:rsidR="00DB3EB9">
              <w:rPr>
                <w:rFonts w:ascii="Arial" w:hAnsi="Arial" w:cs="Arial"/>
                <w:color w:val="000000"/>
              </w:rPr>
              <w:t xml:space="preserve"> of budget data</w:t>
            </w:r>
            <w:r w:rsidR="0052254C">
              <w:rPr>
                <w:rFonts w:ascii="Arial" w:hAnsi="Arial" w:cs="Arial"/>
                <w:color w:val="000000"/>
              </w:rPr>
              <w:t>,</w:t>
            </w:r>
          </w:p>
          <w:p w:rsidR="00DB3EB9" w:rsidRDefault="009D7B16" w:rsidP="009D7B16">
            <w:pPr>
              <w:rPr>
                <w:rFonts w:ascii="Arial" w:hAnsi="Arial" w:cs="Arial"/>
                <w:color w:val="000000"/>
              </w:rPr>
            </w:pPr>
            <w:r w:rsidRPr="009D7B16">
              <w:rPr>
                <w:rFonts w:ascii="Arial" w:hAnsi="Arial" w:cs="Arial"/>
                <w:color w:val="000000"/>
              </w:rPr>
              <w:t xml:space="preserve">c) </w:t>
            </w:r>
            <w:r w:rsidR="00DB3EB9">
              <w:rPr>
                <w:rFonts w:ascii="Arial" w:hAnsi="Arial" w:cs="Arial"/>
                <w:color w:val="000000"/>
              </w:rPr>
              <w:t xml:space="preserve"> </w:t>
            </w:r>
            <w:r w:rsidRPr="009D7B16">
              <w:rPr>
                <w:rFonts w:ascii="Arial" w:hAnsi="Arial" w:cs="Arial"/>
                <w:color w:val="000000"/>
              </w:rPr>
              <w:t xml:space="preserve">Budget </w:t>
            </w:r>
            <w:r w:rsidR="0052254C">
              <w:rPr>
                <w:rFonts w:ascii="Arial" w:hAnsi="Arial" w:cs="Arial"/>
                <w:color w:val="000000"/>
              </w:rPr>
              <w:t>v</w:t>
            </w:r>
            <w:r w:rsidRPr="009D7B16">
              <w:rPr>
                <w:rFonts w:ascii="Arial" w:hAnsi="Arial" w:cs="Arial"/>
                <w:color w:val="000000"/>
              </w:rPr>
              <w:t xml:space="preserve">ariance </w:t>
            </w:r>
            <w:r w:rsidR="0052254C">
              <w:rPr>
                <w:rFonts w:ascii="Arial" w:hAnsi="Arial" w:cs="Arial"/>
                <w:color w:val="000000"/>
              </w:rPr>
              <w:t>a</w:t>
            </w:r>
            <w:r w:rsidRPr="009D7B16">
              <w:rPr>
                <w:rFonts w:ascii="Arial" w:hAnsi="Arial" w:cs="Arial"/>
                <w:color w:val="000000"/>
              </w:rPr>
              <w:t>pproval</w:t>
            </w:r>
            <w:r w:rsidR="0052254C">
              <w:rPr>
                <w:rFonts w:ascii="Arial" w:hAnsi="Arial" w:cs="Arial"/>
                <w:color w:val="000000"/>
              </w:rPr>
              <w:t>,</w:t>
            </w:r>
          </w:p>
          <w:p w:rsidR="009D7B16" w:rsidRPr="009D7B16" w:rsidRDefault="009D7B16" w:rsidP="009D7B16">
            <w:pPr>
              <w:rPr>
                <w:rFonts w:ascii="Arial" w:hAnsi="Arial" w:cs="Arial"/>
                <w:color w:val="000000"/>
              </w:rPr>
            </w:pPr>
            <w:r w:rsidRPr="009D7B16">
              <w:rPr>
                <w:rFonts w:ascii="Arial" w:hAnsi="Arial" w:cs="Arial"/>
                <w:color w:val="000000"/>
              </w:rPr>
              <w:t xml:space="preserve">d) </w:t>
            </w:r>
            <w:r w:rsidR="00DB3EB9">
              <w:rPr>
                <w:rFonts w:ascii="Arial" w:hAnsi="Arial" w:cs="Arial"/>
                <w:color w:val="000000"/>
              </w:rPr>
              <w:t xml:space="preserve"> Member involvement in budget monitoring and reporting</w:t>
            </w:r>
            <w:r w:rsidRPr="009D7B16">
              <w:rPr>
                <w:rFonts w:ascii="Arial" w:hAnsi="Arial" w:cs="Arial"/>
                <w:color w:val="000000"/>
              </w:rPr>
              <w:t>.</w:t>
            </w:r>
          </w:p>
          <w:p w:rsidR="009D7B16" w:rsidRDefault="009D7B16" w:rsidP="00447D96">
            <w:pPr>
              <w:rPr>
                <w:rFonts w:ascii="Arial" w:hAnsi="Arial" w:cs="Arial"/>
              </w:rPr>
            </w:pPr>
          </w:p>
          <w:p w:rsidR="009D7B16" w:rsidRDefault="009D7B16" w:rsidP="00447D96">
            <w:pPr>
              <w:rPr>
                <w:rFonts w:ascii="Arial" w:hAnsi="Arial" w:cs="Arial"/>
                <w:color w:val="000000"/>
              </w:rPr>
            </w:pPr>
            <w:r w:rsidRPr="00C96B2C">
              <w:rPr>
                <w:rFonts w:ascii="Arial" w:hAnsi="Arial" w:cs="Arial"/>
                <w:color w:val="000000"/>
              </w:rPr>
              <w:t xml:space="preserve">Testing </w:t>
            </w:r>
            <w:r w:rsidR="00493A85">
              <w:rPr>
                <w:rFonts w:ascii="Arial" w:hAnsi="Arial" w:cs="Arial"/>
                <w:color w:val="000000"/>
              </w:rPr>
              <w:t xml:space="preserve">will </w:t>
            </w:r>
            <w:r w:rsidRPr="00C96B2C">
              <w:rPr>
                <w:rFonts w:ascii="Arial" w:hAnsi="Arial" w:cs="Arial"/>
                <w:color w:val="000000"/>
              </w:rPr>
              <w:t xml:space="preserve">cover </w:t>
            </w:r>
            <w:r w:rsidR="0052254C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201</w:t>
            </w:r>
            <w:r w:rsidR="009E0C8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</w:t>
            </w:r>
            <w:r w:rsidR="009E0C8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2254C">
              <w:rPr>
                <w:rFonts w:ascii="Arial" w:hAnsi="Arial" w:cs="Arial"/>
                <w:color w:val="000000"/>
              </w:rPr>
              <w:t xml:space="preserve">financial year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493A85">
              <w:rPr>
                <w:rFonts w:ascii="Arial" w:hAnsi="Arial" w:cs="Arial"/>
                <w:color w:val="000000"/>
              </w:rPr>
              <w:t xml:space="preserve">both </w:t>
            </w:r>
            <w:r w:rsidRPr="00C96B2C">
              <w:rPr>
                <w:rFonts w:ascii="Arial" w:hAnsi="Arial" w:cs="Arial"/>
                <w:color w:val="000000"/>
              </w:rPr>
              <w:t>Watford Borough C</w:t>
            </w:r>
            <w:r>
              <w:rPr>
                <w:rFonts w:ascii="Arial" w:hAnsi="Arial" w:cs="Arial"/>
                <w:color w:val="000000"/>
              </w:rPr>
              <w:t>ouncil and Three Rivers Council</w:t>
            </w:r>
            <w:r w:rsidR="0052254C">
              <w:rPr>
                <w:rFonts w:ascii="Arial" w:hAnsi="Arial" w:cs="Arial"/>
                <w:color w:val="000000"/>
              </w:rPr>
              <w:t xml:space="preserve"> transactions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67B6A" w:rsidRDefault="00967B6A" w:rsidP="00447D96">
            <w:pPr>
              <w:rPr>
                <w:rFonts w:ascii="Arial" w:hAnsi="Arial" w:cs="Arial"/>
              </w:rPr>
            </w:pPr>
          </w:p>
          <w:p w:rsidR="00A36253" w:rsidRDefault="00A36253" w:rsidP="00447D9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335F6" w:rsidRDefault="003335F6" w:rsidP="003A456F">
            <w:pPr>
              <w:jc w:val="center"/>
              <w:rPr>
                <w:rFonts w:ascii="Arial" w:hAnsi="Arial" w:cs="Arial"/>
              </w:rPr>
            </w:pPr>
          </w:p>
          <w:p w:rsidR="00A25F69" w:rsidRDefault="009E0C8F" w:rsidP="009E0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4" w:type="dxa"/>
            <w:gridSpan w:val="2"/>
          </w:tcPr>
          <w:p w:rsidR="00A25F69" w:rsidRDefault="00A25F69" w:rsidP="007645B5">
            <w:pPr>
              <w:jc w:val="center"/>
              <w:rPr>
                <w:rFonts w:ascii="Arial" w:hAnsi="Arial" w:cs="Arial"/>
              </w:rPr>
            </w:pPr>
          </w:p>
          <w:p w:rsidR="007645B5" w:rsidRDefault="007645B5" w:rsidP="00522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</w:tr>
      <w:tr w:rsidR="00C50528" w:rsidRPr="00C6475B" w:rsidTr="007A0AB8">
        <w:tc>
          <w:tcPr>
            <w:tcW w:w="14170" w:type="dxa"/>
            <w:gridSpan w:val="7"/>
          </w:tcPr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  <w:p w:rsidR="00C50528" w:rsidRPr="00C6475B" w:rsidRDefault="00C50528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>OPERATIONAL AUDITS</w:t>
            </w:r>
          </w:p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2B223C" w:rsidRDefault="002B223C" w:rsidP="00B965F7">
            <w:pPr>
              <w:rPr>
                <w:rFonts w:ascii="Arial" w:hAnsi="Arial" w:cs="Arial"/>
              </w:rPr>
            </w:pPr>
          </w:p>
          <w:p w:rsidR="00F027EB" w:rsidRPr="006362FA" w:rsidRDefault="00F027EB" w:rsidP="00B96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Spend</w:t>
            </w:r>
          </w:p>
          <w:p w:rsidR="00B965F7" w:rsidRPr="009470B8" w:rsidRDefault="00B965F7" w:rsidP="00824A01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8523AB" w:rsidRDefault="008523AB" w:rsidP="008523AB">
            <w:pPr>
              <w:rPr>
                <w:rFonts w:ascii="Arial" w:hAnsi="Arial" w:cs="Arial"/>
                <w:bCs/>
                <w:color w:val="000000"/>
              </w:rPr>
            </w:pPr>
          </w:p>
          <w:p w:rsidR="008523AB" w:rsidRDefault="008523AB" w:rsidP="008523A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To provide assurance that the framework contract is operating effectively and delivers best value. </w:t>
            </w:r>
          </w:p>
          <w:p w:rsidR="00F027EB" w:rsidRPr="009B6E38" w:rsidRDefault="00F027EB" w:rsidP="00BF58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833DE" w:rsidRDefault="00F833DE" w:rsidP="0004367F">
            <w:pPr>
              <w:jc w:val="center"/>
              <w:rPr>
                <w:rFonts w:ascii="Arial" w:hAnsi="Arial" w:cs="Arial"/>
              </w:rPr>
            </w:pPr>
          </w:p>
          <w:p w:rsidR="00F027EB" w:rsidRPr="009470B8" w:rsidRDefault="00F027EB" w:rsidP="00043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4" w:type="dxa"/>
            <w:gridSpan w:val="2"/>
          </w:tcPr>
          <w:p w:rsidR="00F833DE" w:rsidRDefault="00F833DE" w:rsidP="000C44AC">
            <w:pPr>
              <w:jc w:val="center"/>
              <w:rPr>
                <w:rFonts w:ascii="Arial" w:hAnsi="Arial" w:cs="Arial"/>
              </w:rPr>
            </w:pPr>
          </w:p>
          <w:p w:rsidR="00F027EB" w:rsidRPr="009470B8" w:rsidRDefault="00F027EB" w:rsidP="000C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C50528" w:rsidRPr="00C6475B" w:rsidTr="007A0AB8">
        <w:tc>
          <w:tcPr>
            <w:tcW w:w="14170" w:type="dxa"/>
            <w:gridSpan w:val="7"/>
          </w:tcPr>
          <w:p w:rsidR="00C50528" w:rsidRDefault="00C50528" w:rsidP="008842A8">
            <w:pPr>
              <w:rPr>
                <w:rFonts w:ascii="Arial" w:hAnsi="Arial" w:cs="Arial"/>
                <w:highlight w:val="yellow"/>
              </w:rPr>
            </w:pPr>
          </w:p>
          <w:p w:rsidR="00C50528" w:rsidRPr="0009238F" w:rsidRDefault="00C50528" w:rsidP="00884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</w:t>
            </w:r>
          </w:p>
          <w:p w:rsidR="00C50528" w:rsidRPr="00B97C95" w:rsidRDefault="00C50528" w:rsidP="008842A8">
            <w:pPr>
              <w:rPr>
                <w:rFonts w:ascii="Arial" w:hAnsi="Arial" w:cs="Arial"/>
                <w:highlight w:val="yellow"/>
              </w:rPr>
            </w:pP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3A48FF" w:rsidRPr="00F41E79" w:rsidRDefault="003A48FF" w:rsidP="00097CF7">
            <w:pPr>
              <w:rPr>
                <w:rFonts w:ascii="Arial" w:hAnsi="Arial" w:cs="Arial"/>
              </w:rPr>
            </w:pPr>
          </w:p>
          <w:p w:rsidR="003A48FF" w:rsidRPr="00F41E79" w:rsidRDefault="003A48FF" w:rsidP="00097CF7">
            <w:pPr>
              <w:rPr>
                <w:rFonts w:ascii="Arial" w:hAnsi="Arial" w:cs="Arial"/>
              </w:rPr>
            </w:pPr>
          </w:p>
          <w:p w:rsidR="003A48FF" w:rsidRPr="00F41E79" w:rsidRDefault="003A48FF" w:rsidP="00097CF7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BE7F5D" w:rsidRDefault="00BE7F5D" w:rsidP="002B223C">
            <w:pPr>
              <w:rPr>
                <w:rFonts w:ascii="Arial" w:hAnsi="Arial" w:cs="Arial"/>
              </w:rPr>
            </w:pPr>
          </w:p>
          <w:p w:rsidR="005175D0" w:rsidRDefault="005175D0" w:rsidP="002B2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824A01">
              <w:rPr>
                <w:rFonts w:ascii="Arial" w:hAnsi="Arial" w:cs="Arial"/>
              </w:rPr>
              <w:t xml:space="preserve">shared </w:t>
            </w:r>
            <w:r>
              <w:rPr>
                <w:rFonts w:ascii="Arial" w:hAnsi="Arial" w:cs="Arial"/>
              </w:rPr>
              <w:t xml:space="preserve">procurement </w:t>
            </w:r>
            <w:r w:rsidR="00824A01">
              <w:rPr>
                <w:rFonts w:ascii="Arial" w:hAnsi="Arial" w:cs="Arial"/>
              </w:rPr>
              <w:t xml:space="preserve">reviews identified </w:t>
            </w:r>
            <w:r>
              <w:rPr>
                <w:rFonts w:ascii="Arial" w:hAnsi="Arial" w:cs="Arial"/>
              </w:rPr>
              <w:t xml:space="preserve">at this </w:t>
            </w:r>
            <w:r w:rsidR="00DB69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</w:t>
            </w:r>
            <w:r w:rsidR="00DB690E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>.</w:t>
            </w:r>
          </w:p>
          <w:p w:rsidR="00746065" w:rsidRPr="00F41E79" w:rsidRDefault="00746065" w:rsidP="002B223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04367F" w:rsidRPr="00F41E79" w:rsidRDefault="0004367F" w:rsidP="0004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</w:tcPr>
          <w:p w:rsidR="00D243E4" w:rsidRPr="00554627" w:rsidRDefault="00D243E4" w:rsidP="00D243E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50528" w:rsidRPr="00C6475B" w:rsidTr="007A0AB8">
        <w:tc>
          <w:tcPr>
            <w:tcW w:w="14170" w:type="dxa"/>
            <w:gridSpan w:val="7"/>
          </w:tcPr>
          <w:p w:rsidR="00C50528" w:rsidRPr="00B97C95" w:rsidRDefault="00C50528" w:rsidP="008842A8">
            <w:pPr>
              <w:rPr>
                <w:rFonts w:ascii="Arial" w:hAnsi="Arial" w:cs="Arial"/>
                <w:highlight w:val="yellow"/>
              </w:rPr>
            </w:pPr>
          </w:p>
          <w:p w:rsidR="00C50528" w:rsidRPr="00B97C95" w:rsidRDefault="00C50528" w:rsidP="008842A8">
            <w:pPr>
              <w:rPr>
                <w:rFonts w:ascii="Arial" w:hAnsi="Arial" w:cs="Arial"/>
                <w:b/>
              </w:rPr>
            </w:pPr>
            <w:r w:rsidRPr="00B97C95">
              <w:rPr>
                <w:rFonts w:ascii="Arial" w:hAnsi="Arial" w:cs="Arial"/>
                <w:b/>
              </w:rPr>
              <w:t>JOINT REVIEWS</w:t>
            </w:r>
          </w:p>
          <w:p w:rsidR="00A50213" w:rsidRPr="00B97C95" w:rsidRDefault="00A50213" w:rsidP="003A7707">
            <w:pPr>
              <w:rPr>
                <w:rFonts w:ascii="Arial" w:hAnsi="Arial" w:cs="Arial"/>
                <w:highlight w:val="yellow"/>
              </w:rPr>
            </w:pPr>
          </w:p>
        </w:tc>
      </w:tr>
      <w:tr w:rsidR="00CF52F2" w:rsidRPr="00C6475B" w:rsidTr="00447D96">
        <w:tc>
          <w:tcPr>
            <w:tcW w:w="2256" w:type="dxa"/>
            <w:gridSpan w:val="2"/>
            <w:shd w:val="clear" w:color="auto" w:fill="auto"/>
          </w:tcPr>
          <w:p w:rsidR="006E4943" w:rsidRPr="00C6475B" w:rsidRDefault="006E4943" w:rsidP="00CF36D1">
            <w:pPr>
              <w:rPr>
                <w:rFonts w:ascii="Arial" w:hAnsi="Arial" w:cs="Arial"/>
              </w:rPr>
            </w:pPr>
          </w:p>
        </w:tc>
        <w:tc>
          <w:tcPr>
            <w:tcW w:w="9133" w:type="dxa"/>
            <w:shd w:val="clear" w:color="auto" w:fill="auto"/>
          </w:tcPr>
          <w:p w:rsidR="00617851" w:rsidRDefault="00617851" w:rsidP="00617851">
            <w:pPr>
              <w:rPr>
                <w:rFonts w:ascii="Arial" w:hAnsi="Arial" w:cs="Arial"/>
              </w:rPr>
            </w:pPr>
          </w:p>
          <w:p w:rsidR="00617851" w:rsidRDefault="00617851" w:rsidP="0061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local</w:t>
            </w:r>
            <w:r w:rsidR="00625134">
              <w:rPr>
                <w:rFonts w:ascii="Arial" w:hAnsi="Arial" w:cs="Arial"/>
              </w:rPr>
              <w:t xml:space="preserve"> plans</w:t>
            </w:r>
            <w:r w:rsidR="00F510B1">
              <w:rPr>
                <w:rFonts w:ascii="Arial" w:hAnsi="Arial" w:cs="Arial"/>
              </w:rPr>
              <w:t>.</w:t>
            </w:r>
          </w:p>
          <w:p w:rsidR="00B965F7" w:rsidRPr="00C6475B" w:rsidRDefault="00B965F7" w:rsidP="006178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1A0A68" w:rsidRPr="00C6475B" w:rsidRDefault="001A0A68" w:rsidP="00617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</w:tcPr>
          <w:p w:rsidR="00653A34" w:rsidRPr="00C6475B" w:rsidRDefault="00653A34" w:rsidP="00753CCE">
            <w:pPr>
              <w:jc w:val="center"/>
              <w:rPr>
                <w:rFonts w:ascii="Arial" w:hAnsi="Arial" w:cs="Arial"/>
              </w:rPr>
            </w:pPr>
          </w:p>
        </w:tc>
      </w:tr>
      <w:tr w:rsidR="00515F16" w:rsidRPr="00C6475B" w:rsidTr="00904E0A">
        <w:tc>
          <w:tcPr>
            <w:tcW w:w="14170" w:type="dxa"/>
            <w:gridSpan w:val="7"/>
          </w:tcPr>
          <w:p w:rsidR="00515F16" w:rsidRDefault="00515F16" w:rsidP="00904E0A">
            <w:pPr>
              <w:rPr>
                <w:rFonts w:ascii="Arial" w:hAnsi="Arial" w:cs="Arial"/>
              </w:rPr>
            </w:pPr>
          </w:p>
          <w:p w:rsidR="00515F16" w:rsidRPr="00554627" w:rsidRDefault="00515F16" w:rsidP="00904E0A">
            <w:pPr>
              <w:rPr>
                <w:rFonts w:ascii="Arial" w:hAnsi="Arial" w:cs="Arial"/>
                <w:b/>
              </w:rPr>
            </w:pPr>
            <w:r w:rsidRPr="00554627">
              <w:rPr>
                <w:rFonts w:ascii="Arial" w:hAnsi="Arial" w:cs="Arial"/>
                <w:b/>
              </w:rPr>
              <w:t>COUNTER FRAUD</w:t>
            </w:r>
          </w:p>
          <w:p w:rsidR="00C8494B" w:rsidRPr="00C6475B" w:rsidRDefault="00C8494B" w:rsidP="00904E0A">
            <w:pPr>
              <w:rPr>
                <w:rFonts w:ascii="Arial" w:hAnsi="Arial" w:cs="Arial"/>
              </w:rPr>
            </w:pPr>
          </w:p>
        </w:tc>
      </w:tr>
      <w:tr w:rsidR="00CF52F2" w:rsidRPr="00C6475B" w:rsidTr="00942177">
        <w:tc>
          <w:tcPr>
            <w:tcW w:w="2256" w:type="dxa"/>
            <w:gridSpan w:val="2"/>
          </w:tcPr>
          <w:p w:rsidR="00515F16" w:rsidRDefault="00515F16" w:rsidP="00B93556">
            <w:pPr>
              <w:rPr>
                <w:rFonts w:ascii="Arial" w:hAnsi="Arial" w:cs="Arial"/>
                <w:highlight w:val="yellow"/>
              </w:rPr>
            </w:pPr>
          </w:p>
          <w:p w:rsidR="00987BA0" w:rsidRPr="003A7707" w:rsidRDefault="00987BA0" w:rsidP="00B9355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133" w:type="dxa"/>
          </w:tcPr>
          <w:p w:rsidR="004D1C12" w:rsidRDefault="004D1C12" w:rsidP="00F027EB">
            <w:pPr>
              <w:rPr>
                <w:rFonts w:ascii="Arial" w:hAnsi="Arial" w:cs="Arial"/>
                <w:highlight w:val="yellow"/>
              </w:rPr>
            </w:pPr>
          </w:p>
          <w:p w:rsidR="00F027EB" w:rsidRDefault="00F027EB" w:rsidP="00F027EB">
            <w:pPr>
              <w:rPr>
                <w:rFonts w:ascii="Arial" w:hAnsi="Arial" w:cs="Arial"/>
              </w:rPr>
            </w:pPr>
          </w:p>
          <w:p w:rsidR="00F027EB" w:rsidRDefault="00F027EB" w:rsidP="00F02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shared counter fraud reviews identified at this stage.</w:t>
            </w:r>
          </w:p>
          <w:p w:rsidR="00202B25" w:rsidRDefault="00202B25" w:rsidP="00F027EB">
            <w:pPr>
              <w:rPr>
                <w:rFonts w:ascii="Arial" w:hAnsi="Arial" w:cs="Arial"/>
              </w:rPr>
            </w:pPr>
          </w:p>
          <w:p w:rsidR="00202B25" w:rsidRDefault="00202B25" w:rsidP="00F027EB">
            <w:pPr>
              <w:rPr>
                <w:rFonts w:ascii="Arial" w:hAnsi="Arial" w:cs="Arial"/>
              </w:rPr>
            </w:pPr>
          </w:p>
          <w:p w:rsidR="00202B25" w:rsidRPr="008523AB" w:rsidRDefault="00202B25" w:rsidP="00F027E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6A49FE" w:rsidRPr="003A7707" w:rsidRDefault="006A49FE" w:rsidP="00EC666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64" w:type="dxa"/>
            <w:gridSpan w:val="2"/>
          </w:tcPr>
          <w:p w:rsidR="006A49FE" w:rsidRPr="00C6475B" w:rsidRDefault="006A49FE" w:rsidP="00DB690E">
            <w:pPr>
              <w:jc w:val="center"/>
              <w:rPr>
                <w:rFonts w:ascii="Arial" w:hAnsi="Arial" w:cs="Arial"/>
              </w:rPr>
            </w:pPr>
          </w:p>
        </w:tc>
      </w:tr>
      <w:tr w:rsidR="008A49B1" w:rsidRPr="00C6475B" w:rsidTr="002E234A">
        <w:tc>
          <w:tcPr>
            <w:tcW w:w="14170" w:type="dxa"/>
            <w:gridSpan w:val="7"/>
          </w:tcPr>
          <w:p w:rsidR="008A49B1" w:rsidRDefault="008A49B1" w:rsidP="008A49B1">
            <w:pPr>
              <w:rPr>
                <w:rFonts w:ascii="Arial" w:hAnsi="Arial" w:cs="Arial"/>
                <w:b/>
              </w:rPr>
            </w:pPr>
          </w:p>
          <w:p w:rsidR="008A49B1" w:rsidRDefault="008A49B1" w:rsidP="008A4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MANAGEMENT AND GOVERNANCE</w:t>
            </w:r>
          </w:p>
          <w:p w:rsidR="008A49B1" w:rsidRPr="00C6475B" w:rsidRDefault="008A49B1" w:rsidP="00904E0A">
            <w:pPr>
              <w:rPr>
                <w:rFonts w:ascii="Arial" w:hAnsi="Arial" w:cs="Arial"/>
              </w:rPr>
            </w:pPr>
          </w:p>
        </w:tc>
      </w:tr>
      <w:tr w:rsidR="00CF52F2" w:rsidRPr="00C6475B" w:rsidTr="00F81512">
        <w:tc>
          <w:tcPr>
            <w:tcW w:w="2217" w:type="dxa"/>
          </w:tcPr>
          <w:p w:rsidR="008A49B1" w:rsidRDefault="008A49B1" w:rsidP="00904E0A">
            <w:pPr>
              <w:rPr>
                <w:rFonts w:ascii="Arial" w:hAnsi="Arial" w:cs="Arial"/>
                <w:highlight w:val="yellow"/>
              </w:rPr>
            </w:pPr>
          </w:p>
          <w:p w:rsidR="008A49B1" w:rsidRPr="003A7707" w:rsidRDefault="008A49B1" w:rsidP="00904E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172" w:type="dxa"/>
            <w:gridSpan w:val="2"/>
          </w:tcPr>
          <w:p w:rsidR="008A49B1" w:rsidRDefault="008A49B1" w:rsidP="00B93556">
            <w:pPr>
              <w:rPr>
                <w:rFonts w:ascii="Arial" w:hAnsi="Arial" w:cs="Arial"/>
              </w:rPr>
            </w:pPr>
          </w:p>
          <w:p w:rsidR="00AB1DB5" w:rsidRDefault="00AB1DB5" w:rsidP="00B93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local </w:t>
            </w:r>
            <w:r w:rsidR="00C15B89">
              <w:rPr>
                <w:rFonts w:ascii="Arial" w:hAnsi="Arial" w:cs="Arial"/>
              </w:rPr>
              <w:t xml:space="preserve">audit </w:t>
            </w:r>
            <w:r>
              <w:rPr>
                <w:rFonts w:ascii="Arial" w:hAnsi="Arial" w:cs="Arial"/>
              </w:rPr>
              <w:t>plans</w:t>
            </w:r>
            <w:r w:rsidR="00C15B89">
              <w:rPr>
                <w:rFonts w:ascii="Arial" w:hAnsi="Arial" w:cs="Arial"/>
              </w:rPr>
              <w:t>.</w:t>
            </w:r>
          </w:p>
          <w:p w:rsidR="004D1C12" w:rsidRPr="00B93556" w:rsidRDefault="004D1C12" w:rsidP="00B9355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8A49B1" w:rsidRPr="00B93556" w:rsidRDefault="008A49B1" w:rsidP="00904E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</w:tcPr>
          <w:p w:rsidR="008A49B1" w:rsidRPr="00C6475B" w:rsidRDefault="008A49B1" w:rsidP="00904E0A">
            <w:pPr>
              <w:rPr>
                <w:rFonts w:ascii="Arial" w:hAnsi="Arial" w:cs="Arial"/>
              </w:rPr>
            </w:pPr>
          </w:p>
        </w:tc>
      </w:tr>
      <w:tr w:rsidR="008A49B1" w:rsidRPr="00C6475B" w:rsidTr="002E234A">
        <w:tc>
          <w:tcPr>
            <w:tcW w:w="14170" w:type="dxa"/>
            <w:gridSpan w:val="7"/>
          </w:tcPr>
          <w:p w:rsidR="008A49B1" w:rsidRDefault="008A49B1" w:rsidP="00904E0A">
            <w:pPr>
              <w:rPr>
                <w:rFonts w:ascii="Arial" w:hAnsi="Arial" w:cs="Arial"/>
              </w:rPr>
            </w:pPr>
          </w:p>
          <w:p w:rsidR="008A49B1" w:rsidRPr="008A49B1" w:rsidRDefault="008A49B1" w:rsidP="00904E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AUDITS</w:t>
            </w:r>
          </w:p>
          <w:p w:rsidR="008A49B1" w:rsidRPr="00C6475B" w:rsidRDefault="008A49B1" w:rsidP="00904E0A">
            <w:pPr>
              <w:rPr>
                <w:rFonts w:ascii="Arial" w:hAnsi="Arial" w:cs="Arial"/>
              </w:rPr>
            </w:pPr>
          </w:p>
        </w:tc>
      </w:tr>
      <w:tr w:rsidR="00066218" w:rsidRPr="0061690D" w:rsidTr="00814E91">
        <w:tc>
          <w:tcPr>
            <w:tcW w:w="2256" w:type="dxa"/>
            <w:gridSpan w:val="2"/>
          </w:tcPr>
          <w:p w:rsidR="00066218" w:rsidRPr="0061690D" w:rsidRDefault="00066218" w:rsidP="00904E0A">
            <w:pPr>
              <w:rPr>
                <w:rFonts w:ascii="Arial" w:hAnsi="Arial" w:cs="Arial"/>
                <w:highlight w:val="yellow"/>
              </w:rPr>
            </w:pPr>
          </w:p>
          <w:p w:rsidR="00066218" w:rsidRPr="00C652B0" w:rsidRDefault="008523AB" w:rsidP="00904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Security</w:t>
            </w:r>
          </w:p>
          <w:p w:rsidR="00066218" w:rsidRPr="0061690D" w:rsidRDefault="00066218" w:rsidP="00904E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133" w:type="dxa"/>
          </w:tcPr>
          <w:p w:rsidR="008523AB" w:rsidRDefault="008523AB" w:rsidP="008523AB">
            <w:pPr>
              <w:rPr>
                <w:rFonts w:ascii="Arial" w:hAnsi="Arial" w:cs="Arial"/>
                <w:bCs/>
                <w:color w:val="000000"/>
              </w:rPr>
            </w:pPr>
          </w:p>
          <w:p w:rsidR="00E37FF1" w:rsidRDefault="008523AB" w:rsidP="00AE22CD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To provide assurance </w:t>
            </w:r>
            <w:r>
              <w:rPr>
                <w:rFonts w:ascii="Arial" w:hAnsi="Arial" w:cs="Arial"/>
              </w:rPr>
              <w:t xml:space="preserve">that cyber security strategies and arrangements are appropriately designed and operated to manage the risk of </w:t>
            </w:r>
            <w:proofErr w:type="spellStart"/>
            <w:r>
              <w:rPr>
                <w:rFonts w:ascii="Arial" w:hAnsi="Arial" w:cs="Arial"/>
              </w:rPr>
              <w:t>cyber attacks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AE22CD" w:rsidRPr="0061690D" w:rsidRDefault="00AE22CD" w:rsidP="00AE22CD">
            <w:pPr>
              <w:tabs>
                <w:tab w:val="left" w:pos="426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66218" w:rsidRPr="00C652B0" w:rsidRDefault="00066218" w:rsidP="00904E0A">
            <w:pPr>
              <w:jc w:val="center"/>
              <w:rPr>
                <w:rFonts w:ascii="Arial" w:hAnsi="Arial" w:cs="Arial"/>
              </w:rPr>
            </w:pPr>
          </w:p>
          <w:p w:rsidR="00066218" w:rsidRPr="0061690D" w:rsidRDefault="008523AB" w:rsidP="008523A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4" w:type="dxa"/>
            <w:gridSpan w:val="2"/>
          </w:tcPr>
          <w:p w:rsidR="00066218" w:rsidRPr="00C652B0" w:rsidRDefault="00066218" w:rsidP="00904E0A">
            <w:pPr>
              <w:rPr>
                <w:rFonts w:ascii="Arial" w:hAnsi="Arial" w:cs="Arial"/>
              </w:rPr>
            </w:pPr>
          </w:p>
          <w:p w:rsidR="00066218" w:rsidRPr="0061690D" w:rsidRDefault="00066218" w:rsidP="00F510B1">
            <w:pPr>
              <w:jc w:val="center"/>
              <w:rPr>
                <w:rFonts w:ascii="Arial" w:hAnsi="Arial" w:cs="Arial"/>
                <w:highlight w:val="yellow"/>
              </w:rPr>
            </w:pPr>
            <w:r w:rsidRPr="00C652B0">
              <w:rPr>
                <w:rFonts w:ascii="Arial" w:hAnsi="Arial" w:cs="Arial"/>
              </w:rPr>
              <w:t>Q</w:t>
            </w:r>
            <w:r w:rsidR="008523AB">
              <w:rPr>
                <w:rFonts w:ascii="Arial" w:hAnsi="Arial" w:cs="Arial"/>
              </w:rPr>
              <w:t>2</w:t>
            </w:r>
          </w:p>
        </w:tc>
      </w:tr>
      <w:tr w:rsidR="00A20719" w:rsidRPr="0061690D" w:rsidTr="004F62AA">
        <w:tc>
          <w:tcPr>
            <w:tcW w:w="2256" w:type="dxa"/>
            <w:gridSpan w:val="2"/>
          </w:tcPr>
          <w:p w:rsidR="00A20719" w:rsidRPr="002F633E" w:rsidRDefault="00A20719" w:rsidP="00904E0A">
            <w:pPr>
              <w:rPr>
                <w:rFonts w:ascii="Arial" w:hAnsi="Arial" w:cs="Arial"/>
              </w:rPr>
            </w:pPr>
          </w:p>
          <w:p w:rsidR="00A20719" w:rsidRPr="0061690D" w:rsidRDefault="00352C4C" w:rsidP="00352C4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IT Operations</w:t>
            </w:r>
          </w:p>
        </w:tc>
        <w:tc>
          <w:tcPr>
            <w:tcW w:w="9133" w:type="dxa"/>
          </w:tcPr>
          <w:p w:rsidR="00A20719" w:rsidRPr="00962BF0" w:rsidRDefault="00A20719" w:rsidP="008523AB">
            <w:pPr>
              <w:rPr>
                <w:rFonts w:ascii="Arial" w:hAnsi="Arial" w:cs="Arial"/>
                <w:bCs/>
                <w:color w:val="000000"/>
              </w:rPr>
            </w:pPr>
          </w:p>
          <w:p w:rsidR="00962BF0" w:rsidRPr="00962BF0" w:rsidRDefault="00962BF0" w:rsidP="00AE22CD">
            <w:pPr>
              <w:rPr>
                <w:rFonts w:ascii="Arial" w:hAnsi="Arial" w:cs="Arial"/>
              </w:rPr>
            </w:pPr>
            <w:r w:rsidRPr="00962BF0">
              <w:rPr>
                <w:rFonts w:ascii="Arial" w:hAnsi="Arial" w:cs="Arial"/>
              </w:rPr>
              <w:t>Review main elements of IT Operations using the IT</w:t>
            </w:r>
            <w:r w:rsidR="00AE22CD">
              <w:rPr>
                <w:rFonts w:ascii="Arial" w:hAnsi="Arial" w:cs="Arial"/>
              </w:rPr>
              <w:t xml:space="preserve">IL methodology. </w:t>
            </w:r>
            <w:r w:rsidR="00352C4C">
              <w:rPr>
                <w:rFonts w:ascii="Arial" w:hAnsi="Arial" w:cs="Arial"/>
              </w:rPr>
              <w:t xml:space="preserve">Scope to include both third party arrangements and internal elements of the IT service. </w:t>
            </w:r>
          </w:p>
          <w:p w:rsidR="00307BF6" w:rsidRPr="00AE22CD" w:rsidRDefault="00962BF0" w:rsidP="008523AB">
            <w:pPr>
              <w:rPr>
                <w:rFonts w:ascii="Arial" w:hAnsi="Arial" w:cs="Arial"/>
              </w:rPr>
            </w:pPr>
            <w:r w:rsidRPr="00962BF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</w:tcPr>
          <w:p w:rsidR="00A20719" w:rsidRDefault="00A20719" w:rsidP="00904E0A">
            <w:pPr>
              <w:jc w:val="center"/>
              <w:rPr>
                <w:rFonts w:ascii="Arial" w:hAnsi="Arial" w:cs="Arial"/>
              </w:rPr>
            </w:pPr>
          </w:p>
          <w:p w:rsidR="004F62AA" w:rsidRPr="00C652B0" w:rsidRDefault="00352C4C" w:rsidP="00352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4" w:type="dxa"/>
            <w:gridSpan w:val="2"/>
          </w:tcPr>
          <w:p w:rsidR="00A20719" w:rsidRDefault="00A20719" w:rsidP="004F62AA">
            <w:pPr>
              <w:jc w:val="center"/>
              <w:rPr>
                <w:rFonts w:ascii="Arial" w:hAnsi="Arial" w:cs="Arial"/>
              </w:rPr>
            </w:pPr>
          </w:p>
          <w:p w:rsidR="004F62AA" w:rsidRPr="00C652B0" w:rsidRDefault="004F62AA" w:rsidP="004F6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</w:p>
        </w:tc>
      </w:tr>
      <w:tr w:rsidR="00A20719" w:rsidRPr="0061690D" w:rsidTr="004F62AA">
        <w:tc>
          <w:tcPr>
            <w:tcW w:w="2256" w:type="dxa"/>
            <w:gridSpan w:val="2"/>
          </w:tcPr>
          <w:p w:rsidR="00A20719" w:rsidRPr="004F62AA" w:rsidRDefault="00A20719" w:rsidP="00904E0A">
            <w:pPr>
              <w:rPr>
                <w:rFonts w:ascii="Arial" w:hAnsi="Arial" w:cs="Arial"/>
              </w:rPr>
            </w:pPr>
          </w:p>
          <w:p w:rsidR="00A20719" w:rsidRPr="004F62AA" w:rsidRDefault="004F62AA" w:rsidP="00904E0A">
            <w:pPr>
              <w:rPr>
                <w:rFonts w:ascii="Arial" w:hAnsi="Arial" w:cs="Arial"/>
              </w:rPr>
            </w:pPr>
            <w:r w:rsidRPr="004F62AA">
              <w:rPr>
                <w:rFonts w:ascii="Arial" w:hAnsi="Arial" w:cs="Arial"/>
              </w:rPr>
              <w:t>IT Contract Management</w:t>
            </w:r>
          </w:p>
          <w:p w:rsidR="00A20719" w:rsidRPr="004F62AA" w:rsidRDefault="00A20719" w:rsidP="00904E0A">
            <w:pPr>
              <w:rPr>
                <w:rFonts w:ascii="Arial" w:hAnsi="Arial" w:cs="Arial"/>
              </w:rPr>
            </w:pPr>
          </w:p>
          <w:p w:rsidR="00A20719" w:rsidRPr="0061690D" w:rsidRDefault="00A20719" w:rsidP="00904E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133" w:type="dxa"/>
          </w:tcPr>
          <w:p w:rsidR="00A20719" w:rsidRDefault="00A20719" w:rsidP="008523AB">
            <w:pPr>
              <w:rPr>
                <w:rFonts w:ascii="Arial" w:hAnsi="Arial" w:cs="Arial"/>
                <w:bCs/>
                <w:color w:val="000000"/>
              </w:rPr>
            </w:pPr>
          </w:p>
          <w:p w:rsidR="00307BF6" w:rsidRDefault="00307BF6" w:rsidP="00307B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to cover a sample of IT contracts. Typical scope to include:</w:t>
            </w:r>
            <w:r w:rsidRPr="000D2020">
              <w:rPr>
                <w:rFonts w:ascii="Arial" w:hAnsi="Arial" w:cs="Arial"/>
                <w:color w:val="000000"/>
              </w:rPr>
              <w:t xml:space="preserve"> </w:t>
            </w:r>
          </w:p>
          <w:p w:rsidR="00307BF6" w:rsidRDefault="00307BF6" w:rsidP="00307BF6">
            <w:pPr>
              <w:rPr>
                <w:rFonts w:ascii="Arial" w:hAnsi="Arial" w:cs="Arial"/>
                <w:color w:val="000000"/>
              </w:rPr>
            </w:pPr>
          </w:p>
          <w:p w:rsidR="00307BF6" w:rsidRDefault="00307BF6" w:rsidP="00307BF6">
            <w:pPr>
              <w:numPr>
                <w:ilvl w:val="0"/>
                <w:numId w:val="36"/>
              </w:numPr>
              <w:tabs>
                <w:tab w:val="num" w:pos="717"/>
                <w:tab w:val="num" w:pos="993"/>
              </w:tabs>
              <w:ind w:left="714" w:hanging="357"/>
              <w:rPr>
                <w:rFonts w:ascii="Arial" w:eastAsia="Arial" w:hAnsi="Arial" w:cs="Arial"/>
              </w:rPr>
            </w:pPr>
            <w:r w:rsidRPr="001B428D">
              <w:rPr>
                <w:rFonts w:ascii="Arial" w:eastAsia="Arial" w:hAnsi="Arial" w:cs="Arial"/>
                <w:b/>
              </w:rPr>
              <w:t>Governance, relationship management and contract administration</w:t>
            </w:r>
            <w:r w:rsidRPr="001B428D">
              <w:rPr>
                <w:rFonts w:ascii="Arial" w:eastAsia="Arial" w:hAnsi="Arial" w:cs="Arial"/>
              </w:rPr>
              <w:t xml:space="preserve"> – clarity of contract requirements, officer roles, contractor </w:t>
            </w:r>
            <w:r>
              <w:rPr>
                <w:rFonts w:ascii="Arial" w:eastAsia="Arial" w:hAnsi="Arial" w:cs="Arial"/>
              </w:rPr>
              <w:t>relationship management</w:t>
            </w:r>
            <w:r w:rsidRPr="001B428D">
              <w:rPr>
                <w:rFonts w:ascii="Arial" w:eastAsia="Arial" w:hAnsi="Arial" w:cs="Arial"/>
              </w:rPr>
              <w:t>, service user satisfaction, dispute resolution and best value review process. Mechanisms to identify key contract ‘trigger points’ (such as notice periods and expiry dates), periodic checks and lessons learned.</w:t>
            </w:r>
          </w:p>
          <w:p w:rsidR="00307BF6" w:rsidRDefault="00307BF6" w:rsidP="00307BF6">
            <w:pPr>
              <w:tabs>
                <w:tab w:val="num" w:pos="717"/>
                <w:tab w:val="num" w:pos="993"/>
              </w:tabs>
              <w:ind w:left="714" w:hanging="357"/>
              <w:rPr>
                <w:rFonts w:ascii="Arial" w:eastAsia="Arial" w:hAnsi="Arial" w:cs="Arial"/>
              </w:rPr>
            </w:pPr>
          </w:p>
          <w:p w:rsidR="00307BF6" w:rsidRPr="001B428D" w:rsidRDefault="00307BF6" w:rsidP="00307BF6">
            <w:pPr>
              <w:numPr>
                <w:ilvl w:val="0"/>
                <w:numId w:val="36"/>
              </w:numPr>
              <w:tabs>
                <w:tab w:val="num" w:pos="717"/>
                <w:tab w:val="num" w:pos="993"/>
              </w:tabs>
              <w:ind w:left="714" w:hanging="357"/>
              <w:rPr>
                <w:rFonts w:ascii="Arial" w:eastAsia="Arial" w:hAnsi="Arial" w:cs="Arial"/>
              </w:rPr>
            </w:pPr>
            <w:r w:rsidRPr="001B428D">
              <w:rPr>
                <w:rFonts w:ascii="Arial" w:eastAsia="Arial" w:hAnsi="Arial" w:cs="Arial"/>
                <w:b/>
              </w:rPr>
              <w:t xml:space="preserve">Performance monitoring </w:t>
            </w:r>
            <w:r w:rsidRPr="001B428D">
              <w:rPr>
                <w:rFonts w:ascii="Arial" w:eastAsia="Arial" w:hAnsi="Arial" w:cs="Arial"/>
              </w:rPr>
              <w:t xml:space="preserve">– performance management framework, SLAs and performance indicators, reviews and action plans when failing. </w:t>
            </w:r>
            <w:r w:rsidRPr="001B428D">
              <w:rPr>
                <w:rFonts w:ascii="Arial" w:eastAsia="Arial" w:hAnsi="Arial" w:cs="Arial"/>
              </w:rPr>
              <w:lastRenderedPageBreak/>
              <w:t>Compliance with the specification, contract terms and conditions including agreed delivery timescales and value for money requirements</w:t>
            </w:r>
            <w:r>
              <w:rPr>
                <w:rFonts w:ascii="Arial" w:eastAsia="Arial" w:hAnsi="Arial" w:cs="Arial"/>
              </w:rPr>
              <w:t>, r</w:t>
            </w:r>
            <w:r w:rsidRPr="001B428D">
              <w:rPr>
                <w:rFonts w:ascii="Arial" w:eastAsia="Arial" w:hAnsi="Arial" w:cs="Arial"/>
              </w:rPr>
              <w:t xml:space="preserve">ecords </w:t>
            </w:r>
            <w:r>
              <w:rPr>
                <w:rFonts w:ascii="Arial" w:eastAsia="Arial" w:hAnsi="Arial" w:cs="Arial"/>
              </w:rPr>
              <w:t xml:space="preserve">management. </w:t>
            </w:r>
            <w:r w:rsidRPr="001B428D">
              <w:rPr>
                <w:rFonts w:ascii="Arial" w:eastAsia="Arial" w:hAnsi="Arial" w:cs="Arial"/>
              </w:rPr>
              <w:br/>
              <w:t xml:space="preserve"> </w:t>
            </w:r>
          </w:p>
          <w:p w:rsidR="00307BF6" w:rsidRDefault="00307BF6" w:rsidP="00307BF6">
            <w:pPr>
              <w:numPr>
                <w:ilvl w:val="0"/>
                <w:numId w:val="36"/>
              </w:numPr>
              <w:tabs>
                <w:tab w:val="clear" w:pos="360"/>
                <w:tab w:val="num" w:pos="717"/>
                <w:tab w:val="num" w:pos="993"/>
              </w:tabs>
              <w:ind w:left="714" w:hanging="357"/>
              <w:rPr>
                <w:rFonts w:ascii="Arial" w:eastAsia="Arial" w:hAnsi="Arial" w:cs="Arial"/>
              </w:rPr>
            </w:pPr>
            <w:r w:rsidRPr="00D94D22">
              <w:rPr>
                <w:rFonts w:ascii="Arial" w:eastAsia="Arial" w:hAnsi="Arial" w:cs="Arial"/>
                <w:b/>
              </w:rPr>
              <w:t>Financial management of contracts</w:t>
            </w:r>
            <w:r w:rsidRPr="00D94D22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p</w:t>
            </w:r>
            <w:r w:rsidRPr="00D94D22">
              <w:rPr>
                <w:rFonts w:ascii="Arial" w:eastAsia="Arial" w:hAnsi="Arial" w:cs="Arial"/>
              </w:rPr>
              <w:t>ayment mechanisms, records of checks and inspections</w:t>
            </w:r>
            <w:r>
              <w:rPr>
                <w:rFonts w:ascii="Arial" w:eastAsia="Arial" w:hAnsi="Arial" w:cs="Arial"/>
              </w:rPr>
              <w:t xml:space="preserve"> (including annual insurance requirements)</w:t>
            </w:r>
            <w:r w:rsidRPr="00D94D22">
              <w:rPr>
                <w:rFonts w:ascii="Arial" w:eastAsia="Arial" w:hAnsi="Arial" w:cs="Arial"/>
              </w:rPr>
              <w:t>, comparisons of contract costs to tendered prices and against budgets, variations, credits, retentions and authorisation of payments.</w:t>
            </w:r>
          </w:p>
          <w:p w:rsidR="00307BF6" w:rsidRDefault="00307BF6" w:rsidP="00307BF6">
            <w:pPr>
              <w:tabs>
                <w:tab w:val="num" w:pos="993"/>
              </w:tabs>
              <w:ind w:left="714"/>
              <w:rPr>
                <w:rFonts w:ascii="Arial" w:eastAsia="Arial" w:hAnsi="Arial" w:cs="Arial"/>
              </w:rPr>
            </w:pPr>
          </w:p>
          <w:p w:rsidR="00307BF6" w:rsidRPr="00307BF6" w:rsidRDefault="00307BF6" w:rsidP="00307BF6">
            <w:pPr>
              <w:numPr>
                <w:ilvl w:val="0"/>
                <w:numId w:val="36"/>
              </w:numPr>
              <w:tabs>
                <w:tab w:val="clear" w:pos="360"/>
                <w:tab w:val="num" w:pos="717"/>
                <w:tab w:val="num" w:pos="993"/>
              </w:tabs>
              <w:ind w:left="714" w:hanging="357"/>
              <w:rPr>
                <w:rFonts w:ascii="Arial" w:eastAsia="Arial" w:hAnsi="Arial" w:cs="Arial"/>
              </w:rPr>
            </w:pPr>
            <w:r w:rsidRPr="00307BF6">
              <w:rPr>
                <w:rFonts w:ascii="Arial" w:eastAsia="Arial" w:hAnsi="Arial" w:cs="Arial"/>
                <w:b/>
              </w:rPr>
              <w:t>Contractual and supplier risk management</w:t>
            </w:r>
            <w:r w:rsidRPr="00307BF6">
              <w:rPr>
                <w:rFonts w:ascii="Arial" w:eastAsia="Arial" w:hAnsi="Arial" w:cs="Arial"/>
              </w:rPr>
              <w:t xml:space="preserve"> – corporate and individual risk management of contracts. Monitoring supplier financial health.</w:t>
            </w:r>
            <w:r w:rsidRPr="00307BF6">
              <w:rPr>
                <w:rFonts w:ascii="Arial" w:eastAsia="Arial" w:hAnsi="Arial" w:cs="Arial"/>
              </w:rPr>
              <w:br/>
            </w:r>
          </w:p>
        </w:tc>
        <w:tc>
          <w:tcPr>
            <w:tcW w:w="1417" w:type="dxa"/>
            <w:gridSpan w:val="2"/>
          </w:tcPr>
          <w:p w:rsidR="00A20719" w:rsidRDefault="00A20719" w:rsidP="00904E0A">
            <w:pPr>
              <w:jc w:val="center"/>
              <w:rPr>
                <w:rFonts w:ascii="Arial" w:hAnsi="Arial" w:cs="Arial"/>
              </w:rPr>
            </w:pPr>
          </w:p>
          <w:p w:rsidR="004F62AA" w:rsidRPr="00C652B0" w:rsidRDefault="004F62AA" w:rsidP="004F6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  <w:gridSpan w:val="2"/>
          </w:tcPr>
          <w:p w:rsidR="00A20719" w:rsidRDefault="00A20719" w:rsidP="004F62AA">
            <w:pPr>
              <w:jc w:val="center"/>
              <w:rPr>
                <w:rFonts w:ascii="Arial" w:hAnsi="Arial" w:cs="Arial"/>
              </w:rPr>
            </w:pPr>
          </w:p>
          <w:p w:rsidR="004F62AA" w:rsidRPr="00C652B0" w:rsidRDefault="004F62AA" w:rsidP="004F6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C50528" w:rsidRPr="00C6475B" w:rsidTr="007A0AB8">
        <w:tc>
          <w:tcPr>
            <w:tcW w:w="14170" w:type="dxa"/>
            <w:gridSpan w:val="7"/>
          </w:tcPr>
          <w:p w:rsidR="00C50528" w:rsidRDefault="00C50528" w:rsidP="005905D7">
            <w:pPr>
              <w:rPr>
                <w:rFonts w:ascii="Arial" w:hAnsi="Arial" w:cs="Arial"/>
                <w:b/>
              </w:rPr>
            </w:pPr>
          </w:p>
          <w:p w:rsidR="00C50528" w:rsidRDefault="00BF5B35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FOLLOW-</w:t>
            </w:r>
            <w:r w:rsidR="00C50528">
              <w:rPr>
                <w:rFonts w:ascii="Arial" w:hAnsi="Arial" w:cs="Arial"/>
                <w:b/>
              </w:rPr>
              <w:t>UP AUDITS</w:t>
            </w:r>
            <w:r w:rsidR="00453ADB">
              <w:rPr>
                <w:rFonts w:ascii="Arial" w:hAnsi="Arial" w:cs="Arial"/>
                <w:b/>
              </w:rPr>
              <w:t xml:space="preserve"> </w:t>
            </w:r>
          </w:p>
          <w:p w:rsidR="00C8494B" w:rsidRDefault="00C8494B" w:rsidP="005905D7">
            <w:pPr>
              <w:rPr>
                <w:rFonts w:ascii="Arial" w:hAnsi="Arial" w:cs="Arial"/>
                <w:b/>
              </w:rPr>
            </w:pPr>
          </w:p>
        </w:tc>
      </w:tr>
      <w:tr w:rsidR="00CF52F2" w:rsidRPr="00C6475B" w:rsidTr="0092047B">
        <w:trPr>
          <w:trHeight w:val="278"/>
        </w:trPr>
        <w:tc>
          <w:tcPr>
            <w:tcW w:w="2256" w:type="dxa"/>
            <w:gridSpan w:val="2"/>
          </w:tcPr>
          <w:p w:rsidR="00444DC7" w:rsidRDefault="00444DC7" w:rsidP="008A49B1">
            <w:pPr>
              <w:rPr>
                <w:rFonts w:ascii="Arial" w:hAnsi="Arial" w:cs="Arial"/>
                <w:b/>
              </w:rPr>
            </w:pPr>
          </w:p>
          <w:p w:rsidR="00E525A8" w:rsidRDefault="00E525A8" w:rsidP="008A49B1">
            <w:pPr>
              <w:rPr>
                <w:rFonts w:ascii="Arial" w:hAnsi="Arial" w:cs="Arial"/>
                <w:b/>
              </w:rPr>
            </w:pPr>
          </w:p>
          <w:p w:rsidR="008523AB" w:rsidRPr="00B564AE" w:rsidRDefault="008523AB" w:rsidP="008A49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33" w:type="dxa"/>
          </w:tcPr>
          <w:p w:rsidR="003A48FF" w:rsidRDefault="003A48FF" w:rsidP="00831B27">
            <w:pPr>
              <w:rPr>
                <w:rFonts w:ascii="Arial" w:hAnsi="Arial" w:cs="Arial"/>
              </w:rPr>
            </w:pPr>
          </w:p>
          <w:p w:rsidR="00AB1DB5" w:rsidRPr="00B564AE" w:rsidRDefault="00AB1DB5" w:rsidP="00831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local</w:t>
            </w:r>
            <w:r w:rsidR="00C15B89">
              <w:rPr>
                <w:rFonts w:ascii="Arial" w:hAnsi="Arial" w:cs="Arial"/>
              </w:rPr>
              <w:t xml:space="preserve"> audit</w:t>
            </w:r>
            <w:r>
              <w:rPr>
                <w:rFonts w:ascii="Arial" w:hAnsi="Arial" w:cs="Arial"/>
              </w:rPr>
              <w:t xml:space="preserve"> plans</w:t>
            </w:r>
            <w:r w:rsidR="00F510B1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gridSpan w:val="2"/>
          </w:tcPr>
          <w:p w:rsidR="003A48FF" w:rsidRPr="00B7473A" w:rsidRDefault="003A48FF" w:rsidP="00B7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</w:tcPr>
          <w:p w:rsidR="008A49B1" w:rsidRPr="00B564AE" w:rsidRDefault="008A49B1" w:rsidP="005905D7">
            <w:pPr>
              <w:rPr>
                <w:rFonts w:ascii="Arial" w:hAnsi="Arial" w:cs="Arial"/>
              </w:rPr>
            </w:pPr>
          </w:p>
        </w:tc>
      </w:tr>
      <w:tr w:rsidR="0092047B" w:rsidRPr="00C6475B" w:rsidTr="005A7924">
        <w:trPr>
          <w:trHeight w:val="278"/>
        </w:trPr>
        <w:tc>
          <w:tcPr>
            <w:tcW w:w="14170" w:type="dxa"/>
            <w:gridSpan w:val="7"/>
          </w:tcPr>
          <w:p w:rsidR="0092047B" w:rsidRDefault="0092047B" w:rsidP="008A49B1">
            <w:pPr>
              <w:rPr>
                <w:rFonts w:ascii="Arial" w:hAnsi="Arial" w:cs="Arial"/>
                <w:b/>
              </w:rPr>
            </w:pPr>
          </w:p>
          <w:p w:rsidR="0092047B" w:rsidRDefault="00F027EB" w:rsidP="008A4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ALLOCATED</w:t>
            </w:r>
          </w:p>
          <w:p w:rsidR="0092047B" w:rsidRPr="00B564AE" w:rsidRDefault="0092047B" w:rsidP="005905D7">
            <w:pPr>
              <w:rPr>
                <w:rFonts w:ascii="Arial" w:hAnsi="Arial" w:cs="Arial"/>
              </w:rPr>
            </w:pPr>
          </w:p>
        </w:tc>
      </w:tr>
      <w:tr w:rsidR="0092047B" w:rsidRPr="00C6475B" w:rsidTr="0092047B">
        <w:trPr>
          <w:trHeight w:val="278"/>
        </w:trPr>
        <w:tc>
          <w:tcPr>
            <w:tcW w:w="2256" w:type="dxa"/>
            <w:gridSpan w:val="2"/>
          </w:tcPr>
          <w:p w:rsidR="0092047B" w:rsidRPr="0092047B" w:rsidRDefault="0092047B" w:rsidP="008A49B1">
            <w:pPr>
              <w:rPr>
                <w:rFonts w:ascii="Arial" w:hAnsi="Arial" w:cs="Arial"/>
              </w:rPr>
            </w:pPr>
          </w:p>
          <w:p w:rsidR="0092047B" w:rsidRDefault="0092047B" w:rsidP="008A49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33" w:type="dxa"/>
          </w:tcPr>
          <w:p w:rsidR="0092047B" w:rsidRDefault="0092047B" w:rsidP="00831B27">
            <w:pPr>
              <w:rPr>
                <w:rFonts w:ascii="Arial" w:hAnsi="Arial" w:cs="Arial"/>
              </w:rPr>
            </w:pPr>
          </w:p>
          <w:p w:rsidR="00070400" w:rsidRDefault="00074747" w:rsidP="000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budget set at outset</w:t>
            </w:r>
            <w:r w:rsidR="00F510B1">
              <w:rPr>
                <w:rFonts w:ascii="Arial" w:hAnsi="Arial" w:cs="Arial"/>
              </w:rPr>
              <w:t>.</w:t>
            </w:r>
          </w:p>
          <w:p w:rsidR="00074747" w:rsidRDefault="00074747" w:rsidP="000747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070400" w:rsidRPr="00B7473A" w:rsidRDefault="00070400" w:rsidP="00B7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</w:tcPr>
          <w:p w:rsidR="00070400" w:rsidRPr="00B564AE" w:rsidRDefault="00070400" w:rsidP="00F027EB">
            <w:pPr>
              <w:jc w:val="center"/>
              <w:rPr>
                <w:rFonts w:ascii="Arial" w:hAnsi="Arial" w:cs="Arial"/>
              </w:rPr>
            </w:pPr>
          </w:p>
        </w:tc>
      </w:tr>
      <w:tr w:rsidR="00753CCE" w:rsidRPr="00C6475B" w:rsidTr="00242BF6">
        <w:trPr>
          <w:trHeight w:val="278"/>
        </w:trPr>
        <w:tc>
          <w:tcPr>
            <w:tcW w:w="14170" w:type="dxa"/>
            <w:gridSpan w:val="7"/>
          </w:tcPr>
          <w:p w:rsidR="00753CCE" w:rsidRDefault="00753CCE" w:rsidP="005905D7">
            <w:pPr>
              <w:rPr>
                <w:rFonts w:ascii="Arial" w:hAnsi="Arial" w:cs="Arial"/>
                <w:b/>
              </w:rPr>
            </w:pPr>
          </w:p>
          <w:p w:rsidR="00753CCE" w:rsidRDefault="00753CCE" w:rsidP="00920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STRATEGIC SUPPORT </w:t>
            </w:r>
          </w:p>
          <w:p w:rsidR="00712609" w:rsidRDefault="00712609" w:rsidP="0092047B">
            <w:pPr>
              <w:rPr>
                <w:rFonts w:ascii="Arial" w:hAnsi="Arial" w:cs="Arial"/>
              </w:rPr>
            </w:pPr>
          </w:p>
          <w:p w:rsidR="00F510B1" w:rsidRPr="00B564AE" w:rsidRDefault="00F510B1" w:rsidP="0092047B">
            <w:pPr>
              <w:rPr>
                <w:rFonts w:ascii="Arial" w:hAnsi="Arial" w:cs="Arial"/>
              </w:rPr>
            </w:pPr>
          </w:p>
        </w:tc>
      </w:tr>
      <w:tr w:rsidR="00CF52F2" w:rsidRPr="00C6475B" w:rsidTr="00F81512">
        <w:trPr>
          <w:trHeight w:val="278"/>
        </w:trPr>
        <w:tc>
          <w:tcPr>
            <w:tcW w:w="2217" w:type="dxa"/>
          </w:tcPr>
          <w:p w:rsidR="00753CCE" w:rsidRDefault="00753CCE" w:rsidP="008A49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72" w:type="dxa"/>
            <w:gridSpan w:val="2"/>
          </w:tcPr>
          <w:p w:rsidR="00753CCE" w:rsidRDefault="00753CCE" w:rsidP="00831B27">
            <w:pPr>
              <w:rPr>
                <w:rFonts w:ascii="Arial" w:hAnsi="Arial" w:cs="Arial"/>
              </w:rPr>
            </w:pPr>
          </w:p>
          <w:p w:rsidR="00753CCE" w:rsidRDefault="00753CCE" w:rsidP="00831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local </w:t>
            </w:r>
            <w:r w:rsidR="00C15B89">
              <w:rPr>
                <w:rFonts w:ascii="Arial" w:hAnsi="Arial" w:cs="Arial"/>
              </w:rPr>
              <w:t xml:space="preserve">audit </w:t>
            </w:r>
            <w:r>
              <w:rPr>
                <w:rFonts w:ascii="Arial" w:hAnsi="Arial" w:cs="Arial"/>
              </w:rPr>
              <w:t>plans</w:t>
            </w:r>
            <w:r w:rsidR="00F510B1">
              <w:rPr>
                <w:rFonts w:ascii="Arial" w:hAnsi="Arial" w:cs="Arial"/>
              </w:rPr>
              <w:t>.</w:t>
            </w:r>
          </w:p>
          <w:p w:rsidR="00F510B1" w:rsidRDefault="00F510B1" w:rsidP="00831B2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53CCE" w:rsidRPr="00B7473A" w:rsidRDefault="00753CCE" w:rsidP="00B7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</w:tcPr>
          <w:p w:rsidR="00753CCE" w:rsidRPr="00B564AE" w:rsidRDefault="00753CCE" w:rsidP="005905D7">
            <w:pPr>
              <w:rPr>
                <w:rFonts w:ascii="Arial" w:hAnsi="Arial" w:cs="Arial"/>
              </w:rPr>
            </w:pPr>
          </w:p>
        </w:tc>
      </w:tr>
      <w:tr w:rsidR="00674D06" w:rsidRPr="00C6475B" w:rsidTr="00FF660D">
        <w:tc>
          <w:tcPr>
            <w:tcW w:w="14170" w:type="dxa"/>
            <w:gridSpan w:val="7"/>
          </w:tcPr>
          <w:p w:rsidR="00674D06" w:rsidRDefault="00674D06" w:rsidP="00674D06">
            <w:pPr>
              <w:rPr>
                <w:rFonts w:ascii="Arial" w:hAnsi="Arial" w:cs="Arial"/>
                <w:b/>
              </w:rPr>
            </w:pPr>
          </w:p>
          <w:p w:rsidR="00674D06" w:rsidRPr="0000638C" w:rsidRDefault="00674D06" w:rsidP="00674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A607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/1</w:t>
            </w:r>
            <w:r w:rsidR="005A607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PROJECTS REQUIRING COMPLETION</w:t>
            </w:r>
          </w:p>
          <w:p w:rsidR="00674D06" w:rsidRDefault="00674D06" w:rsidP="00904E0A">
            <w:pPr>
              <w:rPr>
                <w:rFonts w:ascii="Arial" w:hAnsi="Arial" w:cs="Arial"/>
              </w:rPr>
            </w:pPr>
          </w:p>
        </w:tc>
      </w:tr>
      <w:tr w:rsidR="00A54921" w:rsidRPr="00C6475B" w:rsidTr="00F81512">
        <w:tc>
          <w:tcPr>
            <w:tcW w:w="2217" w:type="dxa"/>
          </w:tcPr>
          <w:p w:rsidR="00A54921" w:rsidRDefault="00A54921" w:rsidP="00904E0A">
            <w:pPr>
              <w:rPr>
                <w:rFonts w:ascii="Arial" w:hAnsi="Arial" w:cs="Arial"/>
              </w:rPr>
            </w:pPr>
          </w:p>
          <w:p w:rsidR="00A54921" w:rsidRDefault="00A43C18" w:rsidP="0097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54921">
              <w:rPr>
                <w:rFonts w:ascii="Arial" w:hAnsi="Arial" w:cs="Arial"/>
              </w:rPr>
              <w:t>1</w:t>
            </w:r>
            <w:r w:rsidR="005A6078">
              <w:rPr>
                <w:rFonts w:ascii="Arial" w:hAnsi="Arial" w:cs="Arial"/>
              </w:rPr>
              <w:t>7</w:t>
            </w:r>
            <w:r w:rsidR="00D45E30">
              <w:rPr>
                <w:rFonts w:ascii="Arial" w:hAnsi="Arial" w:cs="Arial"/>
              </w:rPr>
              <w:t>/</w:t>
            </w:r>
            <w:r w:rsidR="00A54921">
              <w:rPr>
                <w:rFonts w:ascii="Arial" w:hAnsi="Arial" w:cs="Arial"/>
              </w:rPr>
              <w:t>1</w:t>
            </w:r>
            <w:r w:rsidR="005A6078">
              <w:rPr>
                <w:rFonts w:ascii="Arial" w:hAnsi="Arial" w:cs="Arial"/>
              </w:rPr>
              <w:t>8</w:t>
            </w:r>
            <w:r w:rsidR="00A54921">
              <w:rPr>
                <w:rFonts w:ascii="Arial" w:hAnsi="Arial" w:cs="Arial"/>
              </w:rPr>
              <w:t xml:space="preserve"> projects requiring completion </w:t>
            </w:r>
          </w:p>
          <w:p w:rsidR="009721BF" w:rsidRDefault="009721BF" w:rsidP="009721BF">
            <w:pPr>
              <w:rPr>
                <w:rFonts w:ascii="Arial" w:hAnsi="Arial" w:cs="Arial"/>
              </w:rPr>
            </w:pPr>
          </w:p>
        </w:tc>
        <w:tc>
          <w:tcPr>
            <w:tcW w:w="9227" w:type="dxa"/>
            <w:gridSpan w:val="3"/>
          </w:tcPr>
          <w:p w:rsidR="00A54921" w:rsidRDefault="00A54921" w:rsidP="00904E0A">
            <w:pPr>
              <w:rPr>
                <w:rFonts w:ascii="Arial" w:hAnsi="Arial" w:cs="Arial"/>
              </w:rPr>
            </w:pPr>
          </w:p>
          <w:p w:rsidR="00A54921" w:rsidRDefault="00A54921" w:rsidP="005A6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time, if required</w:t>
            </w:r>
            <w:r w:rsidR="00784D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for the completion of </w:t>
            </w:r>
            <w:r w:rsidR="008C4A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5A6078">
              <w:rPr>
                <w:rFonts w:ascii="Arial" w:hAnsi="Arial" w:cs="Arial"/>
              </w:rPr>
              <w:t>7</w:t>
            </w:r>
            <w:r w:rsidR="005117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5A607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audit work carried forward into </w:t>
            </w:r>
            <w:r w:rsidR="008C4A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5A6078">
              <w:rPr>
                <w:rFonts w:ascii="Arial" w:hAnsi="Arial" w:cs="Arial"/>
              </w:rPr>
              <w:t>8</w:t>
            </w:r>
            <w:r w:rsidR="0051178B">
              <w:rPr>
                <w:rFonts w:ascii="Arial" w:hAnsi="Arial" w:cs="Arial"/>
              </w:rPr>
              <w:t>/</w:t>
            </w:r>
            <w:r w:rsidR="007D5CA3">
              <w:rPr>
                <w:rFonts w:ascii="Arial" w:hAnsi="Arial" w:cs="Arial"/>
              </w:rPr>
              <w:t>1</w:t>
            </w:r>
            <w:r w:rsidR="005A6078">
              <w:rPr>
                <w:rFonts w:ascii="Arial" w:hAnsi="Arial" w:cs="Arial"/>
              </w:rPr>
              <w:t>9</w:t>
            </w:r>
            <w:r w:rsidR="006F7EAF">
              <w:rPr>
                <w:rFonts w:ascii="Arial" w:hAnsi="Arial" w:cs="Arial"/>
              </w:rPr>
              <w:t>.</w:t>
            </w:r>
            <w:r w:rsidR="00EC6663">
              <w:rPr>
                <w:rFonts w:ascii="Arial" w:hAnsi="Arial" w:cs="Arial"/>
              </w:rPr>
              <w:t xml:space="preserve"> The proposed number of days is an estimate which will be reviewed as required.</w:t>
            </w:r>
          </w:p>
        </w:tc>
        <w:tc>
          <w:tcPr>
            <w:tcW w:w="1418" w:type="dxa"/>
            <w:gridSpan w:val="2"/>
          </w:tcPr>
          <w:p w:rsidR="00A54921" w:rsidRDefault="00A54921" w:rsidP="00904E0A">
            <w:pPr>
              <w:jc w:val="center"/>
              <w:rPr>
                <w:rFonts w:ascii="Arial" w:hAnsi="Arial" w:cs="Arial"/>
              </w:rPr>
            </w:pPr>
          </w:p>
          <w:p w:rsidR="00A54921" w:rsidRDefault="0091694D" w:rsidP="00CC53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A54921" w:rsidRDefault="00A54921" w:rsidP="00904E0A">
            <w:pPr>
              <w:rPr>
                <w:rFonts w:ascii="Arial" w:hAnsi="Arial" w:cs="Arial"/>
              </w:rPr>
            </w:pPr>
          </w:p>
          <w:p w:rsidR="00CB5579" w:rsidRPr="00C6475B" w:rsidRDefault="00CB5579" w:rsidP="00CB5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</w:tr>
      <w:tr w:rsidR="00C50528" w:rsidRPr="00C6475B" w:rsidTr="00F81512">
        <w:tc>
          <w:tcPr>
            <w:tcW w:w="11444" w:type="dxa"/>
            <w:gridSpan w:val="4"/>
          </w:tcPr>
          <w:p w:rsidR="00C50528" w:rsidRDefault="00C50528" w:rsidP="0073223B">
            <w:pPr>
              <w:rPr>
                <w:rFonts w:ascii="Arial" w:hAnsi="Arial" w:cs="Arial"/>
                <w:b/>
              </w:rPr>
            </w:pPr>
          </w:p>
          <w:p w:rsidR="00C50528" w:rsidRDefault="00C50528" w:rsidP="00655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AUDIT PLAN DAYS </w:t>
            </w:r>
            <w:r w:rsidR="00214E1E">
              <w:rPr>
                <w:rFonts w:ascii="Arial" w:hAnsi="Arial" w:cs="Arial"/>
                <w:b/>
              </w:rPr>
              <w:t>– SHARED SERVICES PLAN</w:t>
            </w:r>
          </w:p>
          <w:p w:rsidR="00C50528" w:rsidRPr="00C6475B" w:rsidRDefault="00C50528" w:rsidP="007322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C50528" w:rsidRDefault="00C50528" w:rsidP="0073223B">
            <w:pPr>
              <w:jc w:val="center"/>
              <w:rPr>
                <w:rFonts w:ascii="Arial" w:hAnsi="Arial" w:cs="Arial"/>
              </w:rPr>
            </w:pPr>
          </w:p>
          <w:p w:rsidR="00C50528" w:rsidRPr="00C8494B" w:rsidRDefault="005C43B4" w:rsidP="0073223B">
            <w:pPr>
              <w:jc w:val="center"/>
              <w:rPr>
                <w:rFonts w:ascii="Arial" w:hAnsi="Arial" w:cs="Arial"/>
                <w:b/>
              </w:rPr>
            </w:pPr>
            <w:r w:rsidRPr="00967B6A">
              <w:rPr>
                <w:rFonts w:ascii="Arial" w:hAnsi="Arial" w:cs="Arial"/>
                <w:b/>
              </w:rPr>
              <w:t>1</w:t>
            </w:r>
            <w:r w:rsidR="0091694D">
              <w:rPr>
                <w:rFonts w:ascii="Arial" w:hAnsi="Arial" w:cs="Arial"/>
                <w:b/>
              </w:rPr>
              <w:t>4</w:t>
            </w:r>
            <w:r w:rsidR="00D830E6">
              <w:rPr>
                <w:rFonts w:ascii="Arial" w:hAnsi="Arial" w:cs="Arial"/>
                <w:b/>
              </w:rPr>
              <w:t>8</w:t>
            </w:r>
          </w:p>
          <w:p w:rsidR="00E866FF" w:rsidRPr="006558C5" w:rsidRDefault="00E866FF" w:rsidP="00BB04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</w:tcPr>
          <w:p w:rsidR="00C50528" w:rsidRPr="00C6475B" w:rsidRDefault="00C50528" w:rsidP="0073223B">
            <w:pPr>
              <w:rPr>
                <w:rFonts w:ascii="Arial" w:hAnsi="Arial" w:cs="Arial"/>
              </w:rPr>
            </w:pPr>
          </w:p>
        </w:tc>
      </w:tr>
    </w:tbl>
    <w:p w:rsidR="00F6787B" w:rsidRDefault="00F6787B" w:rsidP="00C5700C"/>
    <w:p w:rsidR="009C2935" w:rsidRDefault="009C2935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p w:rsidR="00AE22CD" w:rsidRDefault="00AE22CD" w:rsidP="00C5700C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231"/>
        <w:gridCol w:w="1418"/>
        <w:gridCol w:w="1304"/>
      </w:tblGrid>
      <w:tr w:rsidR="00C50528" w:rsidRPr="00C6475B" w:rsidTr="007A0AB8">
        <w:tc>
          <w:tcPr>
            <w:tcW w:w="14170" w:type="dxa"/>
            <w:gridSpan w:val="4"/>
          </w:tcPr>
          <w:p w:rsidR="00C50528" w:rsidRDefault="00C50528" w:rsidP="0073223B">
            <w:pPr>
              <w:rPr>
                <w:rFonts w:ascii="Arial" w:hAnsi="Arial" w:cs="Arial"/>
              </w:rPr>
            </w:pPr>
          </w:p>
          <w:p w:rsidR="00D33D07" w:rsidRDefault="00D33D07" w:rsidP="00D33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523A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/1</w:t>
            </w:r>
            <w:r w:rsidR="008523A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3BB8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ESERVE LIST – including outline scope</w:t>
            </w:r>
          </w:p>
          <w:p w:rsidR="00D33D07" w:rsidRDefault="00D33D07" w:rsidP="00D33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(Detailed scope for each to be determined in the event that the audit is transferred to the main plan)</w:t>
            </w:r>
          </w:p>
          <w:p w:rsidR="00C50528" w:rsidRPr="00C6475B" w:rsidRDefault="00C50528" w:rsidP="0073223B">
            <w:pPr>
              <w:rPr>
                <w:rFonts w:ascii="Arial" w:hAnsi="Arial" w:cs="Arial"/>
              </w:rPr>
            </w:pPr>
          </w:p>
        </w:tc>
      </w:tr>
      <w:tr w:rsidR="0035714B" w:rsidRPr="00C6475B" w:rsidTr="0073223B">
        <w:tc>
          <w:tcPr>
            <w:tcW w:w="2217" w:type="dxa"/>
          </w:tcPr>
          <w:p w:rsidR="00EC1DD8" w:rsidRDefault="00EC1DD8" w:rsidP="00D7284E">
            <w:pPr>
              <w:rPr>
                <w:rFonts w:ascii="Arial" w:hAnsi="Arial" w:cs="Arial"/>
              </w:rPr>
            </w:pPr>
          </w:p>
          <w:p w:rsidR="00EC1DD8" w:rsidRPr="00B23E8B" w:rsidRDefault="00EC1DD8" w:rsidP="00767726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</w:tcPr>
          <w:p w:rsidR="005C237F" w:rsidRDefault="005C237F" w:rsidP="008523AB">
            <w:pPr>
              <w:tabs>
                <w:tab w:val="left" w:pos="426"/>
              </w:tabs>
              <w:rPr>
                <w:rFonts w:ascii="Arial" w:hAnsi="Arial" w:cs="Arial"/>
                <w:bCs/>
                <w:color w:val="000000"/>
              </w:rPr>
            </w:pPr>
          </w:p>
          <w:p w:rsidR="00C51356" w:rsidRDefault="00C51356" w:rsidP="008523AB">
            <w:pPr>
              <w:tabs>
                <w:tab w:val="left" w:pos="426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None identified during planning process.</w:t>
            </w:r>
          </w:p>
          <w:p w:rsidR="00C51356" w:rsidRPr="00EC1DD8" w:rsidRDefault="00C51356" w:rsidP="008523AB">
            <w:pPr>
              <w:tabs>
                <w:tab w:val="left" w:pos="426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B23E8B" w:rsidRPr="005B0CB1" w:rsidRDefault="00B23E8B" w:rsidP="00732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35714B" w:rsidRPr="00C6475B" w:rsidRDefault="0035714B" w:rsidP="0073223B">
            <w:pPr>
              <w:rPr>
                <w:rFonts w:ascii="Arial" w:hAnsi="Arial" w:cs="Arial"/>
              </w:rPr>
            </w:pPr>
          </w:p>
        </w:tc>
      </w:tr>
    </w:tbl>
    <w:p w:rsidR="006558C5" w:rsidRDefault="006558C5" w:rsidP="00C5700C"/>
    <w:sectPr w:rsidR="006558C5" w:rsidSect="0018178A">
      <w:headerReference w:type="default" r:id="rId9"/>
      <w:footerReference w:type="default" r:id="rId10"/>
      <w:headerReference w:type="first" r:id="rId11"/>
      <w:pgSz w:w="16834" w:h="11909" w:orient="landscape" w:code="9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3E" w:rsidRDefault="00766A3E">
      <w:r>
        <w:separator/>
      </w:r>
    </w:p>
  </w:endnote>
  <w:endnote w:type="continuationSeparator" w:id="0">
    <w:p w:rsidR="00766A3E" w:rsidRDefault="007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D3" w:rsidRPr="00663DD3" w:rsidRDefault="00663DD3">
    <w:pPr>
      <w:pStyle w:val="Footer"/>
      <w:jc w:val="center"/>
      <w:rPr>
        <w:rFonts w:ascii="Arial" w:hAnsi="Arial" w:cs="Arial"/>
      </w:rPr>
    </w:pPr>
    <w:r w:rsidRPr="00663DD3">
      <w:rPr>
        <w:rFonts w:ascii="Arial" w:hAnsi="Arial" w:cs="Arial"/>
      </w:rPr>
      <w:fldChar w:fldCharType="begin"/>
    </w:r>
    <w:r w:rsidRPr="00663DD3">
      <w:rPr>
        <w:rFonts w:ascii="Arial" w:hAnsi="Arial" w:cs="Arial"/>
      </w:rPr>
      <w:instrText xml:space="preserve"> PAGE   \* MERGEFORMAT </w:instrText>
    </w:r>
    <w:r w:rsidRPr="00663DD3">
      <w:rPr>
        <w:rFonts w:ascii="Arial" w:hAnsi="Arial" w:cs="Arial"/>
      </w:rPr>
      <w:fldChar w:fldCharType="separate"/>
    </w:r>
    <w:r w:rsidR="003A1162">
      <w:rPr>
        <w:rFonts w:ascii="Arial" w:hAnsi="Arial" w:cs="Arial"/>
        <w:noProof/>
      </w:rPr>
      <w:t>1</w:t>
    </w:r>
    <w:r w:rsidRPr="00663DD3">
      <w:rPr>
        <w:rFonts w:ascii="Arial" w:hAnsi="Arial" w:cs="Arial"/>
        <w:noProof/>
      </w:rPr>
      <w:fldChar w:fldCharType="end"/>
    </w:r>
  </w:p>
  <w:p w:rsidR="00663DD3" w:rsidRDefault="00663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3E" w:rsidRDefault="00766A3E">
      <w:r>
        <w:separator/>
      </w:r>
    </w:p>
  </w:footnote>
  <w:footnote w:type="continuationSeparator" w:id="0">
    <w:p w:rsidR="00766A3E" w:rsidRDefault="0076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F6" w:rsidRPr="004A7213" w:rsidRDefault="00DC5D69" w:rsidP="00D52BE9">
    <w:pPr>
      <w:pStyle w:val="Header"/>
      <w:pBdr>
        <w:bottom w:val="single" w:sz="4" w:space="1" w:color="auto"/>
      </w:pBdr>
      <w:rPr>
        <w:rFonts w:ascii="Arial" w:hAnsi="Arial" w:cs="Arial"/>
      </w:rPr>
    </w:pPr>
    <w:r w:rsidRPr="004A7213">
      <w:rPr>
        <w:rFonts w:ascii="Arial" w:hAnsi="Arial" w:cs="Arial"/>
      </w:rPr>
      <w:t>WATFORD</w:t>
    </w:r>
    <w:r w:rsidR="004D17F6" w:rsidRPr="004A7213">
      <w:rPr>
        <w:rFonts w:ascii="Arial" w:hAnsi="Arial" w:cs="Arial"/>
      </w:rPr>
      <w:t xml:space="preserve"> </w:t>
    </w:r>
    <w:r w:rsidR="00A25F69" w:rsidRPr="004A7213">
      <w:rPr>
        <w:rFonts w:ascii="Arial" w:hAnsi="Arial" w:cs="Arial"/>
      </w:rPr>
      <w:t xml:space="preserve">&amp; THREE RIVERS SHARED SERVICES </w:t>
    </w:r>
    <w:r w:rsidR="00B72C31">
      <w:rPr>
        <w:rFonts w:ascii="Arial" w:hAnsi="Arial" w:cs="Arial"/>
      </w:rPr>
      <w:t xml:space="preserve">INTERNAL </w:t>
    </w:r>
    <w:r w:rsidR="004D17F6" w:rsidRPr="004A7213">
      <w:rPr>
        <w:rFonts w:ascii="Arial" w:hAnsi="Arial" w:cs="Arial"/>
      </w:rPr>
      <w:t>AUDIT PLAN 201</w:t>
    </w:r>
    <w:r w:rsidR="001766EF">
      <w:rPr>
        <w:rFonts w:ascii="Arial" w:hAnsi="Arial" w:cs="Arial"/>
      </w:rPr>
      <w:t>8</w:t>
    </w:r>
    <w:r w:rsidR="000F3784" w:rsidRPr="004A7213">
      <w:rPr>
        <w:rFonts w:ascii="Arial" w:hAnsi="Arial" w:cs="Arial"/>
      </w:rPr>
      <w:t>/</w:t>
    </w:r>
    <w:r w:rsidR="004D17F6" w:rsidRPr="004A7213">
      <w:rPr>
        <w:rFonts w:ascii="Arial" w:hAnsi="Arial" w:cs="Arial"/>
      </w:rPr>
      <w:t>1</w:t>
    </w:r>
    <w:r w:rsidR="001766EF">
      <w:rPr>
        <w:rFonts w:ascii="Arial" w:hAnsi="Arial" w:cs="Arial"/>
      </w:rPr>
      <w:t>9</w:t>
    </w:r>
    <w:r w:rsidR="004A7213">
      <w:rPr>
        <w:rFonts w:ascii="Arial" w:hAnsi="Arial" w:cs="Arial"/>
      </w:rPr>
      <w:tab/>
    </w:r>
    <w:r w:rsidR="004A7213">
      <w:rPr>
        <w:rFonts w:ascii="Arial" w:hAnsi="Arial" w:cs="Arial"/>
      </w:rPr>
      <w:tab/>
    </w:r>
    <w:r w:rsidR="004A7213">
      <w:rPr>
        <w:rFonts w:ascii="Arial" w:hAnsi="Arial" w:cs="Arial"/>
      </w:rPr>
      <w:tab/>
    </w:r>
    <w:r w:rsidR="004A7213">
      <w:rPr>
        <w:rFonts w:ascii="Arial" w:hAnsi="Arial" w:cs="Arial"/>
      </w:rPr>
      <w:tab/>
    </w:r>
    <w:r w:rsidR="004A7213">
      <w:rPr>
        <w:rFonts w:ascii="Arial" w:hAnsi="Arial" w:cs="Arial"/>
      </w:rPr>
      <w:tab/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D3" w:rsidRPr="004A7213" w:rsidRDefault="004A7213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D9"/>
    <w:multiLevelType w:val="hybridMultilevel"/>
    <w:tmpl w:val="987A28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AB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6388A"/>
    <w:multiLevelType w:val="hybridMultilevel"/>
    <w:tmpl w:val="A7A0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5694"/>
    <w:multiLevelType w:val="hybridMultilevel"/>
    <w:tmpl w:val="4D369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33040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3750B8"/>
    <w:multiLevelType w:val="hybridMultilevel"/>
    <w:tmpl w:val="3ABC9F9A"/>
    <w:lvl w:ilvl="0" w:tplc="F0B27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21EA7"/>
    <w:multiLevelType w:val="hybridMultilevel"/>
    <w:tmpl w:val="599646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D7607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122AC1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F94E52"/>
    <w:multiLevelType w:val="hybridMultilevel"/>
    <w:tmpl w:val="8B7C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233E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FB556E"/>
    <w:multiLevelType w:val="multilevel"/>
    <w:tmpl w:val="66846F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CE283C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D34E7D"/>
    <w:multiLevelType w:val="hybridMultilevel"/>
    <w:tmpl w:val="0DDE45EC"/>
    <w:lvl w:ilvl="0" w:tplc="FAE26D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492346"/>
    <w:multiLevelType w:val="hybridMultilevel"/>
    <w:tmpl w:val="60C4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60C1D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C74944"/>
    <w:multiLevelType w:val="hybridMultilevel"/>
    <w:tmpl w:val="486A9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38C1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0198D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FB552C"/>
    <w:multiLevelType w:val="hybridMultilevel"/>
    <w:tmpl w:val="7674A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776CE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D005C0"/>
    <w:multiLevelType w:val="multilevel"/>
    <w:tmpl w:val="70E6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C6314"/>
    <w:multiLevelType w:val="hybridMultilevel"/>
    <w:tmpl w:val="9B7ED51E"/>
    <w:lvl w:ilvl="0" w:tplc="80C207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563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2165BC"/>
    <w:multiLevelType w:val="hybridMultilevel"/>
    <w:tmpl w:val="5142AC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22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03703"/>
    <w:multiLevelType w:val="multilevel"/>
    <w:tmpl w:val="6AA4A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4760A4"/>
    <w:multiLevelType w:val="multilevel"/>
    <w:tmpl w:val="303828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B644F"/>
    <w:multiLevelType w:val="multilevel"/>
    <w:tmpl w:val="F8B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FD23AF6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504635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BF0906"/>
    <w:multiLevelType w:val="hybridMultilevel"/>
    <w:tmpl w:val="5FD8351E"/>
    <w:lvl w:ilvl="0" w:tplc="51C2D0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724384"/>
    <w:multiLevelType w:val="hybridMultilevel"/>
    <w:tmpl w:val="25408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63E75"/>
    <w:multiLevelType w:val="hybridMultilevel"/>
    <w:tmpl w:val="B78AD3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C33C8C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632786"/>
    <w:multiLevelType w:val="hybridMultilevel"/>
    <w:tmpl w:val="EC32C5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34740E9"/>
    <w:multiLevelType w:val="multilevel"/>
    <w:tmpl w:val="CB003A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C0942F7"/>
    <w:multiLevelType w:val="hybridMultilevel"/>
    <w:tmpl w:val="5AD6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1"/>
  </w:num>
  <w:num w:numId="4">
    <w:abstractNumId w:val="33"/>
  </w:num>
  <w:num w:numId="5">
    <w:abstractNumId w:val="23"/>
  </w:num>
  <w:num w:numId="6">
    <w:abstractNumId w:val="29"/>
  </w:num>
  <w:num w:numId="7">
    <w:abstractNumId w:val="24"/>
  </w:num>
  <w:num w:numId="8">
    <w:abstractNumId w:val="34"/>
  </w:num>
  <w:num w:numId="9">
    <w:abstractNumId w:val="14"/>
  </w:num>
  <w:num w:numId="10">
    <w:abstractNumId w:val="28"/>
  </w:num>
  <w:num w:numId="11">
    <w:abstractNumId w:val="16"/>
  </w:num>
  <w:num w:numId="12">
    <w:abstractNumId w:val="3"/>
  </w:num>
  <w:num w:numId="13">
    <w:abstractNumId w:val="5"/>
  </w:num>
  <w:num w:numId="14">
    <w:abstractNumId w:val="17"/>
  </w:num>
  <w:num w:numId="15">
    <w:abstractNumId w:val="32"/>
  </w:num>
  <w:num w:numId="16">
    <w:abstractNumId w:val="9"/>
  </w:num>
  <w:num w:numId="17">
    <w:abstractNumId w:val="19"/>
  </w:num>
  <w:num w:numId="18">
    <w:abstractNumId w:val="11"/>
  </w:num>
  <w:num w:numId="19">
    <w:abstractNumId w:val="7"/>
  </w:num>
  <w:num w:numId="20">
    <w:abstractNumId w:val="6"/>
  </w:num>
  <w:num w:numId="21">
    <w:abstractNumId w:val="27"/>
  </w:num>
  <w:num w:numId="22">
    <w:abstractNumId w:val="10"/>
  </w:num>
  <w:num w:numId="23">
    <w:abstractNumId w:val="18"/>
  </w:num>
  <w:num w:numId="24">
    <w:abstractNumId w:val="26"/>
  </w:num>
  <w:num w:numId="25">
    <w:abstractNumId w:val="4"/>
  </w:num>
  <w:num w:numId="26">
    <w:abstractNumId w:val="20"/>
  </w:num>
  <w:num w:numId="27">
    <w:abstractNumId w:val="25"/>
  </w:num>
  <w:num w:numId="28">
    <w:abstractNumId w:val="0"/>
  </w:num>
  <w:num w:numId="29">
    <w:abstractNumId w:val="8"/>
  </w:num>
  <w:num w:numId="30">
    <w:abstractNumId w:val="15"/>
  </w:num>
  <w:num w:numId="31">
    <w:abstractNumId w:val="30"/>
  </w:num>
  <w:num w:numId="32">
    <w:abstractNumId w:val="13"/>
  </w:num>
  <w:num w:numId="33">
    <w:abstractNumId w:val="1"/>
  </w:num>
  <w:num w:numId="34">
    <w:abstractNumId w:val="35"/>
  </w:num>
  <w:num w:numId="35">
    <w:abstractNumId w:val="21"/>
  </w:num>
  <w:num w:numId="36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1E"/>
    <w:rsid w:val="000008DB"/>
    <w:rsid w:val="0000156F"/>
    <w:rsid w:val="000102B8"/>
    <w:rsid w:val="000107E4"/>
    <w:rsid w:val="00010E6F"/>
    <w:rsid w:val="00016D28"/>
    <w:rsid w:val="00024C08"/>
    <w:rsid w:val="00025E59"/>
    <w:rsid w:val="0002759D"/>
    <w:rsid w:val="000340BE"/>
    <w:rsid w:val="00035804"/>
    <w:rsid w:val="000407A3"/>
    <w:rsid w:val="0004367F"/>
    <w:rsid w:val="00047224"/>
    <w:rsid w:val="00047759"/>
    <w:rsid w:val="0004775A"/>
    <w:rsid w:val="000513E6"/>
    <w:rsid w:val="00054D12"/>
    <w:rsid w:val="00056E64"/>
    <w:rsid w:val="00063B1B"/>
    <w:rsid w:val="0006425C"/>
    <w:rsid w:val="00066218"/>
    <w:rsid w:val="00066DC6"/>
    <w:rsid w:val="00070400"/>
    <w:rsid w:val="000705FD"/>
    <w:rsid w:val="00071164"/>
    <w:rsid w:val="000715E3"/>
    <w:rsid w:val="00071BFB"/>
    <w:rsid w:val="00074747"/>
    <w:rsid w:val="00074F63"/>
    <w:rsid w:val="00076761"/>
    <w:rsid w:val="00076A9A"/>
    <w:rsid w:val="000775AB"/>
    <w:rsid w:val="000831FC"/>
    <w:rsid w:val="0009238F"/>
    <w:rsid w:val="00095604"/>
    <w:rsid w:val="00097CF7"/>
    <w:rsid w:val="000A4ECB"/>
    <w:rsid w:val="000A569A"/>
    <w:rsid w:val="000A7E48"/>
    <w:rsid w:val="000A7E59"/>
    <w:rsid w:val="000B2AFF"/>
    <w:rsid w:val="000B4F24"/>
    <w:rsid w:val="000C018D"/>
    <w:rsid w:val="000C0AFE"/>
    <w:rsid w:val="000C3549"/>
    <w:rsid w:val="000C4402"/>
    <w:rsid w:val="000C44AC"/>
    <w:rsid w:val="000C4E88"/>
    <w:rsid w:val="000C57E8"/>
    <w:rsid w:val="000C7C62"/>
    <w:rsid w:val="000D19B2"/>
    <w:rsid w:val="000D1EB1"/>
    <w:rsid w:val="000D55A0"/>
    <w:rsid w:val="000D7180"/>
    <w:rsid w:val="000E39B6"/>
    <w:rsid w:val="000E5BD9"/>
    <w:rsid w:val="000F02C2"/>
    <w:rsid w:val="000F0307"/>
    <w:rsid w:val="000F0719"/>
    <w:rsid w:val="000F3784"/>
    <w:rsid w:val="00106D48"/>
    <w:rsid w:val="00107255"/>
    <w:rsid w:val="00107649"/>
    <w:rsid w:val="00107FE2"/>
    <w:rsid w:val="00111629"/>
    <w:rsid w:val="00111E1A"/>
    <w:rsid w:val="001229F5"/>
    <w:rsid w:val="00133BB8"/>
    <w:rsid w:val="00133BD4"/>
    <w:rsid w:val="00134248"/>
    <w:rsid w:val="001348B3"/>
    <w:rsid w:val="001375FD"/>
    <w:rsid w:val="00141868"/>
    <w:rsid w:val="001503D5"/>
    <w:rsid w:val="0015107B"/>
    <w:rsid w:val="001512C4"/>
    <w:rsid w:val="00152F0B"/>
    <w:rsid w:val="00160CB0"/>
    <w:rsid w:val="00165C5D"/>
    <w:rsid w:val="00173A16"/>
    <w:rsid w:val="001766EF"/>
    <w:rsid w:val="00176FC9"/>
    <w:rsid w:val="0018178A"/>
    <w:rsid w:val="0018193B"/>
    <w:rsid w:val="00181EA3"/>
    <w:rsid w:val="001834B8"/>
    <w:rsid w:val="001843E7"/>
    <w:rsid w:val="00185F14"/>
    <w:rsid w:val="001950E6"/>
    <w:rsid w:val="001A0A68"/>
    <w:rsid w:val="001A26AF"/>
    <w:rsid w:val="001A5741"/>
    <w:rsid w:val="001A5E04"/>
    <w:rsid w:val="001B1151"/>
    <w:rsid w:val="001B14D3"/>
    <w:rsid w:val="001B1DE4"/>
    <w:rsid w:val="001B2943"/>
    <w:rsid w:val="001B7884"/>
    <w:rsid w:val="001B7B5C"/>
    <w:rsid w:val="001B7C3E"/>
    <w:rsid w:val="001C17F2"/>
    <w:rsid w:val="001C2723"/>
    <w:rsid w:val="001C5169"/>
    <w:rsid w:val="001D0F5A"/>
    <w:rsid w:val="001D161C"/>
    <w:rsid w:val="001D2C99"/>
    <w:rsid w:val="001D3605"/>
    <w:rsid w:val="001D594D"/>
    <w:rsid w:val="001E0635"/>
    <w:rsid w:val="001E10C9"/>
    <w:rsid w:val="001E24BE"/>
    <w:rsid w:val="001E408B"/>
    <w:rsid w:val="001E5E5B"/>
    <w:rsid w:val="001E7639"/>
    <w:rsid w:val="001F06FB"/>
    <w:rsid w:val="001F234F"/>
    <w:rsid w:val="001F3B9B"/>
    <w:rsid w:val="001F5977"/>
    <w:rsid w:val="001F62CF"/>
    <w:rsid w:val="00202B25"/>
    <w:rsid w:val="002118C5"/>
    <w:rsid w:val="00211F61"/>
    <w:rsid w:val="00214E1E"/>
    <w:rsid w:val="00221529"/>
    <w:rsid w:val="00227EB7"/>
    <w:rsid w:val="00230780"/>
    <w:rsid w:val="00230E1F"/>
    <w:rsid w:val="00234ED9"/>
    <w:rsid w:val="00240B38"/>
    <w:rsid w:val="00242BF6"/>
    <w:rsid w:val="00243F2C"/>
    <w:rsid w:val="00245248"/>
    <w:rsid w:val="00245BED"/>
    <w:rsid w:val="00250FE8"/>
    <w:rsid w:val="002534DF"/>
    <w:rsid w:val="00260237"/>
    <w:rsid w:val="0026131B"/>
    <w:rsid w:val="002613BD"/>
    <w:rsid w:val="00261570"/>
    <w:rsid w:val="00261E84"/>
    <w:rsid w:val="00265D6E"/>
    <w:rsid w:val="00266029"/>
    <w:rsid w:val="002704FA"/>
    <w:rsid w:val="0027051E"/>
    <w:rsid w:val="002719B6"/>
    <w:rsid w:val="00275696"/>
    <w:rsid w:val="0027672A"/>
    <w:rsid w:val="0028082D"/>
    <w:rsid w:val="002827C4"/>
    <w:rsid w:val="002844B6"/>
    <w:rsid w:val="00287ADA"/>
    <w:rsid w:val="00290A55"/>
    <w:rsid w:val="002963B9"/>
    <w:rsid w:val="002A17D5"/>
    <w:rsid w:val="002A3814"/>
    <w:rsid w:val="002A580C"/>
    <w:rsid w:val="002A7F00"/>
    <w:rsid w:val="002B1F1B"/>
    <w:rsid w:val="002B223C"/>
    <w:rsid w:val="002B4F8F"/>
    <w:rsid w:val="002B66D1"/>
    <w:rsid w:val="002B6A43"/>
    <w:rsid w:val="002C7C55"/>
    <w:rsid w:val="002D6BCD"/>
    <w:rsid w:val="002D776A"/>
    <w:rsid w:val="002E0531"/>
    <w:rsid w:val="002E0E7C"/>
    <w:rsid w:val="002E234A"/>
    <w:rsid w:val="002E3172"/>
    <w:rsid w:val="002E4D00"/>
    <w:rsid w:val="002E5EB6"/>
    <w:rsid w:val="002E6EB4"/>
    <w:rsid w:val="002F0500"/>
    <w:rsid w:val="002F330C"/>
    <w:rsid w:val="002F4246"/>
    <w:rsid w:val="002F633E"/>
    <w:rsid w:val="002F64BC"/>
    <w:rsid w:val="002F6BE3"/>
    <w:rsid w:val="00300D08"/>
    <w:rsid w:val="00305510"/>
    <w:rsid w:val="00307BF6"/>
    <w:rsid w:val="00310E26"/>
    <w:rsid w:val="00310EE9"/>
    <w:rsid w:val="00312949"/>
    <w:rsid w:val="00312A9E"/>
    <w:rsid w:val="00313570"/>
    <w:rsid w:val="00313890"/>
    <w:rsid w:val="003221C9"/>
    <w:rsid w:val="00326740"/>
    <w:rsid w:val="003275E6"/>
    <w:rsid w:val="0033057C"/>
    <w:rsid w:val="003335F6"/>
    <w:rsid w:val="003373E6"/>
    <w:rsid w:val="003375BE"/>
    <w:rsid w:val="00337695"/>
    <w:rsid w:val="00342F37"/>
    <w:rsid w:val="00346ACF"/>
    <w:rsid w:val="00347A05"/>
    <w:rsid w:val="00347B16"/>
    <w:rsid w:val="00350775"/>
    <w:rsid w:val="00350940"/>
    <w:rsid w:val="00351665"/>
    <w:rsid w:val="00352C4C"/>
    <w:rsid w:val="0035556F"/>
    <w:rsid w:val="003556CC"/>
    <w:rsid w:val="003558B7"/>
    <w:rsid w:val="0035670E"/>
    <w:rsid w:val="00356C6E"/>
    <w:rsid w:val="0035714B"/>
    <w:rsid w:val="003607FF"/>
    <w:rsid w:val="00361D0C"/>
    <w:rsid w:val="003656BF"/>
    <w:rsid w:val="00370304"/>
    <w:rsid w:val="00370ADA"/>
    <w:rsid w:val="00370FA0"/>
    <w:rsid w:val="00371D63"/>
    <w:rsid w:val="003770BD"/>
    <w:rsid w:val="003822D9"/>
    <w:rsid w:val="0038474D"/>
    <w:rsid w:val="0038540A"/>
    <w:rsid w:val="00387051"/>
    <w:rsid w:val="003965CF"/>
    <w:rsid w:val="003A1162"/>
    <w:rsid w:val="003A456F"/>
    <w:rsid w:val="003A48FF"/>
    <w:rsid w:val="003A514F"/>
    <w:rsid w:val="003A7707"/>
    <w:rsid w:val="003B3FCC"/>
    <w:rsid w:val="003B5629"/>
    <w:rsid w:val="003C116F"/>
    <w:rsid w:val="003C208B"/>
    <w:rsid w:val="003C5234"/>
    <w:rsid w:val="003C64A5"/>
    <w:rsid w:val="003D361D"/>
    <w:rsid w:val="003D5275"/>
    <w:rsid w:val="003D54AA"/>
    <w:rsid w:val="003D57EE"/>
    <w:rsid w:val="003E122E"/>
    <w:rsid w:val="003E2F1C"/>
    <w:rsid w:val="003E39AA"/>
    <w:rsid w:val="003E4112"/>
    <w:rsid w:val="003E5F12"/>
    <w:rsid w:val="003E68D5"/>
    <w:rsid w:val="003E773F"/>
    <w:rsid w:val="003E7F69"/>
    <w:rsid w:val="003F24F0"/>
    <w:rsid w:val="003F3035"/>
    <w:rsid w:val="003F3875"/>
    <w:rsid w:val="003F44A5"/>
    <w:rsid w:val="003F5F86"/>
    <w:rsid w:val="004012B9"/>
    <w:rsid w:val="00402406"/>
    <w:rsid w:val="00403548"/>
    <w:rsid w:val="00404233"/>
    <w:rsid w:val="0040488C"/>
    <w:rsid w:val="0040715A"/>
    <w:rsid w:val="00411501"/>
    <w:rsid w:val="0041434B"/>
    <w:rsid w:val="00415A4F"/>
    <w:rsid w:val="00424AD3"/>
    <w:rsid w:val="004264E2"/>
    <w:rsid w:val="00427112"/>
    <w:rsid w:val="00430C0D"/>
    <w:rsid w:val="004323D0"/>
    <w:rsid w:val="004329D8"/>
    <w:rsid w:val="00432A4C"/>
    <w:rsid w:val="00436899"/>
    <w:rsid w:val="00437979"/>
    <w:rsid w:val="00440C46"/>
    <w:rsid w:val="00440D51"/>
    <w:rsid w:val="004432B2"/>
    <w:rsid w:val="00443E1C"/>
    <w:rsid w:val="00444DC7"/>
    <w:rsid w:val="00447D96"/>
    <w:rsid w:val="004502D1"/>
    <w:rsid w:val="0045031F"/>
    <w:rsid w:val="004503F6"/>
    <w:rsid w:val="00453ADB"/>
    <w:rsid w:val="00460660"/>
    <w:rsid w:val="004625AE"/>
    <w:rsid w:val="0046392F"/>
    <w:rsid w:val="00465FC8"/>
    <w:rsid w:val="00470356"/>
    <w:rsid w:val="00470A3C"/>
    <w:rsid w:val="00473963"/>
    <w:rsid w:val="004747A4"/>
    <w:rsid w:val="004763C0"/>
    <w:rsid w:val="00480451"/>
    <w:rsid w:val="004829CD"/>
    <w:rsid w:val="004870E6"/>
    <w:rsid w:val="0048781D"/>
    <w:rsid w:val="00493A85"/>
    <w:rsid w:val="00494E0C"/>
    <w:rsid w:val="00497647"/>
    <w:rsid w:val="004A6E79"/>
    <w:rsid w:val="004A6E9E"/>
    <w:rsid w:val="004A7213"/>
    <w:rsid w:val="004B1690"/>
    <w:rsid w:val="004B1696"/>
    <w:rsid w:val="004B6ED6"/>
    <w:rsid w:val="004C2FBD"/>
    <w:rsid w:val="004C47C8"/>
    <w:rsid w:val="004C4C1B"/>
    <w:rsid w:val="004C5D29"/>
    <w:rsid w:val="004D17F6"/>
    <w:rsid w:val="004D1C12"/>
    <w:rsid w:val="004D250E"/>
    <w:rsid w:val="004D38C2"/>
    <w:rsid w:val="004D4C23"/>
    <w:rsid w:val="004E394E"/>
    <w:rsid w:val="004E4E00"/>
    <w:rsid w:val="004F0C18"/>
    <w:rsid w:val="004F5DF3"/>
    <w:rsid w:val="004F62AA"/>
    <w:rsid w:val="004F7447"/>
    <w:rsid w:val="00501CDC"/>
    <w:rsid w:val="00502B0F"/>
    <w:rsid w:val="005045B2"/>
    <w:rsid w:val="0050553F"/>
    <w:rsid w:val="005055E3"/>
    <w:rsid w:val="00505F77"/>
    <w:rsid w:val="0051178B"/>
    <w:rsid w:val="00515F16"/>
    <w:rsid w:val="005175D0"/>
    <w:rsid w:val="005205C7"/>
    <w:rsid w:val="00521E84"/>
    <w:rsid w:val="0052254C"/>
    <w:rsid w:val="005235F4"/>
    <w:rsid w:val="005236AE"/>
    <w:rsid w:val="00530F3E"/>
    <w:rsid w:val="005325C6"/>
    <w:rsid w:val="00535A00"/>
    <w:rsid w:val="00544642"/>
    <w:rsid w:val="005465E0"/>
    <w:rsid w:val="00553CEB"/>
    <w:rsid w:val="00554627"/>
    <w:rsid w:val="00554AA8"/>
    <w:rsid w:val="00563B49"/>
    <w:rsid w:val="00563C89"/>
    <w:rsid w:val="00571DA5"/>
    <w:rsid w:val="00572595"/>
    <w:rsid w:val="0058345F"/>
    <w:rsid w:val="00584EA7"/>
    <w:rsid w:val="00586098"/>
    <w:rsid w:val="005905D7"/>
    <w:rsid w:val="00591A32"/>
    <w:rsid w:val="00591EC9"/>
    <w:rsid w:val="00593222"/>
    <w:rsid w:val="005933AB"/>
    <w:rsid w:val="00597D82"/>
    <w:rsid w:val="005A03B7"/>
    <w:rsid w:val="005A6078"/>
    <w:rsid w:val="005A7924"/>
    <w:rsid w:val="005A7CED"/>
    <w:rsid w:val="005B0CB1"/>
    <w:rsid w:val="005B3236"/>
    <w:rsid w:val="005B5925"/>
    <w:rsid w:val="005C237F"/>
    <w:rsid w:val="005C43B4"/>
    <w:rsid w:val="005C4462"/>
    <w:rsid w:val="005D0146"/>
    <w:rsid w:val="005D64A1"/>
    <w:rsid w:val="005E617B"/>
    <w:rsid w:val="005F2247"/>
    <w:rsid w:val="005F3F63"/>
    <w:rsid w:val="005F620C"/>
    <w:rsid w:val="00603FAC"/>
    <w:rsid w:val="0061690D"/>
    <w:rsid w:val="00617851"/>
    <w:rsid w:val="0062134B"/>
    <w:rsid w:val="00621AE7"/>
    <w:rsid w:val="006235E8"/>
    <w:rsid w:val="00624DA3"/>
    <w:rsid w:val="00625134"/>
    <w:rsid w:val="00625AB7"/>
    <w:rsid w:val="00627CEA"/>
    <w:rsid w:val="00632D65"/>
    <w:rsid w:val="006341C4"/>
    <w:rsid w:val="006362FA"/>
    <w:rsid w:val="006365BA"/>
    <w:rsid w:val="0064230A"/>
    <w:rsid w:val="00642DEA"/>
    <w:rsid w:val="00645A31"/>
    <w:rsid w:val="00646E84"/>
    <w:rsid w:val="006472B2"/>
    <w:rsid w:val="00647879"/>
    <w:rsid w:val="00651FC3"/>
    <w:rsid w:val="0065352C"/>
    <w:rsid w:val="00653A34"/>
    <w:rsid w:val="00653F7F"/>
    <w:rsid w:val="006556A9"/>
    <w:rsid w:val="006558C5"/>
    <w:rsid w:val="006635E6"/>
    <w:rsid w:val="00663DD3"/>
    <w:rsid w:val="006651EF"/>
    <w:rsid w:val="006714D4"/>
    <w:rsid w:val="00671696"/>
    <w:rsid w:val="00673029"/>
    <w:rsid w:val="00674B3C"/>
    <w:rsid w:val="00674D06"/>
    <w:rsid w:val="006769C7"/>
    <w:rsid w:val="00683FF5"/>
    <w:rsid w:val="006848C2"/>
    <w:rsid w:val="006860F0"/>
    <w:rsid w:val="0068683B"/>
    <w:rsid w:val="00692085"/>
    <w:rsid w:val="0069382E"/>
    <w:rsid w:val="006954EE"/>
    <w:rsid w:val="0069754A"/>
    <w:rsid w:val="006A49FE"/>
    <w:rsid w:val="006A643A"/>
    <w:rsid w:val="006A6ECB"/>
    <w:rsid w:val="006A72E7"/>
    <w:rsid w:val="006B134D"/>
    <w:rsid w:val="006B1BBC"/>
    <w:rsid w:val="006B5296"/>
    <w:rsid w:val="006B71B6"/>
    <w:rsid w:val="006B7544"/>
    <w:rsid w:val="006C14FE"/>
    <w:rsid w:val="006C1CE5"/>
    <w:rsid w:val="006C5958"/>
    <w:rsid w:val="006D3EF6"/>
    <w:rsid w:val="006D632E"/>
    <w:rsid w:val="006D6C73"/>
    <w:rsid w:val="006E2311"/>
    <w:rsid w:val="006E254C"/>
    <w:rsid w:val="006E2763"/>
    <w:rsid w:val="006E4943"/>
    <w:rsid w:val="006F1AB9"/>
    <w:rsid w:val="006F41D8"/>
    <w:rsid w:val="006F57A7"/>
    <w:rsid w:val="006F7621"/>
    <w:rsid w:val="006F7EAF"/>
    <w:rsid w:val="007057FE"/>
    <w:rsid w:val="00705DCB"/>
    <w:rsid w:val="00707210"/>
    <w:rsid w:val="00712609"/>
    <w:rsid w:val="007168F9"/>
    <w:rsid w:val="00716C6D"/>
    <w:rsid w:val="0071740D"/>
    <w:rsid w:val="00720DB1"/>
    <w:rsid w:val="00721875"/>
    <w:rsid w:val="00727C14"/>
    <w:rsid w:val="0073223B"/>
    <w:rsid w:val="00740D53"/>
    <w:rsid w:val="00742C16"/>
    <w:rsid w:val="007445CF"/>
    <w:rsid w:val="00746065"/>
    <w:rsid w:val="00746F4B"/>
    <w:rsid w:val="007471E8"/>
    <w:rsid w:val="007474C8"/>
    <w:rsid w:val="00750EE2"/>
    <w:rsid w:val="007523F7"/>
    <w:rsid w:val="00753CCE"/>
    <w:rsid w:val="0075521D"/>
    <w:rsid w:val="00755595"/>
    <w:rsid w:val="00757341"/>
    <w:rsid w:val="00763A44"/>
    <w:rsid w:val="00763B86"/>
    <w:rsid w:val="007645B5"/>
    <w:rsid w:val="00766404"/>
    <w:rsid w:val="00766A3E"/>
    <w:rsid w:val="00766C95"/>
    <w:rsid w:val="00767726"/>
    <w:rsid w:val="007701DF"/>
    <w:rsid w:val="0078047E"/>
    <w:rsid w:val="00780E80"/>
    <w:rsid w:val="007824EB"/>
    <w:rsid w:val="00783F90"/>
    <w:rsid w:val="00784DC6"/>
    <w:rsid w:val="00785F1D"/>
    <w:rsid w:val="007867C5"/>
    <w:rsid w:val="007919EE"/>
    <w:rsid w:val="00795EAC"/>
    <w:rsid w:val="007978DE"/>
    <w:rsid w:val="007A058F"/>
    <w:rsid w:val="007A05DA"/>
    <w:rsid w:val="007A0AB8"/>
    <w:rsid w:val="007A20EA"/>
    <w:rsid w:val="007A3B75"/>
    <w:rsid w:val="007A5A44"/>
    <w:rsid w:val="007A5D78"/>
    <w:rsid w:val="007A6389"/>
    <w:rsid w:val="007B1B43"/>
    <w:rsid w:val="007B34A6"/>
    <w:rsid w:val="007B4390"/>
    <w:rsid w:val="007B4C37"/>
    <w:rsid w:val="007B4F54"/>
    <w:rsid w:val="007C0691"/>
    <w:rsid w:val="007C1D00"/>
    <w:rsid w:val="007C4CAD"/>
    <w:rsid w:val="007C77DB"/>
    <w:rsid w:val="007D3F57"/>
    <w:rsid w:val="007D5CA3"/>
    <w:rsid w:val="007D623F"/>
    <w:rsid w:val="007E1502"/>
    <w:rsid w:val="007E24E9"/>
    <w:rsid w:val="007E6A88"/>
    <w:rsid w:val="007F0722"/>
    <w:rsid w:val="007F3767"/>
    <w:rsid w:val="00812D6B"/>
    <w:rsid w:val="00814E91"/>
    <w:rsid w:val="00817CFB"/>
    <w:rsid w:val="00824A01"/>
    <w:rsid w:val="00825255"/>
    <w:rsid w:val="0082584C"/>
    <w:rsid w:val="00827870"/>
    <w:rsid w:val="00830546"/>
    <w:rsid w:val="00831B27"/>
    <w:rsid w:val="0083398C"/>
    <w:rsid w:val="00836B3D"/>
    <w:rsid w:val="00840C30"/>
    <w:rsid w:val="00840E60"/>
    <w:rsid w:val="008414C7"/>
    <w:rsid w:val="00842F08"/>
    <w:rsid w:val="00843523"/>
    <w:rsid w:val="00845C84"/>
    <w:rsid w:val="008523AB"/>
    <w:rsid w:val="00855EA7"/>
    <w:rsid w:val="00856A24"/>
    <w:rsid w:val="0086006F"/>
    <w:rsid w:val="0086065E"/>
    <w:rsid w:val="00863F78"/>
    <w:rsid w:val="008656B1"/>
    <w:rsid w:val="008820BA"/>
    <w:rsid w:val="00882EAC"/>
    <w:rsid w:val="008842A8"/>
    <w:rsid w:val="008901DD"/>
    <w:rsid w:val="00892C2F"/>
    <w:rsid w:val="008975D9"/>
    <w:rsid w:val="00897A18"/>
    <w:rsid w:val="008A2043"/>
    <w:rsid w:val="008A23DA"/>
    <w:rsid w:val="008A49B1"/>
    <w:rsid w:val="008A5718"/>
    <w:rsid w:val="008A7CBB"/>
    <w:rsid w:val="008B0141"/>
    <w:rsid w:val="008B3E9A"/>
    <w:rsid w:val="008B44D1"/>
    <w:rsid w:val="008C4AF7"/>
    <w:rsid w:val="008C5B5D"/>
    <w:rsid w:val="008D01C9"/>
    <w:rsid w:val="008D3A25"/>
    <w:rsid w:val="008E34E6"/>
    <w:rsid w:val="008E37DC"/>
    <w:rsid w:val="008E5B1D"/>
    <w:rsid w:val="008F3129"/>
    <w:rsid w:val="008F50A6"/>
    <w:rsid w:val="008F6BD1"/>
    <w:rsid w:val="00904E0A"/>
    <w:rsid w:val="0091694D"/>
    <w:rsid w:val="0092047B"/>
    <w:rsid w:val="00925D19"/>
    <w:rsid w:val="00927D98"/>
    <w:rsid w:val="00932CF5"/>
    <w:rsid w:val="00940B9E"/>
    <w:rsid w:val="00942177"/>
    <w:rsid w:val="009464A8"/>
    <w:rsid w:val="0094681D"/>
    <w:rsid w:val="009470B8"/>
    <w:rsid w:val="009500BA"/>
    <w:rsid w:val="009529E9"/>
    <w:rsid w:val="00952D74"/>
    <w:rsid w:val="0095431A"/>
    <w:rsid w:val="00957C3F"/>
    <w:rsid w:val="00962BF0"/>
    <w:rsid w:val="00966910"/>
    <w:rsid w:val="00966D22"/>
    <w:rsid w:val="00967B6A"/>
    <w:rsid w:val="009721BF"/>
    <w:rsid w:val="009721F6"/>
    <w:rsid w:val="0098227C"/>
    <w:rsid w:val="0098257A"/>
    <w:rsid w:val="00983F1A"/>
    <w:rsid w:val="00984392"/>
    <w:rsid w:val="009867E8"/>
    <w:rsid w:val="00986C22"/>
    <w:rsid w:val="00987BA0"/>
    <w:rsid w:val="0099318A"/>
    <w:rsid w:val="009A24FB"/>
    <w:rsid w:val="009A59CA"/>
    <w:rsid w:val="009A7AA9"/>
    <w:rsid w:val="009B0334"/>
    <w:rsid w:val="009B2B89"/>
    <w:rsid w:val="009B5EBC"/>
    <w:rsid w:val="009B6B2D"/>
    <w:rsid w:val="009B6E38"/>
    <w:rsid w:val="009B7236"/>
    <w:rsid w:val="009C0051"/>
    <w:rsid w:val="009C17F5"/>
    <w:rsid w:val="009C2935"/>
    <w:rsid w:val="009C7E5E"/>
    <w:rsid w:val="009D152D"/>
    <w:rsid w:val="009D2B68"/>
    <w:rsid w:val="009D37C1"/>
    <w:rsid w:val="009D44A4"/>
    <w:rsid w:val="009D51E8"/>
    <w:rsid w:val="009D6A90"/>
    <w:rsid w:val="009D7B16"/>
    <w:rsid w:val="009D7B43"/>
    <w:rsid w:val="009E0C8F"/>
    <w:rsid w:val="009E209C"/>
    <w:rsid w:val="009F0FF1"/>
    <w:rsid w:val="009F4C91"/>
    <w:rsid w:val="009F4CE3"/>
    <w:rsid w:val="009F7770"/>
    <w:rsid w:val="00A0067D"/>
    <w:rsid w:val="00A0148B"/>
    <w:rsid w:val="00A0342B"/>
    <w:rsid w:val="00A07E7C"/>
    <w:rsid w:val="00A07F51"/>
    <w:rsid w:val="00A10DE5"/>
    <w:rsid w:val="00A15EF5"/>
    <w:rsid w:val="00A160AD"/>
    <w:rsid w:val="00A20156"/>
    <w:rsid w:val="00A20719"/>
    <w:rsid w:val="00A2203F"/>
    <w:rsid w:val="00A22E6B"/>
    <w:rsid w:val="00A23EEC"/>
    <w:rsid w:val="00A25453"/>
    <w:rsid w:val="00A25F69"/>
    <w:rsid w:val="00A27575"/>
    <w:rsid w:val="00A277F1"/>
    <w:rsid w:val="00A36253"/>
    <w:rsid w:val="00A36D4F"/>
    <w:rsid w:val="00A43C18"/>
    <w:rsid w:val="00A44525"/>
    <w:rsid w:val="00A459BC"/>
    <w:rsid w:val="00A50213"/>
    <w:rsid w:val="00A52E69"/>
    <w:rsid w:val="00A54921"/>
    <w:rsid w:val="00A619AC"/>
    <w:rsid w:val="00A61D99"/>
    <w:rsid w:val="00A622F3"/>
    <w:rsid w:val="00A64BD5"/>
    <w:rsid w:val="00A64C44"/>
    <w:rsid w:val="00A652EF"/>
    <w:rsid w:val="00A653CC"/>
    <w:rsid w:val="00A705B1"/>
    <w:rsid w:val="00A70C12"/>
    <w:rsid w:val="00A7135F"/>
    <w:rsid w:val="00A71AC9"/>
    <w:rsid w:val="00A73F7B"/>
    <w:rsid w:val="00A74244"/>
    <w:rsid w:val="00A76C6C"/>
    <w:rsid w:val="00A8079C"/>
    <w:rsid w:val="00A873E8"/>
    <w:rsid w:val="00A905F0"/>
    <w:rsid w:val="00A94275"/>
    <w:rsid w:val="00A94E55"/>
    <w:rsid w:val="00AA0448"/>
    <w:rsid w:val="00AA3C0B"/>
    <w:rsid w:val="00AA454C"/>
    <w:rsid w:val="00AA6CA7"/>
    <w:rsid w:val="00AA6D15"/>
    <w:rsid w:val="00AA6FC1"/>
    <w:rsid w:val="00AB0E42"/>
    <w:rsid w:val="00AB1AD2"/>
    <w:rsid w:val="00AB1DB5"/>
    <w:rsid w:val="00AB2345"/>
    <w:rsid w:val="00AB3B96"/>
    <w:rsid w:val="00AB718D"/>
    <w:rsid w:val="00AC29AE"/>
    <w:rsid w:val="00AC4E5D"/>
    <w:rsid w:val="00AC60B2"/>
    <w:rsid w:val="00AC6719"/>
    <w:rsid w:val="00AC6852"/>
    <w:rsid w:val="00AD2F20"/>
    <w:rsid w:val="00AD6FD4"/>
    <w:rsid w:val="00AE1716"/>
    <w:rsid w:val="00AE1A8C"/>
    <w:rsid w:val="00AE1AA6"/>
    <w:rsid w:val="00AE22CD"/>
    <w:rsid w:val="00AE29D8"/>
    <w:rsid w:val="00AE6353"/>
    <w:rsid w:val="00AF1853"/>
    <w:rsid w:val="00AF643D"/>
    <w:rsid w:val="00B068E5"/>
    <w:rsid w:val="00B07426"/>
    <w:rsid w:val="00B13454"/>
    <w:rsid w:val="00B13563"/>
    <w:rsid w:val="00B138BE"/>
    <w:rsid w:val="00B13F04"/>
    <w:rsid w:val="00B150E3"/>
    <w:rsid w:val="00B164DB"/>
    <w:rsid w:val="00B20880"/>
    <w:rsid w:val="00B23E8B"/>
    <w:rsid w:val="00B30FDE"/>
    <w:rsid w:val="00B359BA"/>
    <w:rsid w:val="00B37D79"/>
    <w:rsid w:val="00B44CAC"/>
    <w:rsid w:val="00B50E52"/>
    <w:rsid w:val="00B518A2"/>
    <w:rsid w:val="00B52D58"/>
    <w:rsid w:val="00B52E4F"/>
    <w:rsid w:val="00B564AE"/>
    <w:rsid w:val="00B564C1"/>
    <w:rsid w:val="00B6503D"/>
    <w:rsid w:val="00B6527F"/>
    <w:rsid w:val="00B66B72"/>
    <w:rsid w:val="00B728FF"/>
    <w:rsid w:val="00B72C31"/>
    <w:rsid w:val="00B72EEB"/>
    <w:rsid w:val="00B74151"/>
    <w:rsid w:val="00B7473A"/>
    <w:rsid w:val="00B77C54"/>
    <w:rsid w:val="00B81000"/>
    <w:rsid w:val="00B866EB"/>
    <w:rsid w:val="00B91E7C"/>
    <w:rsid w:val="00B91F4A"/>
    <w:rsid w:val="00B93556"/>
    <w:rsid w:val="00B965F7"/>
    <w:rsid w:val="00B97C95"/>
    <w:rsid w:val="00BA110A"/>
    <w:rsid w:val="00BA1525"/>
    <w:rsid w:val="00BA6C84"/>
    <w:rsid w:val="00BB040C"/>
    <w:rsid w:val="00BB13DB"/>
    <w:rsid w:val="00BB1989"/>
    <w:rsid w:val="00BB2326"/>
    <w:rsid w:val="00BB2DA1"/>
    <w:rsid w:val="00BB48D3"/>
    <w:rsid w:val="00BB7D77"/>
    <w:rsid w:val="00BC38C3"/>
    <w:rsid w:val="00BD1191"/>
    <w:rsid w:val="00BD2435"/>
    <w:rsid w:val="00BD70F2"/>
    <w:rsid w:val="00BD7C1C"/>
    <w:rsid w:val="00BE0CB4"/>
    <w:rsid w:val="00BE1296"/>
    <w:rsid w:val="00BE29C9"/>
    <w:rsid w:val="00BE55B4"/>
    <w:rsid w:val="00BE771A"/>
    <w:rsid w:val="00BE7F5D"/>
    <w:rsid w:val="00BF58E3"/>
    <w:rsid w:val="00BF5B35"/>
    <w:rsid w:val="00BF7FC5"/>
    <w:rsid w:val="00C0399E"/>
    <w:rsid w:val="00C05D2A"/>
    <w:rsid w:val="00C0791D"/>
    <w:rsid w:val="00C10B4A"/>
    <w:rsid w:val="00C1134B"/>
    <w:rsid w:val="00C11D49"/>
    <w:rsid w:val="00C15B89"/>
    <w:rsid w:val="00C16EAF"/>
    <w:rsid w:val="00C2011E"/>
    <w:rsid w:val="00C209AE"/>
    <w:rsid w:val="00C214B2"/>
    <w:rsid w:val="00C21AA2"/>
    <w:rsid w:val="00C2335A"/>
    <w:rsid w:val="00C23904"/>
    <w:rsid w:val="00C23AF3"/>
    <w:rsid w:val="00C2693D"/>
    <w:rsid w:val="00C317DE"/>
    <w:rsid w:val="00C332A6"/>
    <w:rsid w:val="00C33D1C"/>
    <w:rsid w:val="00C363C6"/>
    <w:rsid w:val="00C36F59"/>
    <w:rsid w:val="00C3794D"/>
    <w:rsid w:val="00C437DD"/>
    <w:rsid w:val="00C43A52"/>
    <w:rsid w:val="00C43D31"/>
    <w:rsid w:val="00C45401"/>
    <w:rsid w:val="00C45B6A"/>
    <w:rsid w:val="00C46DAE"/>
    <w:rsid w:val="00C47873"/>
    <w:rsid w:val="00C50528"/>
    <w:rsid w:val="00C51356"/>
    <w:rsid w:val="00C51730"/>
    <w:rsid w:val="00C5323C"/>
    <w:rsid w:val="00C53804"/>
    <w:rsid w:val="00C54093"/>
    <w:rsid w:val="00C54E24"/>
    <w:rsid w:val="00C5700C"/>
    <w:rsid w:val="00C610F4"/>
    <w:rsid w:val="00C61620"/>
    <w:rsid w:val="00C620D2"/>
    <w:rsid w:val="00C6224B"/>
    <w:rsid w:val="00C6475B"/>
    <w:rsid w:val="00C652B0"/>
    <w:rsid w:val="00C66A61"/>
    <w:rsid w:val="00C72DD5"/>
    <w:rsid w:val="00C740E3"/>
    <w:rsid w:val="00C774C1"/>
    <w:rsid w:val="00C80609"/>
    <w:rsid w:val="00C8169C"/>
    <w:rsid w:val="00C827D5"/>
    <w:rsid w:val="00C8494B"/>
    <w:rsid w:val="00C866E2"/>
    <w:rsid w:val="00C869B6"/>
    <w:rsid w:val="00C86E29"/>
    <w:rsid w:val="00C96759"/>
    <w:rsid w:val="00C96B2C"/>
    <w:rsid w:val="00CA0ABA"/>
    <w:rsid w:val="00CA247E"/>
    <w:rsid w:val="00CA6993"/>
    <w:rsid w:val="00CB4A03"/>
    <w:rsid w:val="00CB5579"/>
    <w:rsid w:val="00CB78C7"/>
    <w:rsid w:val="00CC0A68"/>
    <w:rsid w:val="00CC1511"/>
    <w:rsid w:val="00CC18C2"/>
    <w:rsid w:val="00CC1B60"/>
    <w:rsid w:val="00CC1CBF"/>
    <w:rsid w:val="00CC2986"/>
    <w:rsid w:val="00CC3519"/>
    <w:rsid w:val="00CC53B7"/>
    <w:rsid w:val="00CD0CB9"/>
    <w:rsid w:val="00CD3008"/>
    <w:rsid w:val="00CE0B10"/>
    <w:rsid w:val="00CE46EE"/>
    <w:rsid w:val="00CE688D"/>
    <w:rsid w:val="00CF36D1"/>
    <w:rsid w:val="00CF3FFD"/>
    <w:rsid w:val="00CF52F2"/>
    <w:rsid w:val="00CF5510"/>
    <w:rsid w:val="00CF626E"/>
    <w:rsid w:val="00D00D72"/>
    <w:rsid w:val="00D05C20"/>
    <w:rsid w:val="00D06D68"/>
    <w:rsid w:val="00D1419D"/>
    <w:rsid w:val="00D20AF8"/>
    <w:rsid w:val="00D21929"/>
    <w:rsid w:val="00D243E4"/>
    <w:rsid w:val="00D268A2"/>
    <w:rsid w:val="00D302F9"/>
    <w:rsid w:val="00D305BB"/>
    <w:rsid w:val="00D31486"/>
    <w:rsid w:val="00D33611"/>
    <w:rsid w:val="00D33D07"/>
    <w:rsid w:val="00D44C16"/>
    <w:rsid w:val="00D45E30"/>
    <w:rsid w:val="00D46BD8"/>
    <w:rsid w:val="00D46F0B"/>
    <w:rsid w:val="00D508DC"/>
    <w:rsid w:val="00D50E73"/>
    <w:rsid w:val="00D50FB7"/>
    <w:rsid w:val="00D5138A"/>
    <w:rsid w:val="00D52BE9"/>
    <w:rsid w:val="00D53951"/>
    <w:rsid w:val="00D62EC3"/>
    <w:rsid w:val="00D67013"/>
    <w:rsid w:val="00D67D5E"/>
    <w:rsid w:val="00D71731"/>
    <w:rsid w:val="00D7284E"/>
    <w:rsid w:val="00D756FF"/>
    <w:rsid w:val="00D75BCF"/>
    <w:rsid w:val="00D760F2"/>
    <w:rsid w:val="00D8208C"/>
    <w:rsid w:val="00D830E6"/>
    <w:rsid w:val="00D85400"/>
    <w:rsid w:val="00D900EA"/>
    <w:rsid w:val="00D93945"/>
    <w:rsid w:val="00D9537F"/>
    <w:rsid w:val="00D96D04"/>
    <w:rsid w:val="00DA022F"/>
    <w:rsid w:val="00DA0EAD"/>
    <w:rsid w:val="00DA1B4B"/>
    <w:rsid w:val="00DA5390"/>
    <w:rsid w:val="00DA6E25"/>
    <w:rsid w:val="00DB1C42"/>
    <w:rsid w:val="00DB3EB9"/>
    <w:rsid w:val="00DB690E"/>
    <w:rsid w:val="00DC08AB"/>
    <w:rsid w:val="00DC3239"/>
    <w:rsid w:val="00DC5D69"/>
    <w:rsid w:val="00DC73E6"/>
    <w:rsid w:val="00DD03C8"/>
    <w:rsid w:val="00DD195C"/>
    <w:rsid w:val="00DD23E5"/>
    <w:rsid w:val="00DD3089"/>
    <w:rsid w:val="00DD3682"/>
    <w:rsid w:val="00DE02DD"/>
    <w:rsid w:val="00DE1DD6"/>
    <w:rsid w:val="00DE20EA"/>
    <w:rsid w:val="00DE3E8B"/>
    <w:rsid w:val="00DE5204"/>
    <w:rsid w:val="00DF43DA"/>
    <w:rsid w:val="00E028D5"/>
    <w:rsid w:val="00E04BFA"/>
    <w:rsid w:val="00E05482"/>
    <w:rsid w:val="00E07D81"/>
    <w:rsid w:val="00E12258"/>
    <w:rsid w:val="00E16E3A"/>
    <w:rsid w:val="00E17CAD"/>
    <w:rsid w:val="00E21EEF"/>
    <w:rsid w:val="00E2245B"/>
    <w:rsid w:val="00E2283F"/>
    <w:rsid w:val="00E23071"/>
    <w:rsid w:val="00E23BB7"/>
    <w:rsid w:val="00E248EF"/>
    <w:rsid w:val="00E35DC2"/>
    <w:rsid w:val="00E36D8D"/>
    <w:rsid w:val="00E37FF1"/>
    <w:rsid w:val="00E40967"/>
    <w:rsid w:val="00E4118E"/>
    <w:rsid w:val="00E42C8C"/>
    <w:rsid w:val="00E43D75"/>
    <w:rsid w:val="00E4425D"/>
    <w:rsid w:val="00E46921"/>
    <w:rsid w:val="00E477DB"/>
    <w:rsid w:val="00E505EF"/>
    <w:rsid w:val="00E522D0"/>
    <w:rsid w:val="00E525A8"/>
    <w:rsid w:val="00E52A94"/>
    <w:rsid w:val="00E52C74"/>
    <w:rsid w:val="00E52EF9"/>
    <w:rsid w:val="00E55985"/>
    <w:rsid w:val="00E55C44"/>
    <w:rsid w:val="00E56FF5"/>
    <w:rsid w:val="00E573FB"/>
    <w:rsid w:val="00E6073E"/>
    <w:rsid w:val="00E60C98"/>
    <w:rsid w:val="00E618D6"/>
    <w:rsid w:val="00E62E14"/>
    <w:rsid w:val="00E64A79"/>
    <w:rsid w:val="00E66AD5"/>
    <w:rsid w:val="00E67646"/>
    <w:rsid w:val="00E715B7"/>
    <w:rsid w:val="00E71D8B"/>
    <w:rsid w:val="00E735CF"/>
    <w:rsid w:val="00E76977"/>
    <w:rsid w:val="00E76B4A"/>
    <w:rsid w:val="00E7762B"/>
    <w:rsid w:val="00E801F5"/>
    <w:rsid w:val="00E83EA4"/>
    <w:rsid w:val="00E84083"/>
    <w:rsid w:val="00E866FF"/>
    <w:rsid w:val="00E9208B"/>
    <w:rsid w:val="00E932E4"/>
    <w:rsid w:val="00E93FB6"/>
    <w:rsid w:val="00E94956"/>
    <w:rsid w:val="00E957FE"/>
    <w:rsid w:val="00EA50A4"/>
    <w:rsid w:val="00EA67C8"/>
    <w:rsid w:val="00EA68C2"/>
    <w:rsid w:val="00EB2F12"/>
    <w:rsid w:val="00EB3A41"/>
    <w:rsid w:val="00EB580B"/>
    <w:rsid w:val="00EC1DD8"/>
    <w:rsid w:val="00EC263B"/>
    <w:rsid w:val="00EC2924"/>
    <w:rsid w:val="00EC4B54"/>
    <w:rsid w:val="00EC659E"/>
    <w:rsid w:val="00EC6663"/>
    <w:rsid w:val="00EC6B19"/>
    <w:rsid w:val="00ED0A1B"/>
    <w:rsid w:val="00ED0E63"/>
    <w:rsid w:val="00ED1177"/>
    <w:rsid w:val="00ED4947"/>
    <w:rsid w:val="00EE3852"/>
    <w:rsid w:val="00EE43C8"/>
    <w:rsid w:val="00EF130C"/>
    <w:rsid w:val="00EF4825"/>
    <w:rsid w:val="00EF4E32"/>
    <w:rsid w:val="00EF515D"/>
    <w:rsid w:val="00F027EB"/>
    <w:rsid w:val="00F06E8C"/>
    <w:rsid w:val="00F10429"/>
    <w:rsid w:val="00F11AE5"/>
    <w:rsid w:val="00F14BD2"/>
    <w:rsid w:val="00F22D85"/>
    <w:rsid w:val="00F25A2E"/>
    <w:rsid w:val="00F267C2"/>
    <w:rsid w:val="00F30D63"/>
    <w:rsid w:val="00F34D8B"/>
    <w:rsid w:val="00F35149"/>
    <w:rsid w:val="00F36E0E"/>
    <w:rsid w:val="00F3736B"/>
    <w:rsid w:val="00F379A8"/>
    <w:rsid w:val="00F41E79"/>
    <w:rsid w:val="00F42411"/>
    <w:rsid w:val="00F46A28"/>
    <w:rsid w:val="00F47F0E"/>
    <w:rsid w:val="00F505B9"/>
    <w:rsid w:val="00F50AD5"/>
    <w:rsid w:val="00F50E45"/>
    <w:rsid w:val="00F510B1"/>
    <w:rsid w:val="00F525DB"/>
    <w:rsid w:val="00F5764A"/>
    <w:rsid w:val="00F65D57"/>
    <w:rsid w:val="00F6624B"/>
    <w:rsid w:val="00F6787B"/>
    <w:rsid w:val="00F708B3"/>
    <w:rsid w:val="00F71D4C"/>
    <w:rsid w:val="00F72D70"/>
    <w:rsid w:val="00F76184"/>
    <w:rsid w:val="00F77D76"/>
    <w:rsid w:val="00F81512"/>
    <w:rsid w:val="00F81B8C"/>
    <w:rsid w:val="00F833DE"/>
    <w:rsid w:val="00F84082"/>
    <w:rsid w:val="00F84E34"/>
    <w:rsid w:val="00F85894"/>
    <w:rsid w:val="00F903E7"/>
    <w:rsid w:val="00F92908"/>
    <w:rsid w:val="00FA1B2D"/>
    <w:rsid w:val="00FA1E77"/>
    <w:rsid w:val="00FA3759"/>
    <w:rsid w:val="00FA4250"/>
    <w:rsid w:val="00FB61A4"/>
    <w:rsid w:val="00FB7D2A"/>
    <w:rsid w:val="00FC11D1"/>
    <w:rsid w:val="00FC276E"/>
    <w:rsid w:val="00FC4E0D"/>
    <w:rsid w:val="00FC5F39"/>
    <w:rsid w:val="00FC656D"/>
    <w:rsid w:val="00FC6B3A"/>
    <w:rsid w:val="00FD058D"/>
    <w:rsid w:val="00FD7803"/>
    <w:rsid w:val="00FE3D13"/>
    <w:rsid w:val="00FE4068"/>
    <w:rsid w:val="00FE4A51"/>
    <w:rsid w:val="00FE5281"/>
    <w:rsid w:val="00FF09F7"/>
    <w:rsid w:val="00FF3129"/>
    <w:rsid w:val="00FF37EC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16"/>
    <w:rPr>
      <w:sz w:val="24"/>
      <w:szCs w:val="24"/>
    </w:rPr>
  </w:style>
  <w:style w:type="paragraph" w:styleId="Heading2">
    <w:name w:val="heading 2"/>
    <w:basedOn w:val="Normal"/>
    <w:next w:val="Normal"/>
    <w:qFormat/>
    <w:rsid w:val="00B44CAC"/>
    <w:pPr>
      <w:keepNext/>
      <w:widowControl w:val="0"/>
      <w:outlineLvl w:val="1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B44CAC"/>
    <w:pPr>
      <w:keepNext/>
      <w:widowControl w:val="0"/>
      <w:outlineLvl w:val="3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6719"/>
    <w:pPr>
      <w:tabs>
        <w:tab w:val="center" w:pos="4153"/>
        <w:tab w:val="right" w:pos="8306"/>
      </w:tabs>
    </w:pPr>
  </w:style>
  <w:style w:type="paragraph" w:customStyle="1" w:styleId="eGBSStandardText">
    <w:name w:val="eGBS Standard Text"/>
    <w:basedOn w:val="Normal"/>
    <w:rsid w:val="000102B8"/>
    <w:pPr>
      <w:tabs>
        <w:tab w:val="left" w:pos="360"/>
        <w:tab w:val="left" w:pos="540"/>
      </w:tabs>
      <w:spacing w:after="240" w:line="280" w:lineRule="exact"/>
      <w:ind w:right="-79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CharChar1Char">
    <w:name w:val=" Char Char1 Char"/>
    <w:basedOn w:val="Normal"/>
    <w:rsid w:val="00010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Indent">
    <w:name w:val="Normal Indent"/>
    <w:basedOn w:val="Normal"/>
    <w:rsid w:val="00F903E7"/>
    <w:pPr>
      <w:spacing w:after="180"/>
      <w:ind w:left="709"/>
      <w:jc w:val="both"/>
    </w:pPr>
    <w:rPr>
      <w:szCs w:val="20"/>
    </w:rPr>
  </w:style>
  <w:style w:type="character" w:styleId="PageNumber">
    <w:name w:val="page number"/>
    <w:basedOn w:val="DefaultParagraphFont"/>
    <w:rsid w:val="00E2283F"/>
  </w:style>
  <w:style w:type="numbering" w:styleId="111111">
    <w:name w:val="Outline List 2"/>
    <w:basedOn w:val="NoList"/>
    <w:rsid w:val="00E2283F"/>
    <w:pPr>
      <w:numPr>
        <w:numId w:val="1"/>
      </w:numPr>
    </w:pPr>
  </w:style>
  <w:style w:type="character" w:styleId="CommentReference">
    <w:name w:val="annotation reference"/>
    <w:semiHidden/>
    <w:rsid w:val="002613BD"/>
    <w:rPr>
      <w:sz w:val="16"/>
      <w:szCs w:val="16"/>
    </w:rPr>
  </w:style>
  <w:style w:type="paragraph" w:styleId="CommentText">
    <w:name w:val="annotation text"/>
    <w:basedOn w:val="Normal"/>
    <w:semiHidden/>
    <w:rsid w:val="002613BD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1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3FFD"/>
    <w:pPr>
      <w:widowControl w:val="0"/>
      <w:shd w:val="clear" w:color="auto" w:fill="000080"/>
    </w:pPr>
    <w:rPr>
      <w:rFonts w:ascii="Tahoma" w:hAnsi="Tahoma"/>
      <w:szCs w:val="20"/>
      <w:lang w:eastAsia="en-US"/>
    </w:rPr>
  </w:style>
  <w:style w:type="paragraph" w:styleId="BodyText2">
    <w:name w:val="Body Text 2"/>
    <w:basedOn w:val="Normal"/>
    <w:rsid w:val="001A26AF"/>
    <w:pPr>
      <w:spacing w:after="120" w:line="480" w:lineRule="auto"/>
    </w:pPr>
    <w:rPr>
      <w:sz w:val="22"/>
      <w:szCs w:val="20"/>
    </w:rPr>
  </w:style>
  <w:style w:type="paragraph" w:customStyle="1" w:styleId="Reportheader2text">
    <w:name w:val="Report header 2 text"/>
    <w:autoRedefine/>
    <w:rsid w:val="00B44CAC"/>
    <w:pPr>
      <w:framePr w:hSpace="180" w:wrap="around" w:vAnchor="text" w:hAnchor="margin" w:xAlign="center" w:y="-59"/>
      <w:tabs>
        <w:tab w:val="right" w:pos="6379"/>
        <w:tab w:val="right" w:pos="8280"/>
      </w:tabs>
      <w:spacing w:after="60"/>
    </w:pPr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4D250E"/>
    <w:rPr>
      <w:b/>
      <w:bCs/>
      <w:lang w:eastAsia="en-GB"/>
    </w:rPr>
  </w:style>
  <w:style w:type="character" w:customStyle="1" w:styleId="HeaderChar">
    <w:name w:val="Header Char"/>
    <w:link w:val="Header"/>
    <w:semiHidden/>
    <w:locked/>
    <w:rsid w:val="00D85400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rsid w:val="00D50E7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663DD3"/>
    <w:rPr>
      <w:sz w:val="24"/>
      <w:szCs w:val="24"/>
    </w:rPr>
  </w:style>
  <w:style w:type="paragraph" w:customStyle="1" w:styleId="Default">
    <w:name w:val="Default"/>
    <w:rsid w:val="00B13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16"/>
    <w:rPr>
      <w:sz w:val="24"/>
      <w:szCs w:val="24"/>
    </w:rPr>
  </w:style>
  <w:style w:type="paragraph" w:styleId="Heading2">
    <w:name w:val="heading 2"/>
    <w:basedOn w:val="Normal"/>
    <w:next w:val="Normal"/>
    <w:qFormat/>
    <w:rsid w:val="00B44CAC"/>
    <w:pPr>
      <w:keepNext/>
      <w:widowControl w:val="0"/>
      <w:outlineLvl w:val="1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B44CAC"/>
    <w:pPr>
      <w:keepNext/>
      <w:widowControl w:val="0"/>
      <w:outlineLvl w:val="3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6719"/>
    <w:pPr>
      <w:tabs>
        <w:tab w:val="center" w:pos="4153"/>
        <w:tab w:val="right" w:pos="8306"/>
      </w:tabs>
    </w:pPr>
  </w:style>
  <w:style w:type="paragraph" w:customStyle="1" w:styleId="eGBSStandardText">
    <w:name w:val="eGBS Standard Text"/>
    <w:basedOn w:val="Normal"/>
    <w:rsid w:val="000102B8"/>
    <w:pPr>
      <w:tabs>
        <w:tab w:val="left" w:pos="360"/>
        <w:tab w:val="left" w:pos="540"/>
      </w:tabs>
      <w:spacing w:after="240" w:line="280" w:lineRule="exact"/>
      <w:ind w:right="-79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CharChar1Char">
    <w:name w:val=" Char Char1 Char"/>
    <w:basedOn w:val="Normal"/>
    <w:rsid w:val="00010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Indent">
    <w:name w:val="Normal Indent"/>
    <w:basedOn w:val="Normal"/>
    <w:rsid w:val="00F903E7"/>
    <w:pPr>
      <w:spacing w:after="180"/>
      <w:ind w:left="709"/>
      <w:jc w:val="both"/>
    </w:pPr>
    <w:rPr>
      <w:szCs w:val="20"/>
    </w:rPr>
  </w:style>
  <w:style w:type="character" w:styleId="PageNumber">
    <w:name w:val="page number"/>
    <w:basedOn w:val="DefaultParagraphFont"/>
    <w:rsid w:val="00E2283F"/>
  </w:style>
  <w:style w:type="numbering" w:styleId="111111">
    <w:name w:val="Outline List 2"/>
    <w:basedOn w:val="NoList"/>
    <w:rsid w:val="00E2283F"/>
    <w:pPr>
      <w:numPr>
        <w:numId w:val="1"/>
      </w:numPr>
    </w:pPr>
  </w:style>
  <w:style w:type="character" w:styleId="CommentReference">
    <w:name w:val="annotation reference"/>
    <w:semiHidden/>
    <w:rsid w:val="002613BD"/>
    <w:rPr>
      <w:sz w:val="16"/>
      <w:szCs w:val="16"/>
    </w:rPr>
  </w:style>
  <w:style w:type="paragraph" w:styleId="CommentText">
    <w:name w:val="annotation text"/>
    <w:basedOn w:val="Normal"/>
    <w:semiHidden/>
    <w:rsid w:val="002613BD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1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3FFD"/>
    <w:pPr>
      <w:widowControl w:val="0"/>
      <w:shd w:val="clear" w:color="auto" w:fill="000080"/>
    </w:pPr>
    <w:rPr>
      <w:rFonts w:ascii="Tahoma" w:hAnsi="Tahoma"/>
      <w:szCs w:val="20"/>
      <w:lang w:eastAsia="en-US"/>
    </w:rPr>
  </w:style>
  <w:style w:type="paragraph" w:styleId="BodyText2">
    <w:name w:val="Body Text 2"/>
    <w:basedOn w:val="Normal"/>
    <w:rsid w:val="001A26AF"/>
    <w:pPr>
      <w:spacing w:after="120" w:line="480" w:lineRule="auto"/>
    </w:pPr>
    <w:rPr>
      <w:sz w:val="22"/>
      <w:szCs w:val="20"/>
    </w:rPr>
  </w:style>
  <w:style w:type="paragraph" w:customStyle="1" w:styleId="Reportheader2text">
    <w:name w:val="Report header 2 text"/>
    <w:autoRedefine/>
    <w:rsid w:val="00B44CAC"/>
    <w:pPr>
      <w:framePr w:hSpace="180" w:wrap="around" w:vAnchor="text" w:hAnchor="margin" w:xAlign="center" w:y="-59"/>
      <w:tabs>
        <w:tab w:val="right" w:pos="6379"/>
        <w:tab w:val="right" w:pos="8280"/>
      </w:tabs>
      <w:spacing w:after="60"/>
    </w:pPr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4D250E"/>
    <w:rPr>
      <w:b/>
      <w:bCs/>
      <w:lang w:eastAsia="en-GB"/>
    </w:rPr>
  </w:style>
  <w:style w:type="character" w:customStyle="1" w:styleId="HeaderChar">
    <w:name w:val="Header Char"/>
    <w:link w:val="Header"/>
    <w:semiHidden/>
    <w:locked/>
    <w:rsid w:val="00D85400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rsid w:val="00D50E7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663DD3"/>
    <w:rPr>
      <w:sz w:val="24"/>
      <w:szCs w:val="24"/>
    </w:rPr>
  </w:style>
  <w:style w:type="paragraph" w:customStyle="1" w:styleId="Default">
    <w:name w:val="Default"/>
    <w:rsid w:val="00B13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2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010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342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EEEB-4B6B-4F25-9BA6-DF13E92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1479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County Council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Gursh Bains</dc:creator>
  <cp:lastModifiedBy>Bob Watson</cp:lastModifiedBy>
  <cp:revision>2</cp:revision>
  <cp:lastPrinted>2013-11-27T14:14:00Z</cp:lastPrinted>
  <dcterms:created xsi:type="dcterms:W3CDTF">2018-03-12T12:53:00Z</dcterms:created>
  <dcterms:modified xsi:type="dcterms:W3CDTF">2018-03-12T12:53:00Z</dcterms:modified>
</cp:coreProperties>
</file>