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15" w:rsidRDefault="003917F2" w:rsidP="003917F2">
      <w:pPr>
        <w:pStyle w:val="Heading2"/>
        <w:tabs>
          <w:tab w:val="clear" w:pos="1267"/>
          <w:tab w:val="left" w:pos="851"/>
        </w:tabs>
        <w:ind w:left="851" w:hanging="851"/>
        <w:rPr>
          <w:b/>
        </w:rPr>
      </w:pPr>
      <w:r>
        <w:rPr>
          <w:b/>
        </w:rPr>
        <w:t>10.</w:t>
      </w:r>
      <w:r>
        <w:rPr>
          <w:b/>
        </w:rPr>
        <w:tab/>
      </w:r>
      <w:bookmarkStart w:id="0" w:name="_GoBack"/>
      <w:r w:rsidR="00766D15" w:rsidRPr="00766D15">
        <w:rPr>
          <w:b/>
        </w:rPr>
        <w:t>18/0195/FUL</w:t>
      </w:r>
      <w:r w:rsidR="00766D15">
        <w:rPr>
          <w:b/>
        </w:rPr>
        <w:t xml:space="preserve"> - </w:t>
      </w:r>
      <w:r w:rsidR="00766D15" w:rsidRPr="00766D15">
        <w:rPr>
          <w:b/>
        </w:rPr>
        <w:t>Proposed two storey rear extension, single storey side extension and single storey front porch extension</w:t>
      </w:r>
      <w:r w:rsidR="00766D15">
        <w:rPr>
          <w:b/>
        </w:rPr>
        <w:t xml:space="preserve"> at 16 GONVILLE AVENUE, CROXLEY GREEN, WD3 3BY, for Mr Taylor</w:t>
      </w:r>
      <w:bookmarkEnd w:id="0"/>
    </w:p>
    <w:p w:rsidR="006A2B53" w:rsidRDefault="00907971" w:rsidP="00F266ED">
      <w:pPr>
        <w:tabs>
          <w:tab w:val="clear" w:pos="1260"/>
          <w:tab w:val="left" w:pos="851"/>
        </w:tabs>
      </w:pPr>
      <w:r>
        <w:tab/>
      </w:r>
      <w:r w:rsidR="00766D15" w:rsidRPr="0085253F">
        <w:t>(DCES)</w:t>
      </w:r>
    </w:p>
    <w:p w:rsidR="00907971" w:rsidRDefault="00907971" w:rsidP="00F266ED">
      <w:pPr>
        <w:tabs>
          <w:tab w:val="clear" w:pos="1260"/>
          <w:tab w:val="left" w:pos="851"/>
        </w:tabs>
      </w:pP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003"/>
      </w:tblGrid>
      <w:tr w:rsidR="006A2B53" w:rsidTr="00F266ED">
        <w:tc>
          <w:tcPr>
            <w:tcW w:w="4927" w:type="dxa"/>
          </w:tcPr>
          <w:p w:rsidR="006A2B53" w:rsidRDefault="006A2B53" w:rsidP="00F266ED">
            <w:pPr>
              <w:tabs>
                <w:tab w:val="clear" w:pos="1260"/>
                <w:tab w:val="left" w:pos="851"/>
              </w:tabs>
              <w:ind w:left="34"/>
            </w:pPr>
            <w:r>
              <w:t>Parish:</w:t>
            </w:r>
            <w:r w:rsidR="00B75C5A">
              <w:t xml:space="preserve"> </w:t>
            </w:r>
            <w:r w:rsidR="00B75C5A" w:rsidRPr="00B75C5A">
              <w:t>Croxley Green Parish Council</w:t>
            </w:r>
          </w:p>
        </w:tc>
        <w:tc>
          <w:tcPr>
            <w:tcW w:w="4003" w:type="dxa"/>
          </w:tcPr>
          <w:p w:rsidR="006A2B53" w:rsidRDefault="006A2B53" w:rsidP="00766D15">
            <w:pPr>
              <w:tabs>
                <w:tab w:val="clear" w:pos="1260"/>
                <w:tab w:val="left" w:pos="851"/>
              </w:tabs>
            </w:pPr>
            <w:r>
              <w:t>Ward:</w:t>
            </w:r>
            <w:r w:rsidR="00B75C5A">
              <w:t xml:space="preserve"> </w:t>
            </w:r>
            <w:proofErr w:type="spellStart"/>
            <w:r w:rsidR="00B75C5A" w:rsidRPr="00B75C5A">
              <w:t>Dickinsons</w:t>
            </w:r>
            <w:proofErr w:type="spellEnd"/>
          </w:p>
        </w:tc>
      </w:tr>
      <w:tr w:rsidR="006A2B53" w:rsidTr="00F266ED">
        <w:tc>
          <w:tcPr>
            <w:tcW w:w="4927" w:type="dxa"/>
          </w:tcPr>
          <w:p w:rsidR="006A2B53" w:rsidRDefault="006A2B53" w:rsidP="00F266ED">
            <w:pPr>
              <w:tabs>
                <w:tab w:val="clear" w:pos="1260"/>
                <w:tab w:val="left" w:pos="851"/>
              </w:tabs>
              <w:ind w:left="34"/>
            </w:pPr>
            <w:r>
              <w:t>Expiry of Statutory Period:</w:t>
            </w:r>
            <w:r w:rsidR="00B75C5A">
              <w:t xml:space="preserve"> </w:t>
            </w:r>
            <w:r w:rsidR="00B75C5A" w:rsidRPr="00B75C5A">
              <w:t>23.03.2018</w:t>
            </w:r>
          </w:p>
        </w:tc>
        <w:tc>
          <w:tcPr>
            <w:tcW w:w="4003" w:type="dxa"/>
          </w:tcPr>
          <w:p w:rsidR="006A2B53" w:rsidRDefault="006A2B53" w:rsidP="00F266ED">
            <w:pPr>
              <w:tabs>
                <w:tab w:val="clear" w:pos="1260"/>
                <w:tab w:val="left" w:pos="851"/>
              </w:tabs>
            </w:pPr>
            <w:r>
              <w:t>Case Officer:</w:t>
            </w:r>
            <w:r w:rsidR="00095549">
              <w:t xml:space="preserve"> David Heighton</w:t>
            </w:r>
          </w:p>
        </w:tc>
      </w:tr>
    </w:tbl>
    <w:p w:rsidR="002D5054" w:rsidRDefault="002D5054" w:rsidP="00E955CC">
      <w:pPr>
        <w:tabs>
          <w:tab w:val="clear" w:pos="1260"/>
          <w:tab w:val="clear" w:pos="1980"/>
          <w:tab w:val="clear" w:pos="2700"/>
          <w:tab w:val="clear" w:pos="3420"/>
          <w:tab w:val="left" w:pos="851"/>
        </w:tabs>
      </w:pPr>
    </w:p>
    <w:p w:rsidR="002D5054" w:rsidRDefault="002D5054" w:rsidP="00E955CC">
      <w:pPr>
        <w:pStyle w:val="Heading1"/>
        <w:tabs>
          <w:tab w:val="clear" w:pos="1267"/>
          <w:tab w:val="clear" w:pos="1987"/>
          <w:tab w:val="clear" w:pos="2707"/>
          <w:tab w:val="clear" w:pos="3420"/>
          <w:tab w:val="left" w:pos="851"/>
        </w:tabs>
        <w:ind w:left="851"/>
      </w:pPr>
      <w:r>
        <w:t>Recommendation: That Planning Pe</w:t>
      </w:r>
      <w:r w:rsidR="00DB3E12">
        <w:t>rmission be granted</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1"/>
        <w:tabs>
          <w:tab w:val="clear" w:pos="1267"/>
          <w:tab w:val="clear" w:pos="1987"/>
          <w:tab w:val="clear" w:pos="2707"/>
          <w:tab w:val="clear" w:pos="3420"/>
          <w:tab w:val="clear" w:pos="3672"/>
          <w:tab w:val="left" w:pos="851"/>
        </w:tabs>
      </w:pPr>
      <w:r>
        <w:tab/>
        <w:t>Reason for consideration by the Committee:</w:t>
      </w:r>
      <w:r w:rsidR="00D56A25">
        <w:t xml:space="preserve"> Member of Council staff </w:t>
      </w:r>
      <w:r w:rsidR="00766D15">
        <w:t xml:space="preserve">lives </w:t>
      </w:r>
      <w:r w:rsidR="00D56A25">
        <w:t xml:space="preserve">adjacent  </w:t>
      </w:r>
    </w:p>
    <w:p w:rsidR="002D5054" w:rsidRDefault="002D5054" w:rsidP="00E955CC">
      <w:pPr>
        <w:tabs>
          <w:tab w:val="clear" w:pos="1260"/>
          <w:tab w:val="clear" w:pos="1980"/>
          <w:tab w:val="clear" w:pos="2700"/>
          <w:tab w:val="clear" w:pos="3420"/>
          <w:tab w:val="left" w:pos="851"/>
        </w:tabs>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1.</w:t>
      </w:r>
      <w:r w:rsidRPr="006A2B53">
        <w:rPr>
          <w:b/>
        </w:rPr>
        <w:tab/>
        <w:t>Relevant Planning History</w:t>
      </w:r>
    </w:p>
    <w:p w:rsidR="00895905" w:rsidRDefault="00895905" w:rsidP="00E955CC">
      <w:pPr>
        <w:tabs>
          <w:tab w:val="clear" w:pos="1260"/>
          <w:tab w:val="clear" w:pos="1980"/>
          <w:tab w:val="clear" w:pos="2700"/>
          <w:tab w:val="clear" w:pos="3420"/>
          <w:tab w:val="left" w:pos="851"/>
        </w:tabs>
      </w:pPr>
    </w:p>
    <w:p w:rsidR="00895905" w:rsidRDefault="00895905" w:rsidP="00E955CC">
      <w:pPr>
        <w:tabs>
          <w:tab w:val="clear" w:pos="1260"/>
          <w:tab w:val="clear" w:pos="1980"/>
          <w:tab w:val="clear" w:pos="2700"/>
          <w:tab w:val="clear" w:pos="3420"/>
          <w:tab w:val="left" w:pos="851"/>
        </w:tabs>
      </w:pPr>
      <w:r>
        <w:t>1.1</w:t>
      </w:r>
      <w:r>
        <w:tab/>
      </w:r>
      <w:r w:rsidR="00907971">
        <w:t>Not applicable.</w:t>
      </w:r>
    </w:p>
    <w:p w:rsidR="00E12C7B" w:rsidRDefault="002D5054" w:rsidP="00E955CC">
      <w:pPr>
        <w:tabs>
          <w:tab w:val="clear" w:pos="1260"/>
          <w:tab w:val="clear" w:pos="1980"/>
          <w:tab w:val="clear" w:pos="2700"/>
          <w:tab w:val="clear" w:pos="3420"/>
          <w:tab w:val="left" w:pos="851"/>
        </w:tabs>
      </w:pPr>
      <w:r>
        <w:tab/>
      </w: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2.</w:t>
      </w:r>
      <w:r w:rsidRPr="006A2B53">
        <w:rPr>
          <w:b/>
        </w:rPr>
        <w:tab/>
        <w:t>Description of Application Site</w:t>
      </w:r>
    </w:p>
    <w:p w:rsidR="002D5054" w:rsidRDefault="002D5054" w:rsidP="00E955CC">
      <w:pPr>
        <w:tabs>
          <w:tab w:val="clear" w:pos="1260"/>
          <w:tab w:val="clear" w:pos="1980"/>
          <w:tab w:val="clear" w:pos="2700"/>
          <w:tab w:val="clear" w:pos="3420"/>
          <w:tab w:val="left" w:pos="851"/>
        </w:tabs>
      </w:pPr>
    </w:p>
    <w:p w:rsidR="00895905" w:rsidRDefault="00895905" w:rsidP="00686A85">
      <w:pPr>
        <w:tabs>
          <w:tab w:val="clear" w:pos="1260"/>
          <w:tab w:val="clear" w:pos="1980"/>
          <w:tab w:val="clear" w:pos="2700"/>
          <w:tab w:val="clear" w:pos="3420"/>
          <w:tab w:val="left" w:pos="851"/>
        </w:tabs>
        <w:ind w:left="840" w:hanging="840"/>
      </w:pPr>
      <w:r>
        <w:t>2.1</w:t>
      </w:r>
      <w:r>
        <w:tab/>
      </w:r>
      <w:r w:rsidR="00686A85" w:rsidRPr="00686A85">
        <w:t xml:space="preserve">The application site is located on </w:t>
      </w:r>
      <w:proofErr w:type="spellStart"/>
      <w:r w:rsidR="00686A85" w:rsidRPr="00686A85">
        <w:t>Gonville</w:t>
      </w:r>
      <w:proofErr w:type="spellEnd"/>
      <w:r w:rsidR="00686A85" w:rsidRPr="00686A85">
        <w:t xml:space="preserve"> Avenue, Croxley Green.  </w:t>
      </w:r>
      <w:proofErr w:type="spellStart"/>
      <w:r w:rsidR="00686A85" w:rsidRPr="00686A85">
        <w:t>Gonville</w:t>
      </w:r>
      <w:proofErr w:type="spellEnd"/>
      <w:r w:rsidR="00686A85" w:rsidRPr="00686A85">
        <w:t xml:space="preserve"> Avenue is a </w:t>
      </w:r>
      <w:r w:rsidR="00686A85">
        <w:t xml:space="preserve">  </w:t>
      </w:r>
      <w:r w:rsidR="00686A85" w:rsidRPr="00686A85">
        <w:t>residential street located off Watford Road that is characterised by a mixture of semi-detached and terrace prop</w:t>
      </w:r>
      <w:r w:rsidR="00395621">
        <w:t xml:space="preserve">erties of a traditional design, </w:t>
      </w:r>
      <w:r w:rsidR="00395621" w:rsidRPr="00395621">
        <w:t xml:space="preserve">many of which have been extended and altered. </w:t>
      </w:r>
      <w:r w:rsidR="00686A85" w:rsidRPr="00686A85">
        <w:t xml:space="preserve"> </w:t>
      </w:r>
      <w:proofErr w:type="spellStart"/>
      <w:r w:rsidR="00686A85" w:rsidRPr="00686A85">
        <w:t>Gonville</w:t>
      </w:r>
      <w:proofErr w:type="spellEnd"/>
      <w:r w:rsidR="00686A85" w:rsidRPr="00686A85">
        <w:t xml:space="preserve"> Avenue is within walking distance of Croxley Green Tube Station.</w:t>
      </w:r>
    </w:p>
    <w:p w:rsidR="006A2B53" w:rsidRDefault="006A2B53" w:rsidP="00E955CC">
      <w:pPr>
        <w:tabs>
          <w:tab w:val="clear" w:pos="1260"/>
          <w:tab w:val="clear" w:pos="1980"/>
          <w:tab w:val="clear" w:pos="2700"/>
          <w:tab w:val="clear" w:pos="3420"/>
          <w:tab w:val="left" w:pos="851"/>
        </w:tabs>
      </w:pPr>
    </w:p>
    <w:p w:rsidR="00BA4887" w:rsidRDefault="006A2B53" w:rsidP="00BA4887">
      <w:pPr>
        <w:tabs>
          <w:tab w:val="clear" w:pos="1260"/>
          <w:tab w:val="clear" w:pos="1980"/>
          <w:tab w:val="clear" w:pos="2700"/>
          <w:tab w:val="clear" w:pos="3420"/>
          <w:tab w:val="left" w:pos="851"/>
        </w:tabs>
        <w:ind w:left="840" w:hanging="840"/>
        <w:rPr>
          <w:b/>
        </w:rPr>
      </w:pPr>
      <w:r>
        <w:t>2.2</w:t>
      </w:r>
      <w:r>
        <w:tab/>
      </w:r>
      <w:r w:rsidR="00BA4887">
        <w:tab/>
      </w:r>
      <w:r w:rsidR="00BA4887" w:rsidRPr="00713D0F">
        <w:t xml:space="preserve">The application site is currently occupied by a two-storey </w:t>
      </w:r>
      <w:r w:rsidR="00E164CE" w:rsidRPr="00713D0F">
        <w:t>semi-detached property</w:t>
      </w:r>
      <w:r w:rsidR="008E08A1">
        <w:t xml:space="preserve"> </w:t>
      </w:r>
      <w:r w:rsidR="008E08A1" w:rsidRPr="008E08A1">
        <w:t xml:space="preserve">finished in red brick to the frontage and </w:t>
      </w:r>
      <w:r w:rsidR="008E08A1">
        <w:t>beige</w:t>
      </w:r>
      <w:r w:rsidR="008E08A1" w:rsidRPr="008E08A1">
        <w:t xml:space="preserve"> render to the </w:t>
      </w:r>
      <w:r w:rsidR="008E08A1">
        <w:t>northern flank and rear elevations</w:t>
      </w:r>
      <w:r w:rsidR="00E164CE" w:rsidRPr="00713D0F">
        <w:t>.  The property</w:t>
      </w:r>
      <w:r w:rsidR="00BA4887" w:rsidRPr="00713D0F">
        <w:t xml:space="preserve"> </w:t>
      </w:r>
      <w:r w:rsidR="00E164CE" w:rsidRPr="00713D0F">
        <w:t xml:space="preserve">is </w:t>
      </w:r>
      <w:r w:rsidR="00713D0F" w:rsidRPr="00713D0F">
        <w:t>located on a bend in the road, it</w:t>
      </w:r>
      <w:r w:rsidR="00E164CE" w:rsidRPr="00713D0F">
        <w:t xml:space="preserve"> is set back</w:t>
      </w:r>
      <w:r w:rsidR="0053684C">
        <w:t xml:space="preserve"> approximately 15</w:t>
      </w:r>
      <w:r w:rsidR="0053684C" w:rsidRPr="0053684C">
        <w:t>m</w:t>
      </w:r>
      <w:r w:rsidR="00E164CE" w:rsidRPr="00713D0F">
        <w:t xml:space="preserve"> from the road</w:t>
      </w:r>
      <w:r w:rsidR="00713D0F" w:rsidRPr="00713D0F">
        <w:t xml:space="preserve"> </w:t>
      </w:r>
      <w:r w:rsidR="00BA4887" w:rsidRPr="00713D0F">
        <w:t>at an ang</w:t>
      </w:r>
      <w:r w:rsidR="00E164CE" w:rsidRPr="00713D0F">
        <w:t xml:space="preserve">le of approximately </w:t>
      </w:r>
      <w:r w:rsidR="00713D0F" w:rsidRPr="00713D0F">
        <w:t>60</w:t>
      </w:r>
      <w:r w:rsidR="00E164CE" w:rsidRPr="00713D0F">
        <w:t xml:space="preserve"> degrees </w:t>
      </w:r>
      <w:r w:rsidR="00713D0F" w:rsidRPr="00713D0F">
        <w:t xml:space="preserve">and </w:t>
      </w:r>
      <w:r w:rsidR="008E08A1">
        <w:t>therefore</w:t>
      </w:r>
      <w:r w:rsidR="0053684C">
        <w:t xml:space="preserve"> is</w:t>
      </w:r>
      <w:r w:rsidR="008E08A1">
        <w:t xml:space="preserve"> also</w:t>
      </w:r>
      <w:r w:rsidR="00BA4887" w:rsidRPr="00713D0F">
        <w:t xml:space="preserve"> set forward of the </w:t>
      </w:r>
      <w:r w:rsidR="00713D0F" w:rsidRPr="00713D0F">
        <w:t xml:space="preserve">adjacent semi-detached </w:t>
      </w:r>
      <w:r w:rsidR="00BA4887" w:rsidRPr="00713D0F">
        <w:t>dwelling</w:t>
      </w:r>
      <w:r w:rsidR="00713D0F" w:rsidRPr="00713D0F">
        <w:t xml:space="preserve"> at No.18.</w:t>
      </w:r>
    </w:p>
    <w:p w:rsidR="00E164CE" w:rsidRPr="007E04A9" w:rsidRDefault="00E164CE" w:rsidP="00BA4887">
      <w:pPr>
        <w:tabs>
          <w:tab w:val="clear" w:pos="1260"/>
          <w:tab w:val="clear" w:pos="1980"/>
          <w:tab w:val="clear" w:pos="2700"/>
          <w:tab w:val="clear" w:pos="3420"/>
          <w:tab w:val="left" w:pos="851"/>
        </w:tabs>
        <w:ind w:left="840" w:hanging="840"/>
      </w:pPr>
    </w:p>
    <w:p w:rsidR="00BA4887" w:rsidRPr="007E04A9" w:rsidRDefault="00BA4887" w:rsidP="007E04A9">
      <w:pPr>
        <w:tabs>
          <w:tab w:val="clear" w:pos="1260"/>
          <w:tab w:val="clear" w:pos="1980"/>
          <w:tab w:val="clear" w:pos="2700"/>
          <w:tab w:val="clear" w:pos="3420"/>
          <w:tab w:val="left" w:pos="851"/>
        </w:tabs>
        <w:ind w:left="840" w:hanging="840"/>
      </w:pPr>
      <w:r w:rsidRPr="007E04A9">
        <w:t>2.3</w:t>
      </w:r>
      <w:r w:rsidRPr="007E04A9">
        <w:tab/>
      </w:r>
      <w:r w:rsidR="007E04A9" w:rsidRPr="007E04A9">
        <w:t xml:space="preserve">Between the property and the road there is an area of lawn with a hedge to the front boundary. There is also a garage and a </w:t>
      </w:r>
      <w:r w:rsidRPr="007E04A9">
        <w:t xml:space="preserve">driveway </w:t>
      </w:r>
      <w:r w:rsidR="007E04A9" w:rsidRPr="007E04A9">
        <w:t xml:space="preserve">to the northern boundary, </w:t>
      </w:r>
      <w:r w:rsidRPr="007E04A9">
        <w:t>whi</w:t>
      </w:r>
      <w:r w:rsidR="007E04A9" w:rsidRPr="007E04A9">
        <w:t xml:space="preserve">ch can </w:t>
      </w:r>
      <w:r w:rsidR="007E04A9" w:rsidRPr="00315DED">
        <w:t xml:space="preserve">accommodate 3 vehicles. </w:t>
      </w:r>
      <w:r w:rsidR="00DE482D" w:rsidRPr="00315DED">
        <w:t>To the rear of the dwelling</w:t>
      </w:r>
      <w:r w:rsidR="00B3686E" w:rsidRPr="00315DED">
        <w:t xml:space="preserve"> is a garden of approximately </w:t>
      </w:r>
      <w:r w:rsidR="00315DED" w:rsidRPr="00315DED">
        <w:t>85</w:t>
      </w:r>
      <w:r w:rsidR="00DE482D" w:rsidRPr="00315DED">
        <w:t>sqm. Close boarded fencing boundary treatment encloses the rear amenity space provision.</w:t>
      </w:r>
    </w:p>
    <w:p w:rsidR="00BA4887" w:rsidRPr="00BA4887" w:rsidRDefault="00BA4887" w:rsidP="00BA4887">
      <w:pPr>
        <w:tabs>
          <w:tab w:val="clear" w:pos="1260"/>
          <w:tab w:val="clear" w:pos="1980"/>
          <w:tab w:val="clear" w:pos="2700"/>
          <w:tab w:val="clear" w:pos="3420"/>
          <w:tab w:val="left" w:pos="851"/>
        </w:tabs>
        <w:ind w:left="840" w:hanging="840"/>
        <w:rPr>
          <w:b/>
        </w:rPr>
      </w:pPr>
    </w:p>
    <w:p w:rsidR="00BA4887" w:rsidRPr="00F03B08" w:rsidRDefault="00BA4887" w:rsidP="00BA4887">
      <w:pPr>
        <w:tabs>
          <w:tab w:val="clear" w:pos="1260"/>
          <w:tab w:val="clear" w:pos="1980"/>
          <w:tab w:val="clear" w:pos="2700"/>
          <w:tab w:val="clear" w:pos="3420"/>
          <w:tab w:val="left" w:pos="851"/>
        </w:tabs>
        <w:ind w:left="840" w:hanging="840"/>
      </w:pPr>
      <w:r w:rsidRPr="00F03B08">
        <w:t>2.4</w:t>
      </w:r>
      <w:r w:rsidRPr="00F03B08">
        <w:tab/>
      </w:r>
      <w:r w:rsidR="00B3686E" w:rsidRPr="00F03B08">
        <w:t xml:space="preserve">The adjoining neighbour to the </w:t>
      </w:r>
      <w:r w:rsidR="00766D15">
        <w:t>s</w:t>
      </w:r>
      <w:r w:rsidR="00766D15" w:rsidRPr="00F03B08">
        <w:t>outh</w:t>
      </w:r>
      <w:r w:rsidR="00B3686E" w:rsidRPr="00F03B08">
        <w:t xml:space="preserve">, </w:t>
      </w:r>
      <w:r w:rsidR="00766D15">
        <w:t>No.</w:t>
      </w:r>
      <w:r w:rsidR="00B3686E" w:rsidRPr="00F03B08">
        <w:t xml:space="preserve">18 </w:t>
      </w:r>
      <w:proofErr w:type="spellStart"/>
      <w:r w:rsidR="00B3686E" w:rsidRPr="00F03B08">
        <w:t>Gonville</w:t>
      </w:r>
      <w:proofErr w:type="spellEnd"/>
      <w:r w:rsidR="00B3686E" w:rsidRPr="00F03B08">
        <w:t xml:space="preserve"> Avenue is set on the same land level but set further back at along a 60 degree angle building line from the host dwelling. This neighbour has </w:t>
      </w:r>
      <w:r w:rsidR="00B8010D" w:rsidRPr="00F03B08">
        <w:t>had a first floor side and rear extension</w:t>
      </w:r>
      <w:r w:rsidR="00B3686E" w:rsidRPr="00F03B08">
        <w:t xml:space="preserve"> to the rear</w:t>
      </w:r>
      <w:r w:rsidR="00B8010D" w:rsidRPr="00F03B08">
        <w:t xml:space="preserve"> and southern flank</w:t>
      </w:r>
      <w:r w:rsidR="00B3686E" w:rsidRPr="00F03B08">
        <w:t>. The neighbour to</w:t>
      </w:r>
      <w:r w:rsidR="00B8010D" w:rsidRPr="00F03B08">
        <w:t xml:space="preserve"> the </w:t>
      </w:r>
      <w:r w:rsidR="00766D15">
        <w:t>n</w:t>
      </w:r>
      <w:r w:rsidR="00766D15" w:rsidRPr="00F03B08">
        <w:t>orth</w:t>
      </w:r>
      <w:r w:rsidR="00B3686E" w:rsidRPr="00F03B08">
        <w:t xml:space="preserve">, </w:t>
      </w:r>
      <w:r w:rsidR="00766D15">
        <w:t>No.</w:t>
      </w:r>
      <w:r w:rsidR="00B3686E" w:rsidRPr="00F03B08">
        <w:t>1</w:t>
      </w:r>
      <w:r w:rsidR="00B8010D" w:rsidRPr="00F03B08">
        <w:t>4</w:t>
      </w:r>
      <w:r w:rsidR="00B3686E" w:rsidRPr="00F03B08">
        <w:t xml:space="preserve"> </w:t>
      </w:r>
      <w:proofErr w:type="spellStart"/>
      <w:r w:rsidR="00B3686E" w:rsidRPr="00F03B08">
        <w:t>Gonville</w:t>
      </w:r>
      <w:proofErr w:type="spellEnd"/>
      <w:r w:rsidR="00B3686E" w:rsidRPr="00F03B08">
        <w:t xml:space="preserve"> Ave</w:t>
      </w:r>
      <w:r w:rsidR="00F03B08" w:rsidRPr="00F03B08">
        <w:t>nue, is set in approximately 2.8m</w:t>
      </w:r>
      <w:r w:rsidR="00B3686E" w:rsidRPr="00F03B08">
        <w:t xml:space="preserve"> from the shared boundary with the application site.</w:t>
      </w:r>
    </w:p>
    <w:p w:rsidR="00895905" w:rsidRDefault="00895905" w:rsidP="00E955CC">
      <w:pPr>
        <w:tabs>
          <w:tab w:val="clear" w:pos="1260"/>
          <w:tab w:val="clear" w:pos="1980"/>
          <w:tab w:val="clear" w:pos="2700"/>
          <w:tab w:val="clear" w:pos="3420"/>
          <w:tab w:val="left" w:pos="851"/>
        </w:tabs>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3.</w:t>
      </w:r>
      <w:r w:rsidRPr="006A2B53">
        <w:rPr>
          <w:b/>
        </w:rPr>
        <w:tab/>
        <w:t>Description of Proposed Development</w:t>
      </w:r>
    </w:p>
    <w:p w:rsidR="002D5054" w:rsidRDefault="002D5054" w:rsidP="00E955CC">
      <w:pPr>
        <w:tabs>
          <w:tab w:val="clear" w:pos="1260"/>
          <w:tab w:val="clear" w:pos="1980"/>
          <w:tab w:val="clear" w:pos="2700"/>
          <w:tab w:val="clear" w:pos="3420"/>
          <w:tab w:val="left" w:pos="851"/>
        </w:tabs>
      </w:pPr>
      <w:r>
        <w:tab/>
      </w:r>
    </w:p>
    <w:p w:rsidR="00895905" w:rsidRPr="0058125E" w:rsidRDefault="00895905" w:rsidP="00AB5CB8">
      <w:pPr>
        <w:tabs>
          <w:tab w:val="clear" w:pos="1260"/>
          <w:tab w:val="clear" w:pos="1980"/>
          <w:tab w:val="clear" w:pos="2700"/>
          <w:tab w:val="clear" w:pos="3420"/>
          <w:tab w:val="left" w:pos="851"/>
        </w:tabs>
        <w:ind w:left="851" w:hanging="851"/>
      </w:pPr>
      <w:r w:rsidRPr="0058125E">
        <w:t>3.1</w:t>
      </w:r>
      <w:r w:rsidRPr="0058125E">
        <w:tab/>
      </w:r>
      <w:r w:rsidR="0058125E" w:rsidRPr="0058125E">
        <w:t>The applicant is seeking full planning p</w:t>
      </w:r>
      <w:r w:rsidR="0058125E">
        <w:t xml:space="preserve">ermission for a two storey rear extension, single storey side </w:t>
      </w:r>
      <w:r w:rsidR="0058125E" w:rsidRPr="0058125E">
        <w:t>extension and front porch extension.</w:t>
      </w:r>
    </w:p>
    <w:p w:rsidR="006A2B53" w:rsidRPr="001A07B4" w:rsidRDefault="006A2B53" w:rsidP="00E955CC">
      <w:pPr>
        <w:tabs>
          <w:tab w:val="clear" w:pos="1260"/>
          <w:tab w:val="clear" w:pos="1980"/>
          <w:tab w:val="clear" w:pos="2700"/>
          <w:tab w:val="clear" w:pos="3420"/>
          <w:tab w:val="left" w:pos="851"/>
        </w:tabs>
        <w:rPr>
          <w:highlight w:val="yellow"/>
        </w:rPr>
      </w:pPr>
    </w:p>
    <w:p w:rsidR="00DE4D59" w:rsidRPr="00A100A2" w:rsidRDefault="00DE4D59" w:rsidP="00AB5CB8">
      <w:pPr>
        <w:tabs>
          <w:tab w:val="clear" w:pos="1260"/>
          <w:tab w:val="clear" w:pos="1980"/>
          <w:tab w:val="clear" w:pos="2700"/>
          <w:tab w:val="clear" w:pos="3420"/>
          <w:tab w:val="left" w:pos="851"/>
        </w:tabs>
        <w:ind w:left="851" w:hanging="851"/>
      </w:pPr>
      <w:r w:rsidRPr="00A100A2">
        <w:t>3.2</w:t>
      </w:r>
      <w:r w:rsidRPr="00A100A2">
        <w:tab/>
        <w:t xml:space="preserve">The proposed </w:t>
      </w:r>
      <w:r w:rsidR="008B5ACB" w:rsidRPr="00A100A2">
        <w:t xml:space="preserve">single </w:t>
      </w:r>
      <w:r w:rsidRPr="00A100A2">
        <w:t>storey side ex</w:t>
      </w:r>
      <w:r w:rsidR="00200C55" w:rsidRPr="00A100A2">
        <w:t>tension would have a width of 3</w:t>
      </w:r>
      <w:r w:rsidRPr="00A100A2">
        <w:t>.</w:t>
      </w:r>
      <w:r w:rsidR="00200C55" w:rsidRPr="00A100A2">
        <w:t>8</w:t>
      </w:r>
      <w:r w:rsidRPr="00A100A2">
        <w:t>m from the</w:t>
      </w:r>
      <w:r w:rsidR="00200C55" w:rsidRPr="00A100A2">
        <w:t xml:space="preserve"> front </w:t>
      </w:r>
      <w:r w:rsidRPr="00A100A2">
        <w:t xml:space="preserve">flank wall of the existing dwelling and would extend </w:t>
      </w:r>
      <w:r w:rsidR="008B5ACB" w:rsidRPr="00A100A2">
        <w:t xml:space="preserve">back further than the existing dwelling to a depth of </w:t>
      </w:r>
      <w:r w:rsidR="00200C55" w:rsidRPr="00A100A2">
        <w:t xml:space="preserve">7.6m. </w:t>
      </w:r>
      <w:r w:rsidRPr="00A100A2">
        <w:t>The extension w</w:t>
      </w:r>
      <w:r w:rsidR="008B5ACB" w:rsidRPr="00A100A2">
        <w:t>ould be located 1</w:t>
      </w:r>
      <w:r w:rsidRPr="00A100A2">
        <w:t>m fro</w:t>
      </w:r>
      <w:r w:rsidR="008B5ACB" w:rsidRPr="00A100A2">
        <w:t>m the boundary with No.14</w:t>
      </w:r>
      <w:r w:rsidRPr="00A100A2">
        <w:t xml:space="preserve">. </w:t>
      </w:r>
      <w:r w:rsidR="008B5ACB" w:rsidRPr="00A100A2">
        <w:t>The</w:t>
      </w:r>
      <w:r w:rsidRPr="00A100A2">
        <w:t xml:space="preserve"> roof form would be hipped.</w:t>
      </w:r>
    </w:p>
    <w:p w:rsidR="00DE4D59" w:rsidRDefault="00DE4D59" w:rsidP="00DE4D59">
      <w:pPr>
        <w:tabs>
          <w:tab w:val="clear" w:pos="1260"/>
          <w:tab w:val="clear" w:pos="1980"/>
          <w:tab w:val="clear" w:pos="2700"/>
          <w:tab w:val="clear" w:pos="3420"/>
          <w:tab w:val="left" w:pos="851"/>
        </w:tabs>
      </w:pPr>
    </w:p>
    <w:p w:rsidR="00D25734" w:rsidRPr="00A100A2" w:rsidRDefault="00DE4D59" w:rsidP="00DE4D59">
      <w:pPr>
        <w:tabs>
          <w:tab w:val="clear" w:pos="1260"/>
          <w:tab w:val="clear" w:pos="1980"/>
          <w:tab w:val="clear" w:pos="2700"/>
          <w:tab w:val="clear" w:pos="3420"/>
          <w:tab w:val="left" w:pos="851"/>
        </w:tabs>
        <w:ind w:left="851" w:hanging="851"/>
      </w:pPr>
      <w:r w:rsidRPr="00A100A2">
        <w:t>3.3</w:t>
      </w:r>
      <w:r w:rsidRPr="00A100A2">
        <w:tab/>
        <w:t xml:space="preserve">A </w:t>
      </w:r>
      <w:r w:rsidR="008B5ACB" w:rsidRPr="00A100A2">
        <w:t>two</w:t>
      </w:r>
      <w:r w:rsidRPr="00A100A2">
        <w:t xml:space="preserve"> storey rear extension is propos</w:t>
      </w:r>
      <w:r w:rsidR="008B5ACB" w:rsidRPr="00A100A2">
        <w:t xml:space="preserve">ed. This would have a depth of </w:t>
      </w:r>
      <w:r w:rsidRPr="00A100A2">
        <w:t>3</w:t>
      </w:r>
      <w:r w:rsidR="008B5ACB" w:rsidRPr="00A100A2">
        <w:t>.5</w:t>
      </w:r>
      <w:r w:rsidRPr="00A100A2">
        <w:t xml:space="preserve">m </w:t>
      </w:r>
      <w:r w:rsidR="00EF1F33" w:rsidRPr="00A100A2">
        <w:t xml:space="preserve">and </w:t>
      </w:r>
      <w:r w:rsidRPr="00A100A2">
        <w:t>would h</w:t>
      </w:r>
      <w:r w:rsidR="00A100A2" w:rsidRPr="00A100A2">
        <w:t xml:space="preserve">ave a width of </w:t>
      </w:r>
      <w:r w:rsidR="008B5ACB" w:rsidRPr="00A100A2">
        <w:t>8.9</w:t>
      </w:r>
      <w:r w:rsidRPr="00A100A2">
        <w:t>m</w:t>
      </w:r>
      <w:r w:rsidR="00766D15">
        <w:t xml:space="preserve"> at ground floor level and width of 6m at first floor level where it would be set a minimum o</w:t>
      </w:r>
      <w:r w:rsidR="00907971">
        <w:t>f 3m from the boundary with No.</w:t>
      </w:r>
      <w:r w:rsidR="00766D15">
        <w:t>18</w:t>
      </w:r>
      <w:r w:rsidRPr="00A100A2">
        <w:t xml:space="preserve">. The extension would have </w:t>
      </w:r>
      <w:r w:rsidR="005865C0" w:rsidRPr="00A100A2">
        <w:t>an</w:t>
      </w:r>
      <w:r w:rsidRPr="00A100A2">
        <w:t xml:space="preserve"> </w:t>
      </w:r>
      <w:r w:rsidR="00A100A2" w:rsidRPr="00A100A2">
        <w:t>M Shaped</w:t>
      </w:r>
      <w:r w:rsidRPr="00A100A2">
        <w:t xml:space="preserve"> roof form with a </w:t>
      </w:r>
      <w:r w:rsidR="00A100A2" w:rsidRPr="00A100A2">
        <w:t>maximum height of 6.4</w:t>
      </w:r>
      <w:r w:rsidRPr="00A100A2">
        <w:t>m.</w:t>
      </w:r>
      <w:r w:rsidR="00766D15">
        <w:t xml:space="preserve">  The single</w:t>
      </w:r>
      <w:r w:rsidR="00907971">
        <w:t xml:space="preserve"> storey element adjacent to No.</w:t>
      </w:r>
      <w:r w:rsidR="00766D15">
        <w:t>18 would have a sloping roof with a maximum height of 3.5m.</w:t>
      </w:r>
    </w:p>
    <w:p w:rsidR="00DE4D59" w:rsidRDefault="00DE4D59" w:rsidP="00DE4D59">
      <w:pPr>
        <w:tabs>
          <w:tab w:val="clear" w:pos="1260"/>
          <w:tab w:val="clear" w:pos="1980"/>
          <w:tab w:val="clear" w:pos="2700"/>
          <w:tab w:val="clear" w:pos="3420"/>
          <w:tab w:val="left" w:pos="851"/>
        </w:tabs>
      </w:pPr>
    </w:p>
    <w:p w:rsidR="00D25734" w:rsidRDefault="00D25734" w:rsidP="00D25734">
      <w:pPr>
        <w:tabs>
          <w:tab w:val="clear" w:pos="1260"/>
          <w:tab w:val="clear" w:pos="1980"/>
          <w:tab w:val="clear" w:pos="2700"/>
          <w:tab w:val="clear" w:pos="3420"/>
          <w:tab w:val="left" w:pos="851"/>
        </w:tabs>
        <w:ind w:left="851" w:hanging="851"/>
      </w:pPr>
      <w:r>
        <w:lastRenderedPageBreak/>
        <w:t>3.4</w:t>
      </w:r>
      <w:r>
        <w:tab/>
      </w:r>
      <w:r w:rsidRPr="00D25734">
        <w:t>To the front, a porch is proposed</w:t>
      </w:r>
      <w:r w:rsidR="00CC2290">
        <w:t>. This would have a width of 2.7</w:t>
      </w:r>
      <w:r w:rsidRPr="00D25734">
        <w:t>m and a depth of 1</w:t>
      </w:r>
      <w:r w:rsidR="00CC2290">
        <w:t>.95</w:t>
      </w:r>
      <w:r w:rsidRPr="00D25734">
        <w:t>m. It would have a mono pitched roof form with a height of 3</w:t>
      </w:r>
      <w:r w:rsidR="00941550">
        <w:t>.5</w:t>
      </w:r>
      <w:r w:rsidRPr="00D25734">
        <w:t>m.</w:t>
      </w:r>
    </w:p>
    <w:p w:rsidR="009001CF" w:rsidRDefault="009001CF" w:rsidP="00E955CC">
      <w:pPr>
        <w:tabs>
          <w:tab w:val="clear" w:pos="1260"/>
          <w:tab w:val="clear" w:pos="1980"/>
          <w:tab w:val="clear" w:pos="2700"/>
          <w:tab w:val="clear" w:pos="3420"/>
          <w:tab w:val="left" w:pos="851"/>
        </w:tabs>
      </w:pPr>
    </w:p>
    <w:p w:rsidR="009001CF" w:rsidRPr="00A100A2" w:rsidRDefault="009001CF" w:rsidP="009001CF">
      <w:pPr>
        <w:tabs>
          <w:tab w:val="clear" w:pos="1260"/>
          <w:tab w:val="clear" w:pos="1980"/>
          <w:tab w:val="clear" w:pos="2700"/>
          <w:tab w:val="clear" w:pos="3420"/>
          <w:tab w:val="left" w:pos="851"/>
        </w:tabs>
        <w:ind w:left="851" w:hanging="851"/>
        <w:rPr>
          <w:u w:val="single"/>
        </w:rPr>
      </w:pPr>
      <w:r w:rsidRPr="00A100A2">
        <w:t>3.5</w:t>
      </w:r>
      <w:r w:rsidRPr="00A100A2">
        <w:tab/>
        <w:t>Amended plans were sought during the application to re</w:t>
      </w:r>
      <w:r w:rsidR="00A100A2" w:rsidRPr="00A100A2">
        <w:t>move the first floor level side extension</w:t>
      </w:r>
      <w:r w:rsidR="000146AC">
        <w:t xml:space="preserve"> including the proposed ground floor side extension window</w:t>
      </w:r>
      <w:r w:rsidR="00A100A2" w:rsidRPr="00A100A2">
        <w:t xml:space="preserve"> and reduce the projection of the side extension to the front</w:t>
      </w:r>
      <w:r w:rsidRPr="00A100A2">
        <w:t>.</w:t>
      </w:r>
      <w:r w:rsidR="00766D15">
        <w:t xml:space="preserve">  The proposal as amended is of greater depth at two-storey level to the rear and therefore neighbours have been re-consulted.</w:t>
      </w:r>
    </w:p>
    <w:p w:rsidR="00895905" w:rsidRDefault="00895905" w:rsidP="00E955CC">
      <w:pPr>
        <w:tabs>
          <w:tab w:val="clear" w:pos="1260"/>
          <w:tab w:val="clear" w:pos="1980"/>
          <w:tab w:val="clear" w:pos="2700"/>
          <w:tab w:val="clear" w:pos="3420"/>
          <w:tab w:val="left" w:pos="851"/>
        </w:tabs>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4.</w:t>
      </w:r>
      <w:r w:rsidRPr="006A2B53">
        <w:rPr>
          <w:b/>
        </w:rPr>
        <w:tab/>
        <w:t>Consultation</w:t>
      </w:r>
    </w:p>
    <w:p w:rsidR="002D5054" w:rsidRDefault="002D5054" w:rsidP="00E955CC">
      <w:pPr>
        <w:tabs>
          <w:tab w:val="clear" w:pos="1260"/>
          <w:tab w:val="clear" w:pos="1980"/>
          <w:tab w:val="clear" w:pos="2700"/>
          <w:tab w:val="clear" w:pos="3420"/>
          <w:tab w:val="left" w:pos="851"/>
        </w:tabs>
      </w:pPr>
    </w:p>
    <w:p w:rsidR="002D5054" w:rsidRPr="006A2B53" w:rsidRDefault="002D5054" w:rsidP="00E955CC">
      <w:pPr>
        <w:pStyle w:val="Heading2"/>
        <w:tabs>
          <w:tab w:val="clear" w:pos="1267"/>
          <w:tab w:val="clear" w:pos="1987"/>
          <w:tab w:val="clear" w:pos="2707"/>
          <w:tab w:val="clear" w:pos="3420"/>
          <w:tab w:val="clear" w:pos="3672"/>
          <w:tab w:val="left" w:pos="851"/>
        </w:tabs>
        <w:rPr>
          <w:b/>
        </w:rPr>
      </w:pPr>
      <w:r w:rsidRPr="006A2B53">
        <w:rPr>
          <w:b/>
        </w:rPr>
        <w:t>4.1</w:t>
      </w:r>
      <w:r w:rsidRPr="006A2B53">
        <w:rPr>
          <w:b/>
        </w:rPr>
        <w:tab/>
        <w:t>Statutory Consultation</w:t>
      </w:r>
    </w:p>
    <w:p w:rsidR="002D5054" w:rsidRDefault="002D5054" w:rsidP="00E955CC">
      <w:pPr>
        <w:tabs>
          <w:tab w:val="clear" w:pos="1260"/>
          <w:tab w:val="clear" w:pos="1980"/>
          <w:tab w:val="clear" w:pos="2700"/>
          <w:tab w:val="clear" w:pos="3420"/>
          <w:tab w:val="left" w:pos="851"/>
        </w:tabs>
      </w:pPr>
    </w:p>
    <w:p w:rsidR="002D5054" w:rsidRPr="001A2E5F" w:rsidRDefault="002D5054" w:rsidP="00873B51">
      <w:pPr>
        <w:pStyle w:val="Heading3"/>
        <w:tabs>
          <w:tab w:val="clear" w:pos="1267"/>
          <w:tab w:val="clear" w:pos="1987"/>
          <w:tab w:val="clear" w:pos="2707"/>
          <w:tab w:val="clear" w:pos="3420"/>
          <w:tab w:val="clear" w:pos="3672"/>
          <w:tab w:val="left" w:pos="851"/>
        </w:tabs>
      </w:pPr>
      <w:r>
        <w:t>4.1.1</w:t>
      </w:r>
      <w:r>
        <w:tab/>
      </w:r>
      <w:r w:rsidR="00CC584B">
        <w:rPr>
          <w:u w:val="single"/>
        </w:rPr>
        <w:t xml:space="preserve">Croxley Green </w:t>
      </w:r>
      <w:r w:rsidRPr="006A2B53">
        <w:rPr>
          <w:u w:val="single"/>
        </w:rPr>
        <w:t>Parish Council</w:t>
      </w:r>
      <w:r w:rsidR="001A2E5F">
        <w:t>: No grounds for objection.</w:t>
      </w:r>
    </w:p>
    <w:p w:rsidR="00895905" w:rsidRDefault="00895905" w:rsidP="00E955CC">
      <w:pPr>
        <w:tabs>
          <w:tab w:val="clear" w:pos="1260"/>
          <w:tab w:val="clear" w:pos="1980"/>
          <w:tab w:val="clear" w:pos="2700"/>
          <w:tab w:val="clear" w:pos="3420"/>
          <w:tab w:val="left" w:pos="851"/>
        </w:tabs>
      </w:pPr>
    </w:p>
    <w:p w:rsidR="002D5054" w:rsidRPr="0085253F" w:rsidRDefault="002D5054" w:rsidP="00E955CC">
      <w:pPr>
        <w:pStyle w:val="Heading3"/>
        <w:tabs>
          <w:tab w:val="clear" w:pos="1267"/>
          <w:tab w:val="clear" w:pos="1987"/>
          <w:tab w:val="clear" w:pos="2707"/>
          <w:tab w:val="clear" w:pos="3420"/>
          <w:tab w:val="clear" w:pos="3672"/>
          <w:tab w:val="left" w:pos="851"/>
        </w:tabs>
      </w:pPr>
      <w:r>
        <w:t>4.1.2</w:t>
      </w:r>
      <w:r>
        <w:tab/>
      </w:r>
      <w:r w:rsidRPr="00F266ED">
        <w:rPr>
          <w:u w:val="single"/>
        </w:rPr>
        <w:t>National Grid</w:t>
      </w:r>
      <w:r w:rsidR="001A2E5F">
        <w:t>: No comments received.</w:t>
      </w:r>
    </w:p>
    <w:p w:rsidR="006A2B53" w:rsidRDefault="006A2B53" w:rsidP="00E955CC">
      <w:pPr>
        <w:tabs>
          <w:tab w:val="clear" w:pos="1260"/>
          <w:tab w:val="clear" w:pos="1980"/>
          <w:tab w:val="clear" w:pos="2700"/>
          <w:tab w:val="clear" w:pos="3420"/>
          <w:tab w:val="left" w:pos="851"/>
        </w:tabs>
      </w:pPr>
    </w:p>
    <w:p w:rsidR="002D5054" w:rsidRPr="006A2B53" w:rsidRDefault="002D5054" w:rsidP="00F266ED">
      <w:pPr>
        <w:pStyle w:val="Heading2"/>
        <w:tabs>
          <w:tab w:val="clear" w:pos="1267"/>
          <w:tab w:val="left" w:pos="851"/>
        </w:tabs>
        <w:rPr>
          <w:b/>
        </w:rPr>
      </w:pPr>
      <w:r w:rsidRPr="006A2B53">
        <w:rPr>
          <w:b/>
        </w:rPr>
        <w:t>4.2</w:t>
      </w:r>
      <w:r w:rsidRPr="006A2B53">
        <w:rPr>
          <w:b/>
        </w:rPr>
        <w:tab/>
        <w:t>Public/Neighbour Consultation</w:t>
      </w:r>
    </w:p>
    <w:p w:rsidR="002D5054" w:rsidRDefault="002D5054" w:rsidP="00F266ED">
      <w:pPr>
        <w:tabs>
          <w:tab w:val="clear" w:pos="1260"/>
          <w:tab w:val="left" w:pos="851"/>
        </w:tabs>
      </w:pPr>
    </w:p>
    <w:p w:rsidR="001A2E5F" w:rsidRDefault="002D5054" w:rsidP="00F266ED">
      <w:pPr>
        <w:pStyle w:val="Heading3"/>
        <w:tabs>
          <w:tab w:val="clear" w:pos="1267"/>
          <w:tab w:val="left" w:pos="851"/>
        </w:tabs>
      </w:pPr>
      <w:r>
        <w:t>4.2.1</w:t>
      </w:r>
      <w:r>
        <w:tab/>
        <w:t>Number consulted:</w:t>
      </w:r>
      <w:r>
        <w:tab/>
      </w:r>
      <w:r w:rsidR="002359D3">
        <w:t xml:space="preserve">  7</w:t>
      </w:r>
    </w:p>
    <w:p w:rsidR="001A2E5F" w:rsidRDefault="001A2E5F" w:rsidP="0085253F"/>
    <w:p w:rsidR="002D5054" w:rsidRDefault="001A2E5F" w:rsidP="0085253F">
      <w:pPr>
        <w:pStyle w:val="Heading3"/>
        <w:tabs>
          <w:tab w:val="clear" w:pos="1267"/>
          <w:tab w:val="left" w:pos="851"/>
        </w:tabs>
        <w:ind w:left="851" w:hanging="851"/>
      </w:pPr>
      <w:r>
        <w:t>4.2.2</w:t>
      </w:r>
      <w:r>
        <w:tab/>
      </w:r>
      <w:r w:rsidR="002D5054">
        <w:t xml:space="preserve">No responses received: </w:t>
      </w:r>
      <w:r w:rsidR="002359D3">
        <w:t xml:space="preserve"> 0</w:t>
      </w:r>
      <w:r>
        <w:t xml:space="preserve"> at time of writing, however, neighbours have been re-notified in relation to amended plans.</w:t>
      </w:r>
    </w:p>
    <w:p w:rsidR="002D5054" w:rsidRPr="002D5054" w:rsidRDefault="002D5054" w:rsidP="00F266ED">
      <w:pPr>
        <w:tabs>
          <w:tab w:val="clear" w:pos="1260"/>
          <w:tab w:val="left" w:pos="851"/>
        </w:tabs>
      </w:pPr>
    </w:p>
    <w:p w:rsidR="002D5054" w:rsidRDefault="006A2B53" w:rsidP="00F266ED">
      <w:pPr>
        <w:pStyle w:val="Heading3"/>
        <w:tabs>
          <w:tab w:val="clear" w:pos="1267"/>
          <w:tab w:val="left" w:pos="851"/>
        </w:tabs>
      </w:pPr>
      <w:r>
        <w:t>4.2.</w:t>
      </w:r>
      <w:r w:rsidR="001A2E5F">
        <w:t>3</w:t>
      </w:r>
      <w:r>
        <w:tab/>
        <w:t>Site Notice:</w:t>
      </w:r>
      <w:r w:rsidR="002D5054">
        <w:tab/>
      </w:r>
      <w:r w:rsidR="00CC7D73">
        <w:t xml:space="preserve"> N/A</w:t>
      </w:r>
      <w:r w:rsidR="002D5054">
        <w:tab/>
      </w:r>
      <w:r w:rsidR="002D5054">
        <w:tab/>
        <w:t xml:space="preserve">Press notice: </w:t>
      </w:r>
      <w:r w:rsidR="002359D3">
        <w:t>N/A</w:t>
      </w:r>
    </w:p>
    <w:p w:rsidR="002D5054" w:rsidRPr="002D5054" w:rsidRDefault="002D5054" w:rsidP="00F266ED">
      <w:pPr>
        <w:tabs>
          <w:tab w:val="clear" w:pos="1260"/>
          <w:tab w:val="left" w:pos="851"/>
        </w:tabs>
      </w:pPr>
    </w:p>
    <w:p w:rsidR="006A2B53" w:rsidRDefault="002D5054" w:rsidP="00907971">
      <w:pPr>
        <w:pStyle w:val="Heading3"/>
        <w:tabs>
          <w:tab w:val="clear" w:pos="1267"/>
          <w:tab w:val="left" w:pos="851"/>
        </w:tabs>
      </w:pPr>
      <w:r>
        <w:t>4.2.</w:t>
      </w:r>
      <w:r w:rsidR="001A2E5F">
        <w:t>4</w:t>
      </w:r>
      <w:r>
        <w:tab/>
        <w:t>Summary of Responses</w:t>
      </w:r>
      <w:r w:rsidR="00D3555B">
        <w:t>:</w:t>
      </w:r>
      <w:r w:rsidR="002359D3">
        <w:t xml:space="preserve"> </w:t>
      </w:r>
      <w:r w:rsidR="00907971">
        <w:t>Not applicable.</w:t>
      </w:r>
    </w:p>
    <w:p w:rsidR="00907971" w:rsidRPr="00907971" w:rsidRDefault="00907971" w:rsidP="00907971"/>
    <w:p w:rsidR="002D5054" w:rsidRPr="006A2B53" w:rsidRDefault="002D5054" w:rsidP="00F266ED">
      <w:pPr>
        <w:pStyle w:val="Heading1"/>
        <w:tabs>
          <w:tab w:val="clear" w:pos="1267"/>
          <w:tab w:val="left" w:pos="851"/>
        </w:tabs>
        <w:rPr>
          <w:b/>
        </w:rPr>
      </w:pPr>
      <w:r w:rsidRPr="006A2B53">
        <w:rPr>
          <w:b/>
        </w:rPr>
        <w:t>5.</w:t>
      </w:r>
      <w:r w:rsidRPr="006A2B53">
        <w:rPr>
          <w:b/>
        </w:rPr>
        <w:tab/>
        <w:t>Reason for Delay</w:t>
      </w:r>
    </w:p>
    <w:p w:rsidR="002D5054" w:rsidRDefault="002D5054" w:rsidP="00F266ED">
      <w:pPr>
        <w:tabs>
          <w:tab w:val="clear" w:pos="1260"/>
          <w:tab w:val="left" w:pos="851"/>
        </w:tabs>
      </w:pPr>
    </w:p>
    <w:p w:rsidR="00895905" w:rsidRDefault="00895905" w:rsidP="00F266ED">
      <w:pPr>
        <w:tabs>
          <w:tab w:val="clear" w:pos="1260"/>
          <w:tab w:val="left" w:pos="851"/>
        </w:tabs>
      </w:pPr>
      <w:r>
        <w:t>5.1</w:t>
      </w:r>
      <w:r>
        <w:tab/>
      </w:r>
      <w:r w:rsidR="00907971">
        <w:t>Not applicable.</w:t>
      </w:r>
    </w:p>
    <w:p w:rsidR="00E12C7B" w:rsidRDefault="00E12C7B" w:rsidP="00F266ED">
      <w:pPr>
        <w:tabs>
          <w:tab w:val="clear" w:pos="1260"/>
          <w:tab w:val="left" w:pos="851"/>
        </w:tabs>
      </w:pPr>
    </w:p>
    <w:p w:rsidR="002D5054" w:rsidRPr="006A2B53" w:rsidRDefault="002D5054" w:rsidP="00F266ED">
      <w:pPr>
        <w:pStyle w:val="Heading1"/>
        <w:tabs>
          <w:tab w:val="clear" w:pos="1267"/>
          <w:tab w:val="left" w:pos="851"/>
        </w:tabs>
        <w:rPr>
          <w:b/>
        </w:rPr>
      </w:pPr>
      <w:r w:rsidRPr="006A2B53">
        <w:rPr>
          <w:b/>
        </w:rPr>
        <w:t>6.</w:t>
      </w:r>
      <w:r w:rsidRPr="006A2B53">
        <w:rPr>
          <w:b/>
        </w:rPr>
        <w:tab/>
        <w:t>Relevant Planning Policy, Guidance and Legislation</w:t>
      </w:r>
    </w:p>
    <w:p w:rsidR="002D5054" w:rsidRDefault="002D5054" w:rsidP="00F266ED">
      <w:pPr>
        <w:tabs>
          <w:tab w:val="clear" w:pos="1260"/>
          <w:tab w:val="left" w:pos="851"/>
        </w:tabs>
      </w:pPr>
    </w:p>
    <w:p w:rsidR="002D5054" w:rsidRPr="00FA7DA3" w:rsidRDefault="002D5054" w:rsidP="00E955CC">
      <w:pPr>
        <w:pStyle w:val="Heading2"/>
        <w:tabs>
          <w:tab w:val="clear" w:pos="1267"/>
          <w:tab w:val="clear" w:pos="1987"/>
          <w:tab w:val="clear" w:pos="2707"/>
          <w:tab w:val="clear" w:pos="3420"/>
          <w:tab w:val="clear" w:pos="3672"/>
          <w:tab w:val="left" w:pos="851"/>
        </w:tabs>
        <w:ind w:left="851" w:hanging="851"/>
      </w:pPr>
      <w:r w:rsidRPr="00FA7DA3">
        <w:t>6.1</w:t>
      </w:r>
      <w:r w:rsidRPr="00FA7DA3">
        <w:tab/>
      </w:r>
      <w:r w:rsidRPr="006A2B53">
        <w:rPr>
          <w:u w:val="single"/>
        </w:rPr>
        <w:t xml:space="preserve">National Planning Policy Framework </w:t>
      </w:r>
      <w:r w:rsidR="00895905" w:rsidRPr="006A2B53">
        <w:rPr>
          <w:u w:val="single"/>
        </w:rPr>
        <w:t>and National Planning Practice Guidance</w:t>
      </w:r>
    </w:p>
    <w:p w:rsidR="00895905" w:rsidRDefault="00895905" w:rsidP="00E955CC">
      <w:pPr>
        <w:tabs>
          <w:tab w:val="clear" w:pos="1260"/>
          <w:tab w:val="clear" w:pos="1980"/>
          <w:tab w:val="clear" w:pos="2700"/>
          <w:tab w:val="clear" w:pos="3420"/>
          <w:tab w:val="left" w:pos="851"/>
        </w:tabs>
      </w:pPr>
    </w:p>
    <w:p w:rsidR="00895905" w:rsidRDefault="00895905" w:rsidP="00E955CC">
      <w:pPr>
        <w:tabs>
          <w:tab w:val="clear" w:pos="1260"/>
          <w:tab w:val="clear" w:pos="1980"/>
          <w:tab w:val="clear" w:pos="2700"/>
          <w:tab w:val="clear" w:pos="3420"/>
          <w:tab w:val="left" w:pos="851"/>
        </w:tabs>
        <w:ind w:left="851"/>
      </w:pPr>
      <w:r w:rsidRPr="00895905">
        <w:t>On 27 March 2012, the framework of government guidance in the form of Planning Policy Statements and Planning Policy Guidance Notes was replaced by the National Planning Policy Framework (NPPF)</w:t>
      </w:r>
      <w:r w:rsidR="00D3555B">
        <w:t xml:space="preserve"> and the National Planning Practice Guidance (NPPG)</w:t>
      </w:r>
      <w:r w:rsidRPr="00895905">
        <w:t>.</w:t>
      </w:r>
      <w:r w:rsidR="00D3555B">
        <w:t xml:space="preserve">  </w:t>
      </w:r>
      <w:r w:rsidR="00D3555B" w:rsidRPr="00D3555B">
        <w:t>The determination of planning applications is made mindful of Central Government advice and the Local Plan for the area. It is recognised that Local Planning Authorities must determine applications in accordance with the statutory Development Plan, unless material considerations indicate otherwise, and that the planning system does not exist to protect the private interests of one person against another</w:t>
      </w:r>
      <w:r w:rsidR="00D3555B">
        <w:t>.</w:t>
      </w:r>
    </w:p>
    <w:p w:rsidR="00D3555B" w:rsidRDefault="00D3555B" w:rsidP="00E955CC">
      <w:pPr>
        <w:tabs>
          <w:tab w:val="clear" w:pos="1260"/>
          <w:tab w:val="clear" w:pos="1980"/>
          <w:tab w:val="clear" w:pos="2700"/>
          <w:tab w:val="clear" w:pos="3420"/>
          <w:tab w:val="left" w:pos="851"/>
        </w:tabs>
        <w:ind w:left="1276"/>
      </w:pPr>
    </w:p>
    <w:p w:rsidR="00D3555B" w:rsidRPr="00895905" w:rsidRDefault="00D3555B" w:rsidP="00E955CC">
      <w:pPr>
        <w:tabs>
          <w:tab w:val="clear" w:pos="1260"/>
          <w:tab w:val="clear" w:pos="1980"/>
          <w:tab w:val="clear" w:pos="2700"/>
          <w:tab w:val="clear" w:pos="3420"/>
          <w:tab w:val="left" w:pos="851"/>
        </w:tabs>
        <w:ind w:left="851"/>
      </w:pPr>
      <w:r w:rsidRPr="00D3555B">
        <w:t>The NPPF states that 'good design is a key aspect of sustainable development, is indivisible from good planning, and should contribute positively to making places better for people'. The NPPF retains a presumption in favour of sustainable development. This applies unless any adverse impacts of a development would 'significantly and demonstrably' outweigh the benefits.</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6.2</w:t>
      </w:r>
      <w:r>
        <w:tab/>
      </w:r>
      <w:r w:rsidRPr="006A2B53">
        <w:rPr>
          <w:u w:val="single"/>
        </w:rPr>
        <w:t>The Three Rivers Local Plan</w:t>
      </w:r>
      <w:r>
        <w:t xml:space="preserve"> </w:t>
      </w:r>
    </w:p>
    <w:p w:rsidR="002D5054" w:rsidRDefault="002D5054" w:rsidP="00E955CC">
      <w:pPr>
        <w:tabs>
          <w:tab w:val="clear" w:pos="1260"/>
          <w:tab w:val="clear" w:pos="1980"/>
          <w:tab w:val="clear" w:pos="2700"/>
          <w:tab w:val="clear" w:pos="3420"/>
          <w:tab w:val="left" w:pos="851"/>
        </w:tabs>
      </w:pPr>
    </w:p>
    <w:p w:rsidR="00FA7DA3" w:rsidRDefault="00FA7DA3" w:rsidP="00E955CC">
      <w:pPr>
        <w:tabs>
          <w:tab w:val="clear" w:pos="1260"/>
          <w:tab w:val="clear" w:pos="1980"/>
          <w:tab w:val="clear" w:pos="2700"/>
          <w:tab w:val="clear" w:pos="3420"/>
          <w:tab w:val="left" w:pos="851"/>
        </w:tabs>
        <w:ind w:left="851"/>
      </w:pPr>
      <w:r w:rsidRPr="00FA7DA3">
        <w:t>The application has been considered against the policies of the</w:t>
      </w:r>
      <w:r>
        <w:t xml:space="preserve"> Local Plan, including the</w:t>
      </w:r>
      <w:r w:rsidRPr="00FA7DA3">
        <w:t xml:space="preserv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FA7DA3" w:rsidRDefault="00FA7DA3" w:rsidP="00E955CC">
      <w:pPr>
        <w:tabs>
          <w:tab w:val="clear" w:pos="1260"/>
          <w:tab w:val="clear" w:pos="1980"/>
          <w:tab w:val="clear" w:pos="2700"/>
          <w:tab w:val="clear" w:pos="3420"/>
          <w:tab w:val="left" w:pos="851"/>
        </w:tabs>
      </w:pPr>
    </w:p>
    <w:p w:rsidR="00FA7DA3" w:rsidRDefault="00FA7DA3" w:rsidP="00E955CC">
      <w:pPr>
        <w:tabs>
          <w:tab w:val="clear" w:pos="1260"/>
          <w:tab w:val="clear" w:pos="1980"/>
          <w:tab w:val="clear" w:pos="2700"/>
          <w:tab w:val="clear" w:pos="3420"/>
          <w:tab w:val="left" w:pos="851"/>
        </w:tabs>
        <w:ind w:left="851"/>
      </w:pPr>
      <w:r w:rsidRPr="007475C3">
        <w:t>The Core Strategy was adopted on 17 October 2011 having been through a full public participation process and Examination in Public. Relev</w:t>
      </w:r>
      <w:r w:rsidR="007475C3" w:rsidRPr="007475C3">
        <w:t xml:space="preserve">ant policies include Policies CP1, </w:t>
      </w:r>
      <w:r w:rsidRPr="007475C3">
        <w:t>CP9, CP10 and CP12.</w:t>
      </w:r>
    </w:p>
    <w:p w:rsidR="00FA7DA3" w:rsidRDefault="00FA7DA3" w:rsidP="00E955CC">
      <w:pPr>
        <w:tabs>
          <w:tab w:val="clear" w:pos="1260"/>
          <w:tab w:val="clear" w:pos="1980"/>
          <w:tab w:val="clear" w:pos="2700"/>
          <w:tab w:val="clear" w:pos="3420"/>
          <w:tab w:val="left" w:pos="851"/>
        </w:tabs>
        <w:ind w:left="1276"/>
      </w:pPr>
    </w:p>
    <w:p w:rsidR="00FA7DA3" w:rsidRDefault="00FA7DA3" w:rsidP="00E955CC">
      <w:pPr>
        <w:tabs>
          <w:tab w:val="clear" w:pos="1260"/>
          <w:tab w:val="clear" w:pos="1980"/>
          <w:tab w:val="clear" w:pos="2700"/>
          <w:tab w:val="clear" w:pos="3420"/>
          <w:tab w:val="left" w:pos="851"/>
        </w:tabs>
        <w:ind w:left="851"/>
      </w:pPr>
      <w:r>
        <w:t>The Development Management Policies Local Development Document (</w:t>
      </w:r>
      <w:r w:rsidR="00144857">
        <w:t>DM</w:t>
      </w:r>
      <w:r>
        <w:t xml:space="preserve">LDD) was adopted on 26 July 2013 after the Inspector concluded that it was sound following Examination in Public which took place in </w:t>
      </w:r>
      <w:r w:rsidRPr="00700A92">
        <w:t xml:space="preserve">March 2013. Relevant policies include </w:t>
      </w:r>
      <w:r w:rsidR="009C4809" w:rsidRPr="00700A92">
        <w:t xml:space="preserve">DM1, DM6, </w:t>
      </w:r>
      <w:r w:rsidRPr="00700A92">
        <w:t>DM13 and Appendices 2 and 5.</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6.</w:t>
      </w:r>
      <w:r w:rsidR="00FA7DA3">
        <w:t>3</w:t>
      </w:r>
      <w:r>
        <w:tab/>
      </w:r>
      <w:r w:rsidRPr="006A2B53">
        <w:rPr>
          <w:u w:val="single"/>
        </w:rPr>
        <w:t>Other</w:t>
      </w:r>
    </w:p>
    <w:p w:rsidR="00C1732F" w:rsidRDefault="00C1732F" w:rsidP="00D367E1">
      <w:pPr>
        <w:widowControl w:val="0"/>
        <w:tabs>
          <w:tab w:val="clear" w:pos="1260"/>
          <w:tab w:val="clear" w:pos="1980"/>
          <w:tab w:val="clear" w:pos="2700"/>
          <w:tab w:val="clear" w:pos="3420"/>
          <w:tab w:val="left" w:pos="851"/>
        </w:tabs>
        <w:rPr>
          <w:rFonts w:cs="Arial"/>
        </w:rPr>
      </w:pPr>
    </w:p>
    <w:p w:rsidR="00C1732F" w:rsidRDefault="00FA7DA3" w:rsidP="00AD234F">
      <w:pPr>
        <w:widowControl w:val="0"/>
        <w:tabs>
          <w:tab w:val="clear" w:pos="1260"/>
          <w:tab w:val="clear" w:pos="1980"/>
          <w:tab w:val="clear" w:pos="2700"/>
          <w:tab w:val="clear" w:pos="3420"/>
          <w:tab w:val="left" w:pos="851"/>
        </w:tabs>
        <w:ind w:left="851"/>
        <w:rPr>
          <w:rFonts w:cs="Arial"/>
        </w:rPr>
      </w:pPr>
      <w:r w:rsidRPr="003C0E95">
        <w:rPr>
          <w:rFonts w:cs="Arial"/>
        </w:rPr>
        <w:t>The Localism Act received Royal Assent on 15 November 2011. The growth and Infrastructure Act achieved Royal Assent on 25 April 2013.</w:t>
      </w:r>
    </w:p>
    <w:p w:rsidR="00C1732F" w:rsidRDefault="00C1732F" w:rsidP="00E955CC">
      <w:pPr>
        <w:widowControl w:val="0"/>
        <w:tabs>
          <w:tab w:val="clear" w:pos="1260"/>
          <w:tab w:val="clear" w:pos="1980"/>
          <w:tab w:val="clear" w:pos="2700"/>
          <w:tab w:val="clear" w:pos="3420"/>
          <w:tab w:val="left" w:pos="851"/>
        </w:tabs>
        <w:ind w:left="851" w:firstLine="16"/>
        <w:rPr>
          <w:rFonts w:cs="Arial"/>
        </w:rPr>
      </w:pPr>
    </w:p>
    <w:p w:rsidR="00FA7DA3" w:rsidRPr="003C0E95"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 xml:space="preserve">The Wildlife and Countryside Act 1981 (as amended), the Conservation of Habitats and Species Regulations 2010, the </w:t>
      </w:r>
      <w:r w:rsidRPr="003C0E95">
        <w:rPr>
          <w:rFonts w:cs="Arial"/>
          <w:lang w:val="en-US"/>
        </w:rPr>
        <w:t>Natural Environment and Rural Communities Act 2006 and the Habitat Regulations 1994</w:t>
      </w:r>
      <w:r w:rsidRPr="003C0E95">
        <w:rPr>
          <w:rFonts w:cs="Arial"/>
        </w:rPr>
        <w:t xml:space="preserve"> may also be relevant.</w:t>
      </w:r>
    </w:p>
    <w:p w:rsidR="00FA7DA3" w:rsidRDefault="00FA7DA3" w:rsidP="00E955CC">
      <w:pPr>
        <w:tabs>
          <w:tab w:val="clear" w:pos="1260"/>
          <w:tab w:val="clear" w:pos="1980"/>
          <w:tab w:val="clear" w:pos="2700"/>
          <w:tab w:val="clear" w:pos="3420"/>
          <w:tab w:val="left" w:pos="851"/>
        </w:tabs>
      </w:pPr>
    </w:p>
    <w:p w:rsidR="005930D8" w:rsidRPr="00883020" w:rsidRDefault="002D5054" w:rsidP="00883020">
      <w:pPr>
        <w:pStyle w:val="Heading1"/>
        <w:tabs>
          <w:tab w:val="clear" w:pos="1267"/>
          <w:tab w:val="left" w:pos="851"/>
        </w:tabs>
        <w:rPr>
          <w:b/>
        </w:rPr>
      </w:pPr>
      <w:r w:rsidRPr="006A2B53">
        <w:rPr>
          <w:b/>
        </w:rPr>
        <w:t>7.</w:t>
      </w:r>
      <w:r w:rsidRPr="006A2B53">
        <w:rPr>
          <w:b/>
        </w:rPr>
        <w:tab/>
        <w:t>Planning Analysis</w:t>
      </w:r>
    </w:p>
    <w:p w:rsidR="00F266ED" w:rsidRDefault="00F266ED" w:rsidP="00F266ED">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883020">
        <w:t>1</w:t>
      </w:r>
      <w:r>
        <w:tab/>
      </w:r>
      <w:r w:rsidRPr="00B010A7">
        <w:rPr>
          <w:u w:val="single"/>
        </w:rPr>
        <w:t>Impact on Character and Street Scene</w:t>
      </w:r>
      <w:r>
        <w:t xml:space="preserve"> </w:t>
      </w:r>
    </w:p>
    <w:p w:rsidR="002D5054" w:rsidRDefault="002D5054" w:rsidP="00E955CC">
      <w:pPr>
        <w:tabs>
          <w:tab w:val="clear" w:pos="1260"/>
          <w:tab w:val="clear" w:pos="1980"/>
          <w:tab w:val="clear" w:pos="2700"/>
          <w:tab w:val="clear" w:pos="3420"/>
          <w:tab w:val="left" w:pos="851"/>
        </w:tabs>
      </w:pPr>
    </w:p>
    <w:p w:rsidR="00F266ED" w:rsidRDefault="00883020" w:rsidP="00E955CC">
      <w:pPr>
        <w:tabs>
          <w:tab w:val="clear" w:pos="1260"/>
          <w:tab w:val="clear" w:pos="1980"/>
          <w:tab w:val="clear" w:pos="2700"/>
          <w:tab w:val="clear" w:pos="3420"/>
          <w:tab w:val="left" w:pos="851"/>
        </w:tabs>
        <w:ind w:left="851" w:hanging="851"/>
      </w:pPr>
      <w:r>
        <w:t>7.1.1</w:t>
      </w:r>
      <w:r w:rsidR="00F266ED">
        <w:tab/>
        <w:t>Policy CP1 of the Core Strategy (adopted October 2011) seeks to promote buildings of a high enduring design quality that respect local distinctiveness and Policy CP12 of the Core Strategy (adopted October 2011) relates to design and states that in seeking a high standard of design the Council will expect development proposals to 'have regard to the local context and conserve or enhance the character, amenities and quality of an area'.  Development should make efficient use of land but should also respect the 'distinctiveness of the surrounding area in terms of density, character, layout and spacing, amenity, scale, height, massing and use of materials'; 'have regard to the local context and conserve or enhance the character, amenities and quality of an area' and 'incorporate visually attractive frontages to adjoining streets and public spaces'.</w:t>
      </w:r>
    </w:p>
    <w:p w:rsidR="00F266ED" w:rsidRDefault="00F266ED" w:rsidP="00E955CC">
      <w:pPr>
        <w:tabs>
          <w:tab w:val="clear" w:pos="1260"/>
          <w:tab w:val="clear" w:pos="1980"/>
          <w:tab w:val="clear" w:pos="2700"/>
          <w:tab w:val="clear" w:pos="3420"/>
          <w:tab w:val="left" w:pos="851"/>
        </w:tabs>
      </w:pPr>
    </w:p>
    <w:p w:rsidR="00F266ED" w:rsidRDefault="00C673C8" w:rsidP="00251757">
      <w:pPr>
        <w:tabs>
          <w:tab w:val="clear" w:pos="1260"/>
          <w:tab w:val="clear" w:pos="1980"/>
          <w:tab w:val="clear" w:pos="2700"/>
          <w:tab w:val="clear" w:pos="3420"/>
          <w:tab w:val="left" w:pos="851"/>
        </w:tabs>
        <w:ind w:left="851" w:hanging="851"/>
      </w:pPr>
      <w:r>
        <w:t>7.1.2</w:t>
      </w:r>
      <w:r w:rsidR="00F266ED">
        <w:tab/>
      </w:r>
      <w:r w:rsidR="007B4DAB" w:rsidRPr="007B4DAB">
        <w:t xml:space="preserve">Policy DM1 and Appendix 2 of the Development Management Policies document set out that development should not have a significant impact on the visual amenities of the area. Extensions should not be excessively prominent and should respect the existing character of the dwelling, particularly with regard to the roof form, positioning and style of windows and doors, and materials. The Design Criteria at Appendix 2 of the Development Management Policies document state that generally the maximum depth of single storey rear extensions to </w:t>
      </w:r>
      <w:r w:rsidR="00A91D44">
        <w:t>semi-detached</w:t>
      </w:r>
      <w:r w:rsidR="00A91D44" w:rsidRPr="007B4DAB">
        <w:t xml:space="preserve"> </w:t>
      </w:r>
      <w:r w:rsidR="007B4DAB" w:rsidRPr="007B4DAB">
        <w:t>dwellings may be 3.6m although this distance should be reduced if the extension would adversely affect adjoining properties or be unduly prominent. It is also stated that two storey extensions may be positioned on the flank boundary provided that the first floor element is set in by a minimum of 1.2m.</w:t>
      </w:r>
      <w:r w:rsidR="00A91D44">
        <w:t xml:space="preserve">  Front extensions should not be excessively prominent in the street scene.</w:t>
      </w:r>
    </w:p>
    <w:p w:rsidR="00C673C8" w:rsidRDefault="00C673C8" w:rsidP="007B4DAB">
      <w:pPr>
        <w:tabs>
          <w:tab w:val="clear" w:pos="1260"/>
          <w:tab w:val="clear" w:pos="1980"/>
          <w:tab w:val="clear" w:pos="2700"/>
          <w:tab w:val="clear" w:pos="3420"/>
          <w:tab w:val="left" w:pos="851"/>
        </w:tabs>
        <w:ind w:left="720" w:hanging="720"/>
      </w:pPr>
    </w:p>
    <w:p w:rsidR="00DA5EFC" w:rsidRDefault="00C673C8" w:rsidP="00251757">
      <w:pPr>
        <w:tabs>
          <w:tab w:val="clear" w:pos="1260"/>
          <w:tab w:val="clear" w:pos="1980"/>
          <w:tab w:val="clear" w:pos="2700"/>
          <w:tab w:val="clear" w:pos="3420"/>
          <w:tab w:val="left" w:pos="851"/>
        </w:tabs>
        <w:ind w:left="851" w:hanging="851"/>
      </w:pPr>
      <w:r w:rsidRPr="00C673C8">
        <w:t>7.1.3</w:t>
      </w:r>
      <w:r>
        <w:tab/>
      </w:r>
      <w:r w:rsidR="00F61754" w:rsidRPr="00A608A1">
        <w:t xml:space="preserve">The proposed </w:t>
      </w:r>
      <w:r w:rsidR="00A608A1" w:rsidRPr="00A608A1">
        <w:t xml:space="preserve">two storey </w:t>
      </w:r>
      <w:r w:rsidRPr="00A608A1">
        <w:t>rear</w:t>
      </w:r>
      <w:r w:rsidR="00F61754" w:rsidRPr="00A608A1">
        <w:t xml:space="preserve"> extension would hold a maximum depth of 3.5</w:t>
      </w:r>
      <w:r w:rsidRPr="00A608A1">
        <w:t>m f</w:t>
      </w:r>
      <w:r w:rsidR="00A608A1" w:rsidRPr="00A608A1">
        <w:t xml:space="preserve">rom the original rear </w:t>
      </w:r>
      <w:r w:rsidR="00F61754" w:rsidRPr="00A608A1">
        <w:t xml:space="preserve">elevation </w:t>
      </w:r>
      <w:r w:rsidR="00A608A1" w:rsidRPr="00A608A1">
        <w:t xml:space="preserve">of the </w:t>
      </w:r>
      <w:r w:rsidRPr="00A608A1">
        <w:t>dwelling at groun</w:t>
      </w:r>
      <w:r w:rsidR="00F61754" w:rsidRPr="00A608A1">
        <w:t>d floor level</w:t>
      </w:r>
      <w:r w:rsidR="00A608A1" w:rsidRPr="00A608A1">
        <w:t>,</w:t>
      </w:r>
      <w:r w:rsidR="00F61754" w:rsidRPr="00A608A1">
        <w:t xml:space="preserve"> which would comply</w:t>
      </w:r>
      <w:r w:rsidRPr="00A608A1">
        <w:t xml:space="preserve"> </w:t>
      </w:r>
      <w:r w:rsidR="00F61754" w:rsidRPr="00A608A1">
        <w:t xml:space="preserve">with </w:t>
      </w:r>
      <w:r w:rsidRPr="00A608A1">
        <w:t>the 3.6m guideline set out by the Design Criteria. Given the siting of the p</w:t>
      </w:r>
      <w:r w:rsidR="00A608A1" w:rsidRPr="00A608A1">
        <w:t>roposed extension</w:t>
      </w:r>
      <w:r w:rsidR="00E346D7" w:rsidRPr="00A608A1">
        <w:t xml:space="preserve"> to the rear, </w:t>
      </w:r>
      <w:r w:rsidRPr="00A608A1">
        <w:t>the maximum height of the proposed two storey element would be significantly set down from the maximum ridge of the host dwelling</w:t>
      </w:r>
      <w:r w:rsidR="00A608A1" w:rsidRPr="00A608A1">
        <w:t xml:space="preserve"> and</w:t>
      </w:r>
      <w:r w:rsidRPr="00A608A1">
        <w:t xml:space="preserve"> would be set in appr</w:t>
      </w:r>
      <w:r w:rsidR="00A608A1" w:rsidRPr="00A608A1">
        <w:t>oximately 2.9</w:t>
      </w:r>
      <w:r w:rsidR="00E346D7" w:rsidRPr="00A608A1">
        <w:t xml:space="preserve">m from the shared southern boundary. </w:t>
      </w:r>
      <w:proofErr w:type="spellStart"/>
      <w:r w:rsidRPr="00A608A1">
        <w:t>Gonville</w:t>
      </w:r>
      <w:proofErr w:type="spellEnd"/>
      <w:r w:rsidRPr="00A608A1">
        <w:t xml:space="preserve"> Avenue is mixed with regards to extensions and alterations, it is not considered that the proposed part single, part two storey rear extension would appear unduly prominent within the street</w:t>
      </w:r>
      <w:r w:rsidR="00A91D44">
        <w:t xml:space="preserve"> </w:t>
      </w:r>
      <w:r w:rsidRPr="00A608A1">
        <w:t xml:space="preserve">scene of </w:t>
      </w:r>
      <w:proofErr w:type="spellStart"/>
      <w:r w:rsidRPr="00A608A1">
        <w:t>Gonville</w:t>
      </w:r>
      <w:proofErr w:type="spellEnd"/>
      <w:r w:rsidRPr="00A608A1">
        <w:t xml:space="preserve"> Avenue or cause significant harm to the character of the host dwelling, street</w:t>
      </w:r>
      <w:r w:rsidR="00A91D44">
        <w:t xml:space="preserve"> </w:t>
      </w:r>
      <w:r w:rsidRPr="00A608A1">
        <w:t>scene or area</w:t>
      </w:r>
      <w:r w:rsidRPr="00E346D7">
        <w:t>.</w:t>
      </w:r>
    </w:p>
    <w:p w:rsidR="00DA5EFC" w:rsidRDefault="00DA5EFC" w:rsidP="00DA5EFC">
      <w:pPr>
        <w:tabs>
          <w:tab w:val="clear" w:pos="1260"/>
          <w:tab w:val="clear" w:pos="1980"/>
          <w:tab w:val="clear" w:pos="2700"/>
          <w:tab w:val="clear" w:pos="3420"/>
          <w:tab w:val="left" w:pos="851"/>
        </w:tabs>
        <w:ind w:left="720" w:hanging="720"/>
      </w:pPr>
    </w:p>
    <w:p w:rsidR="00DA5EFC" w:rsidRPr="006826F4" w:rsidRDefault="00DA5EFC" w:rsidP="00251757">
      <w:pPr>
        <w:tabs>
          <w:tab w:val="clear" w:pos="1260"/>
          <w:tab w:val="clear" w:pos="1980"/>
          <w:tab w:val="clear" w:pos="2700"/>
          <w:tab w:val="clear" w:pos="3420"/>
          <w:tab w:val="left" w:pos="851"/>
        </w:tabs>
        <w:ind w:left="851" w:hanging="851"/>
      </w:pPr>
      <w:r>
        <w:lastRenderedPageBreak/>
        <w:t>7.1.4</w:t>
      </w:r>
      <w:r>
        <w:tab/>
      </w:r>
      <w:r w:rsidRPr="003122FE">
        <w:t xml:space="preserve">The single storey </w:t>
      </w:r>
      <w:r w:rsidR="00CB2236">
        <w:t xml:space="preserve">side </w:t>
      </w:r>
      <w:r w:rsidRPr="003122FE">
        <w:t xml:space="preserve">extension </w:t>
      </w:r>
      <w:r w:rsidR="006826F4" w:rsidRPr="003122FE">
        <w:t>to the north</w:t>
      </w:r>
      <w:r w:rsidRPr="003122FE">
        <w:t>ern flank would</w:t>
      </w:r>
      <w:r w:rsidR="003122FE" w:rsidRPr="003122FE">
        <w:t xml:space="preserve"> have a sloped roof and </w:t>
      </w:r>
      <w:r w:rsidRPr="003122FE">
        <w:t xml:space="preserve">would be set back from the </w:t>
      </w:r>
      <w:r w:rsidR="00764F1A" w:rsidRPr="003122FE">
        <w:t xml:space="preserve">front elevation of the dwelling </w:t>
      </w:r>
      <w:r w:rsidR="003122FE" w:rsidRPr="003122FE">
        <w:t xml:space="preserve">to match the </w:t>
      </w:r>
      <w:r w:rsidR="00CB2236" w:rsidRPr="003122FE">
        <w:t>existing</w:t>
      </w:r>
      <w:r w:rsidR="003122FE" w:rsidRPr="003122FE">
        <w:t xml:space="preserve"> flank </w:t>
      </w:r>
      <w:r w:rsidR="00764F1A" w:rsidRPr="003122FE">
        <w:t xml:space="preserve">and </w:t>
      </w:r>
      <w:r w:rsidR="003122FE" w:rsidRPr="003122FE">
        <w:t xml:space="preserve">would set back </w:t>
      </w:r>
      <w:r w:rsidR="00764F1A" w:rsidRPr="003122FE">
        <w:t xml:space="preserve">1m from the adjoining neighbouring boundary </w:t>
      </w:r>
      <w:r w:rsidR="00CB2236">
        <w:t>No.</w:t>
      </w:r>
      <w:r w:rsidR="00764F1A" w:rsidRPr="003122FE">
        <w:t xml:space="preserve"> 14.</w:t>
      </w:r>
      <w:r w:rsidR="003122FE" w:rsidRPr="003122FE">
        <w:t xml:space="preserve"> No windows to the flank elevation are proposed and a pebble dash render would be applied to match the existing part of the property. </w:t>
      </w:r>
      <w:r w:rsidRPr="003122FE">
        <w:t>Therefore, the single storey side extension would not appear prominent or cause significant harm to the character of the dwelling.</w:t>
      </w:r>
      <w:r w:rsidR="00764F1A">
        <w:t xml:space="preserve"> </w:t>
      </w:r>
    </w:p>
    <w:p w:rsidR="00DA5EFC" w:rsidRDefault="00DA5EFC" w:rsidP="00DA5EFC">
      <w:pPr>
        <w:tabs>
          <w:tab w:val="clear" w:pos="1260"/>
          <w:tab w:val="clear" w:pos="1980"/>
          <w:tab w:val="clear" w:pos="2700"/>
          <w:tab w:val="clear" w:pos="3420"/>
          <w:tab w:val="left" w:pos="851"/>
        </w:tabs>
      </w:pPr>
    </w:p>
    <w:p w:rsidR="00DA5EFC" w:rsidRPr="006826F4" w:rsidRDefault="00DA5EFC" w:rsidP="00DA5EFC">
      <w:pPr>
        <w:tabs>
          <w:tab w:val="clear" w:pos="1260"/>
          <w:tab w:val="clear" w:pos="1980"/>
          <w:tab w:val="clear" w:pos="2700"/>
          <w:tab w:val="clear" w:pos="3420"/>
          <w:tab w:val="left" w:pos="851"/>
        </w:tabs>
        <w:ind w:left="851" w:hanging="851"/>
      </w:pPr>
      <w:r w:rsidRPr="006826F4">
        <w:t>7.1.5</w:t>
      </w:r>
      <w:r w:rsidRPr="006826F4">
        <w:tab/>
        <w:t xml:space="preserve">The proposal includes additional glazing to the rear of the dwelling; however this would not be apparent from </w:t>
      </w:r>
      <w:proofErr w:type="spellStart"/>
      <w:r w:rsidRPr="006826F4">
        <w:t>Gonville</w:t>
      </w:r>
      <w:proofErr w:type="spellEnd"/>
      <w:r w:rsidRPr="006826F4">
        <w:t xml:space="preserve"> Avenue and would not cause demonstrable harm to the street scene or area.</w:t>
      </w:r>
    </w:p>
    <w:p w:rsidR="006826F4" w:rsidRPr="00D25734" w:rsidRDefault="006826F4" w:rsidP="00DA5EFC">
      <w:pPr>
        <w:tabs>
          <w:tab w:val="clear" w:pos="1260"/>
          <w:tab w:val="clear" w:pos="1980"/>
          <w:tab w:val="clear" w:pos="2700"/>
          <w:tab w:val="clear" w:pos="3420"/>
          <w:tab w:val="left" w:pos="851"/>
        </w:tabs>
        <w:ind w:left="851" w:hanging="851"/>
      </w:pPr>
    </w:p>
    <w:p w:rsidR="006826F4" w:rsidRPr="006826F4" w:rsidRDefault="006826F4" w:rsidP="00DA5EFC">
      <w:pPr>
        <w:tabs>
          <w:tab w:val="clear" w:pos="1260"/>
          <w:tab w:val="clear" w:pos="1980"/>
          <w:tab w:val="clear" w:pos="2700"/>
          <w:tab w:val="clear" w:pos="3420"/>
          <w:tab w:val="left" w:pos="851"/>
        </w:tabs>
        <w:ind w:left="851" w:hanging="851"/>
        <w:rPr>
          <w:b/>
        </w:rPr>
      </w:pPr>
      <w:r w:rsidRPr="00D25734">
        <w:t>7.1.6</w:t>
      </w:r>
      <w:r w:rsidRPr="00D25734">
        <w:tab/>
      </w:r>
      <w:r w:rsidR="00D25734" w:rsidRPr="00D25734">
        <w:t xml:space="preserve">A front porch would also be erected, with the plans indicating that this would be of modest depth and height matching the </w:t>
      </w:r>
      <w:r w:rsidR="00D25734">
        <w:t xml:space="preserve">adjoining neighbouring property at </w:t>
      </w:r>
      <w:r w:rsidR="00D25734" w:rsidRPr="00D25734">
        <w:t xml:space="preserve">No. 18. Given it would remain as set back from the </w:t>
      </w:r>
      <w:proofErr w:type="spellStart"/>
      <w:r w:rsidR="00D25734" w:rsidRPr="00D25734">
        <w:t>Gonville</w:t>
      </w:r>
      <w:proofErr w:type="spellEnd"/>
      <w:r w:rsidR="00D25734" w:rsidRPr="00D25734">
        <w:t xml:space="preserve"> </w:t>
      </w:r>
      <w:r w:rsidR="00CB2236">
        <w:t>Avenue</w:t>
      </w:r>
      <w:r w:rsidR="00CB2236" w:rsidRPr="00D25734">
        <w:t xml:space="preserve"> </w:t>
      </w:r>
      <w:r w:rsidR="00D25734" w:rsidRPr="00D25734">
        <w:t>frontage, it is not considered that this would appear excessively prominent.</w:t>
      </w:r>
    </w:p>
    <w:p w:rsidR="00DA5EFC" w:rsidRPr="00DA5EFC" w:rsidRDefault="00DA5EFC" w:rsidP="00DA5EFC">
      <w:pPr>
        <w:tabs>
          <w:tab w:val="clear" w:pos="1260"/>
          <w:tab w:val="clear" w:pos="1980"/>
          <w:tab w:val="clear" w:pos="2700"/>
          <w:tab w:val="clear" w:pos="3420"/>
          <w:tab w:val="left" w:pos="851"/>
        </w:tabs>
        <w:rPr>
          <w:b/>
        </w:rPr>
      </w:pPr>
    </w:p>
    <w:p w:rsidR="00873C2D" w:rsidRPr="000F6356" w:rsidRDefault="000F6356" w:rsidP="00DA5EFC">
      <w:pPr>
        <w:tabs>
          <w:tab w:val="clear" w:pos="1260"/>
          <w:tab w:val="clear" w:pos="1980"/>
          <w:tab w:val="clear" w:pos="2700"/>
          <w:tab w:val="clear" w:pos="3420"/>
          <w:tab w:val="left" w:pos="851"/>
        </w:tabs>
        <w:ind w:left="851" w:hanging="851"/>
      </w:pPr>
      <w:r w:rsidRPr="000F6356">
        <w:t>7.1.7</w:t>
      </w:r>
      <w:r w:rsidR="00DA5EFC" w:rsidRPr="000F6356">
        <w:tab/>
        <w:t xml:space="preserve">While the proposal would increase the scale of the dwelling, subject to the use of materials to match the existing dwelling, the proposed extensions would not result in demonstrable harm to the character or appearance of the host dwelling or area and would not appear unduly prominent in the street scene of </w:t>
      </w:r>
      <w:proofErr w:type="spellStart"/>
      <w:r w:rsidR="00DA5EFC" w:rsidRPr="000F6356">
        <w:t>Gonville</w:t>
      </w:r>
      <w:proofErr w:type="spellEnd"/>
      <w:r w:rsidR="00DA5EFC" w:rsidRPr="000F6356">
        <w:t xml:space="preserve"> Avenue. The development would therefore be acceptable in accordance with Policies CP1 and CP12 of the Core Strategy and Policy DM1 and Appendix 2 of the Development Management Policies document.</w:t>
      </w:r>
    </w:p>
    <w:p w:rsidR="00873C2D" w:rsidRDefault="00873C2D"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4E7FF8">
        <w:t>2</w:t>
      </w:r>
      <w:r>
        <w:tab/>
      </w:r>
      <w:r w:rsidRPr="009659BB">
        <w:rPr>
          <w:u w:val="single"/>
        </w:rPr>
        <w:t>Impact on</w:t>
      </w:r>
      <w:r w:rsidR="00F266ED" w:rsidRPr="009659BB">
        <w:rPr>
          <w:u w:val="single"/>
        </w:rPr>
        <w:t xml:space="preserve"> amenity of neighbours</w:t>
      </w:r>
    </w:p>
    <w:p w:rsidR="002D5054" w:rsidRDefault="002D5054" w:rsidP="00E955CC">
      <w:pPr>
        <w:tabs>
          <w:tab w:val="clear" w:pos="1260"/>
          <w:tab w:val="clear" w:pos="1980"/>
          <w:tab w:val="clear" w:pos="2700"/>
          <w:tab w:val="clear" w:pos="3420"/>
          <w:tab w:val="left" w:pos="851"/>
        </w:tabs>
      </w:pPr>
    </w:p>
    <w:p w:rsidR="00F266ED" w:rsidRDefault="004E7FF8" w:rsidP="000D5BED">
      <w:pPr>
        <w:tabs>
          <w:tab w:val="clear" w:pos="1260"/>
          <w:tab w:val="clear" w:pos="1980"/>
          <w:tab w:val="clear" w:pos="2700"/>
          <w:tab w:val="clear" w:pos="3420"/>
          <w:tab w:val="left" w:pos="851"/>
        </w:tabs>
        <w:ind w:left="851" w:hanging="851"/>
      </w:pPr>
      <w:r>
        <w:t>7.2</w:t>
      </w:r>
      <w:r w:rsidR="005930D8">
        <w:t>.1</w:t>
      </w:r>
      <w:r w:rsidR="005930D8">
        <w:tab/>
      </w:r>
      <w:r w:rsidR="000D5BED" w:rsidRPr="000D5BED">
        <w:t>Policy CP12 of the Core Strategy states that development should ‘protect residential amenities by taking into account the need for adequate levels and disposition of privacy, prospect, amenity and garden space’. Policy DM1 and Appendix 2 of the Development Management Policies document set out that residential development should not result in loss of light to the windows of neighbouring properties nor allow overlooking, and should not be excessively prominent in relation to adjacent properties</w:t>
      </w:r>
      <w:r w:rsidR="000D5BED">
        <w:t>.</w:t>
      </w:r>
    </w:p>
    <w:p w:rsidR="000D5BED" w:rsidRDefault="000D5BED" w:rsidP="000D5BED">
      <w:pPr>
        <w:tabs>
          <w:tab w:val="clear" w:pos="1260"/>
          <w:tab w:val="clear" w:pos="1980"/>
          <w:tab w:val="clear" w:pos="2700"/>
          <w:tab w:val="clear" w:pos="3420"/>
          <w:tab w:val="left" w:pos="851"/>
        </w:tabs>
        <w:ind w:left="851" w:hanging="851"/>
      </w:pPr>
    </w:p>
    <w:p w:rsidR="000D5BED" w:rsidRDefault="004E7FF8" w:rsidP="000D5BED">
      <w:pPr>
        <w:tabs>
          <w:tab w:val="clear" w:pos="1260"/>
          <w:tab w:val="clear" w:pos="1980"/>
          <w:tab w:val="clear" w:pos="2700"/>
          <w:tab w:val="clear" w:pos="3420"/>
          <w:tab w:val="left" w:pos="851"/>
        </w:tabs>
        <w:ind w:left="851" w:hanging="851"/>
      </w:pPr>
      <w:r>
        <w:t>7.2</w:t>
      </w:r>
      <w:r w:rsidR="000D5BED">
        <w:t>.2</w:t>
      </w:r>
      <w:r w:rsidR="000D5BED">
        <w:tab/>
      </w:r>
      <w:r w:rsidR="00E70E3C" w:rsidRPr="00E70E3C">
        <w:t>To ensure that loss of light would not occur to the habitable rooms of neighbouring dwellings as a result of new development, the Design Criteria at Appendix 2 of the Development Management Policies document advise that two storey development should not intrude a 45 degree spay line across the rear garden from a point on the joint boundary, level with the rear wall of the adjacent property. This principle is dependent on the spacing and relative positions of properties and consideration will be given to the juxtaposition of properties, land levels and the position of windows and development on neighbouring properties.</w:t>
      </w:r>
    </w:p>
    <w:p w:rsidR="00E70E3C" w:rsidRDefault="00E70E3C" w:rsidP="000D5BED">
      <w:pPr>
        <w:tabs>
          <w:tab w:val="clear" w:pos="1260"/>
          <w:tab w:val="clear" w:pos="1980"/>
          <w:tab w:val="clear" w:pos="2700"/>
          <w:tab w:val="clear" w:pos="3420"/>
          <w:tab w:val="left" w:pos="851"/>
        </w:tabs>
        <w:ind w:left="851" w:hanging="851"/>
      </w:pPr>
    </w:p>
    <w:p w:rsidR="00E70E3C" w:rsidRDefault="00E70E3C" w:rsidP="000D5BED">
      <w:pPr>
        <w:tabs>
          <w:tab w:val="clear" w:pos="1260"/>
          <w:tab w:val="clear" w:pos="1980"/>
          <w:tab w:val="clear" w:pos="2700"/>
          <w:tab w:val="clear" w:pos="3420"/>
          <w:tab w:val="left" w:pos="851"/>
        </w:tabs>
        <w:ind w:left="851" w:hanging="851"/>
      </w:pPr>
      <w:r>
        <w:t>7.2.3</w:t>
      </w:r>
      <w:r>
        <w:tab/>
      </w:r>
      <w:r w:rsidRPr="00E70E3C">
        <w:t>The Residential Design Criteria at Appendix 2 of the Development Management Policies document also advise that in the interests of privacy and to prevent overlooking, windows of habitable rooms at first floor level and above should not generally be located in flank elevations. Flank windows of other rooms should be non-opening, below 1.7m from internal floor level and obscure glazed.</w:t>
      </w:r>
    </w:p>
    <w:p w:rsidR="009971D6" w:rsidRDefault="009971D6" w:rsidP="009971D6">
      <w:pPr>
        <w:tabs>
          <w:tab w:val="clear" w:pos="1260"/>
          <w:tab w:val="clear" w:pos="1980"/>
          <w:tab w:val="clear" w:pos="2700"/>
          <w:tab w:val="clear" w:pos="3420"/>
          <w:tab w:val="left" w:pos="851"/>
        </w:tabs>
      </w:pPr>
    </w:p>
    <w:p w:rsidR="009971D6" w:rsidRPr="00CF38AA" w:rsidRDefault="009971D6" w:rsidP="002218C0">
      <w:pPr>
        <w:tabs>
          <w:tab w:val="clear" w:pos="1260"/>
          <w:tab w:val="clear" w:pos="1980"/>
          <w:tab w:val="clear" w:pos="2700"/>
          <w:tab w:val="clear" w:pos="3420"/>
          <w:tab w:val="left" w:pos="851"/>
        </w:tabs>
        <w:ind w:left="851" w:hanging="851"/>
      </w:pPr>
      <w:r w:rsidRPr="00CF38AA">
        <w:t>7.2.4</w:t>
      </w:r>
      <w:r w:rsidRPr="00CF38AA">
        <w:tab/>
        <w:t>The proposed two storey rear extension would intrude a 45 degree splay line taken fro</w:t>
      </w:r>
      <w:r w:rsidR="00CF38AA" w:rsidRPr="00CF38AA">
        <w:t xml:space="preserve">m the boundary in line with the </w:t>
      </w:r>
      <w:r w:rsidRPr="00CF38AA">
        <w:t xml:space="preserve">rear elevation of the neighbour to the </w:t>
      </w:r>
      <w:r w:rsidR="00B70DF1" w:rsidRPr="00CF38AA">
        <w:t xml:space="preserve">south, </w:t>
      </w:r>
      <w:r w:rsidR="00CB2236">
        <w:t xml:space="preserve">No. </w:t>
      </w:r>
      <w:r w:rsidR="00B70DF1" w:rsidRPr="00CF38AA">
        <w:t>18</w:t>
      </w:r>
      <w:r w:rsidRPr="00CF38AA">
        <w:t xml:space="preserve"> </w:t>
      </w:r>
      <w:proofErr w:type="spellStart"/>
      <w:r w:rsidRPr="00CF38AA">
        <w:t>Gonville</w:t>
      </w:r>
      <w:proofErr w:type="spellEnd"/>
      <w:r w:rsidRPr="00CF38AA">
        <w:t xml:space="preserve"> Avenue</w:t>
      </w:r>
      <w:r w:rsidR="00CB2236">
        <w:t xml:space="preserve"> by approximately 0.4m</w:t>
      </w:r>
      <w:r w:rsidRPr="00CF38AA">
        <w:t xml:space="preserve">. This neighbour is on the same land level and is built in line with the application dwelling. </w:t>
      </w:r>
      <w:r w:rsidR="00CF38AA" w:rsidRPr="00CF38AA">
        <w:t>However, d</w:t>
      </w:r>
      <w:r w:rsidRPr="00CF38AA">
        <w:t>ue to the proposed two storey element</w:t>
      </w:r>
      <w:r w:rsidR="00CF38AA" w:rsidRPr="00CF38AA">
        <w:t xml:space="preserve"> of the extension being set in 2.9</w:t>
      </w:r>
      <w:r w:rsidRPr="00CF38AA">
        <w:t xml:space="preserve">m from the shared </w:t>
      </w:r>
      <w:r w:rsidR="00B70DF1" w:rsidRPr="00CF38AA">
        <w:t>souther</w:t>
      </w:r>
      <w:r w:rsidRPr="00CF38AA">
        <w:t>n boundary, it would not result in loss of light to the rear of this neighbour</w:t>
      </w:r>
      <w:r w:rsidR="00CB2236">
        <w:t xml:space="preserve"> which is favourably sited to the south of the application site</w:t>
      </w:r>
      <w:r w:rsidRPr="00CF38AA">
        <w:t xml:space="preserve">. The proposed single storey part </w:t>
      </w:r>
      <w:r w:rsidR="002218C0" w:rsidRPr="00CF38AA">
        <w:t>of the extension would project 3.5</w:t>
      </w:r>
      <w:r w:rsidRPr="00CF38AA">
        <w:t>m deeper than the existing ground floor rear elevation of this neighbour</w:t>
      </w:r>
      <w:r w:rsidR="002218C0" w:rsidRPr="00CF38AA">
        <w:t>,</w:t>
      </w:r>
      <w:r w:rsidRPr="00CF38AA">
        <w:t xml:space="preserve"> however given the proposed heig</w:t>
      </w:r>
      <w:r w:rsidR="002218C0" w:rsidRPr="00CF38AA">
        <w:t xml:space="preserve">ht of the single storey element, </w:t>
      </w:r>
      <w:r w:rsidRPr="00CF38AA">
        <w:t xml:space="preserve">there is minimal potential for overshadowing. Therefore the </w:t>
      </w:r>
      <w:r w:rsidRPr="00CF38AA">
        <w:lastRenderedPageBreak/>
        <w:t xml:space="preserve">proposed ground floor extension would not result in loss of light or have an overbearing impact. </w:t>
      </w:r>
    </w:p>
    <w:p w:rsidR="009971D6" w:rsidRPr="009971D6" w:rsidRDefault="009971D6" w:rsidP="009971D6">
      <w:pPr>
        <w:tabs>
          <w:tab w:val="clear" w:pos="1260"/>
          <w:tab w:val="clear" w:pos="1980"/>
          <w:tab w:val="clear" w:pos="2700"/>
          <w:tab w:val="clear" w:pos="3420"/>
          <w:tab w:val="left" w:pos="851"/>
        </w:tabs>
        <w:ind w:left="851" w:hanging="851"/>
        <w:rPr>
          <w:b/>
        </w:rPr>
      </w:pPr>
    </w:p>
    <w:p w:rsidR="009971D6" w:rsidRPr="002218C0" w:rsidRDefault="009971D6" w:rsidP="009971D6">
      <w:pPr>
        <w:tabs>
          <w:tab w:val="clear" w:pos="1260"/>
          <w:tab w:val="clear" w:pos="1980"/>
          <w:tab w:val="clear" w:pos="2700"/>
          <w:tab w:val="clear" w:pos="3420"/>
          <w:tab w:val="left" w:pos="851"/>
        </w:tabs>
        <w:ind w:left="851" w:hanging="851"/>
      </w:pPr>
      <w:r w:rsidRPr="00CF38AA">
        <w:t>7.2.5</w:t>
      </w:r>
      <w:r w:rsidRPr="009971D6">
        <w:rPr>
          <w:b/>
        </w:rPr>
        <w:tab/>
      </w:r>
      <w:r w:rsidRPr="002218C0">
        <w:t xml:space="preserve">The neighbour at </w:t>
      </w:r>
      <w:r w:rsidR="00907971">
        <w:t>No.</w:t>
      </w:r>
      <w:r w:rsidRPr="002218C0">
        <w:t>1</w:t>
      </w:r>
      <w:r w:rsidR="002218C0" w:rsidRPr="002218C0">
        <w:t>4</w:t>
      </w:r>
      <w:r w:rsidRPr="002218C0">
        <w:t xml:space="preserve"> </w:t>
      </w:r>
      <w:proofErr w:type="spellStart"/>
      <w:r w:rsidRPr="002218C0">
        <w:t>Gonville</w:t>
      </w:r>
      <w:proofErr w:type="spellEnd"/>
      <w:r w:rsidRPr="002218C0">
        <w:t xml:space="preserve"> Avenue adjoins the </w:t>
      </w:r>
      <w:r w:rsidR="002218C0" w:rsidRPr="002218C0">
        <w:t>north</w:t>
      </w:r>
      <w:r w:rsidRPr="002218C0">
        <w:t>ern flank of the host dwelling. The proposed two storey rear extension would not intrude a 45 degree splay line taken from the boundary in line with the rear elevation of this neighbour, and given the site circumstances including the relationship between these dwellings it is considered that the extensions would not therefore cause loss of light or appear overbearing to this neighbour resulting in demonstrable harm.</w:t>
      </w:r>
    </w:p>
    <w:p w:rsidR="009971D6" w:rsidRPr="009971D6" w:rsidRDefault="009971D6" w:rsidP="009971D6">
      <w:pPr>
        <w:tabs>
          <w:tab w:val="clear" w:pos="1260"/>
          <w:tab w:val="clear" w:pos="1980"/>
          <w:tab w:val="clear" w:pos="2700"/>
          <w:tab w:val="clear" w:pos="3420"/>
          <w:tab w:val="left" w:pos="851"/>
        </w:tabs>
        <w:ind w:left="851" w:hanging="851"/>
        <w:rPr>
          <w:b/>
        </w:rPr>
      </w:pPr>
    </w:p>
    <w:p w:rsidR="009971D6" w:rsidRPr="009971D6" w:rsidRDefault="009971D6" w:rsidP="009971D6">
      <w:pPr>
        <w:tabs>
          <w:tab w:val="clear" w:pos="1260"/>
          <w:tab w:val="clear" w:pos="1980"/>
          <w:tab w:val="clear" w:pos="2700"/>
          <w:tab w:val="clear" w:pos="3420"/>
          <w:tab w:val="left" w:pos="851"/>
        </w:tabs>
        <w:ind w:left="851" w:hanging="851"/>
        <w:rPr>
          <w:b/>
        </w:rPr>
      </w:pPr>
      <w:r w:rsidRPr="00A02115">
        <w:t>7.2.6</w:t>
      </w:r>
      <w:r w:rsidRPr="00A02115">
        <w:tab/>
        <w:t xml:space="preserve">Glazing at all floor levels is proposed to the rear of the dwelling. </w:t>
      </w:r>
      <w:r w:rsidR="00A02115" w:rsidRPr="00A02115">
        <w:t>This glazing would be set over 2</w:t>
      </w:r>
      <w:r w:rsidRPr="00A02115">
        <w:t xml:space="preserve">8m from </w:t>
      </w:r>
      <w:r w:rsidR="00BD41CE">
        <w:t>dwellings to the rear</w:t>
      </w:r>
      <w:r w:rsidRPr="00A02115">
        <w:t>. As such, there would not be overlooking to neighbouring habitable windows. While there would potentially be views of neighbouring gardens, these views would not be significantly different to existing views available from the first floor fenestration so as to cause loss of privacy justifying refusal of permission.</w:t>
      </w:r>
      <w:r w:rsidRPr="009971D6">
        <w:rPr>
          <w:b/>
        </w:rPr>
        <w:t xml:space="preserve"> </w:t>
      </w:r>
    </w:p>
    <w:p w:rsidR="009971D6" w:rsidRPr="00B26E89" w:rsidRDefault="009971D6" w:rsidP="009971D6">
      <w:pPr>
        <w:tabs>
          <w:tab w:val="clear" w:pos="1260"/>
          <w:tab w:val="clear" w:pos="1980"/>
          <w:tab w:val="clear" w:pos="2700"/>
          <w:tab w:val="clear" w:pos="3420"/>
          <w:tab w:val="left" w:pos="851"/>
        </w:tabs>
        <w:ind w:left="851" w:hanging="851"/>
      </w:pPr>
    </w:p>
    <w:p w:rsidR="00A02115" w:rsidRDefault="009971D6" w:rsidP="00E932C0">
      <w:pPr>
        <w:tabs>
          <w:tab w:val="clear" w:pos="1260"/>
          <w:tab w:val="clear" w:pos="1980"/>
          <w:tab w:val="clear" w:pos="2700"/>
          <w:tab w:val="clear" w:pos="3420"/>
          <w:tab w:val="left" w:pos="851"/>
        </w:tabs>
        <w:ind w:left="851" w:hanging="851"/>
      </w:pPr>
      <w:r w:rsidRPr="00B26E89">
        <w:t>7.2.7</w:t>
      </w:r>
      <w:r w:rsidRPr="00B26E89">
        <w:tab/>
      </w:r>
      <w:r w:rsidR="00A02115" w:rsidRPr="00B26E89">
        <w:t>Amendments to remove the proposed ground floor window from the flank boundary due to unsatisfactorily screening were sought</w:t>
      </w:r>
      <w:r w:rsidR="00BD41CE">
        <w:t xml:space="preserve"> and received</w:t>
      </w:r>
      <w:r w:rsidR="00A02115" w:rsidRPr="00B26E89">
        <w:t xml:space="preserve"> in accordance with Appendix 2 of the Development Management Policies LDD.</w:t>
      </w:r>
    </w:p>
    <w:p w:rsidR="00BD41CE" w:rsidRDefault="00BD41CE" w:rsidP="00E932C0">
      <w:pPr>
        <w:tabs>
          <w:tab w:val="clear" w:pos="1260"/>
          <w:tab w:val="clear" w:pos="1980"/>
          <w:tab w:val="clear" w:pos="2700"/>
          <w:tab w:val="clear" w:pos="3420"/>
          <w:tab w:val="left" w:pos="851"/>
        </w:tabs>
        <w:ind w:left="851" w:hanging="851"/>
      </w:pPr>
    </w:p>
    <w:p w:rsidR="00BD41CE" w:rsidRPr="00B26E89" w:rsidRDefault="00BD41CE" w:rsidP="00E932C0">
      <w:pPr>
        <w:tabs>
          <w:tab w:val="clear" w:pos="1260"/>
          <w:tab w:val="clear" w:pos="1980"/>
          <w:tab w:val="clear" w:pos="2700"/>
          <w:tab w:val="clear" w:pos="3420"/>
          <w:tab w:val="left" w:pos="851"/>
        </w:tabs>
        <w:ind w:left="851" w:hanging="851"/>
        <w:rPr>
          <w:b/>
          <w:u w:val="single"/>
        </w:rPr>
      </w:pPr>
      <w:r>
        <w:t>7.2.8</w:t>
      </w:r>
      <w:r>
        <w:tab/>
        <w:t>The single storey front porch extension would be set in from both boundaries and of limited depth such that it would not result in harm to neighbouring amenity.</w:t>
      </w:r>
    </w:p>
    <w:p w:rsidR="009971D6" w:rsidRPr="00B26E89" w:rsidRDefault="009971D6" w:rsidP="009971D6">
      <w:pPr>
        <w:tabs>
          <w:tab w:val="clear" w:pos="1260"/>
          <w:tab w:val="clear" w:pos="1980"/>
          <w:tab w:val="clear" w:pos="2700"/>
          <w:tab w:val="clear" w:pos="3420"/>
          <w:tab w:val="left" w:pos="851"/>
        </w:tabs>
        <w:ind w:left="851" w:hanging="851"/>
      </w:pPr>
    </w:p>
    <w:p w:rsidR="00367D6A" w:rsidRPr="00B26E89" w:rsidRDefault="009971D6" w:rsidP="00B26E89">
      <w:pPr>
        <w:tabs>
          <w:tab w:val="clear" w:pos="1260"/>
          <w:tab w:val="clear" w:pos="1980"/>
          <w:tab w:val="clear" w:pos="2700"/>
          <w:tab w:val="clear" w:pos="3420"/>
          <w:tab w:val="left" w:pos="851"/>
        </w:tabs>
        <w:ind w:left="851" w:hanging="851"/>
      </w:pPr>
      <w:r w:rsidRPr="00B26E89">
        <w:t>7.2.</w:t>
      </w:r>
      <w:r w:rsidR="00BD41CE">
        <w:t>9</w:t>
      </w:r>
      <w:r w:rsidRPr="00B26E89">
        <w:tab/>
        <w:t>In summary, subject to conditions it is not considered that the proposed development would result in a significant adverse impact on any neighbouring dwelling and the development would be acceptable in accordance with Policies CP1 and CP12 of the Core Strategy and Policy DM1 and Appendix 2 of the Development Management Policies LDD.</w:t>
      </w:r>
    </w:p>
    <w:p w:rsidR="00764F1A" w:rsidRDefault="00764F1A"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rsidRPr="00FE2136">
        <w:t>7.</w:t>
      </w:r>
      <w:r w:rsidR="00FE2136" w:rsidRPr="00FE2136">
        <w:t>3</w:t>
      </w:r>
      <w:r w:rsidRPr="00FE2136">
        <w:tab/>
      </w:r>
      <w:r w:rsidRPr="00FE2136">
        <w:rPr>
          <w:u w:val="single"/>
        </w:rPr>
        <w:t>Amenity</w:t>
      </w:r>
      <w:r w:rsidR="00F266ED" w:rsidRPr="00FE2136">
        <w:rPr>
          <w:u w:val="single"/>
        </w:rPr>
        <w:t xml:space="preserve"> Space</w:t>
      </w:r>
      <w:r w:rsidRPr="00FE2136">
        <w:rPr>
          <w:u w:val="single"/>
        </w:rPr>
        <w:t xml:space="preserve"> Provision</w:t>
      </w:r>
      <w:r w:rsidR="00F266ED" w:rsidRPr="00FE2136">
        <w:rPr>
          <w:u w:val="single"/>
        </w:rPr>
        <w:t xml:space="preserve"> for future occupants</w:t>
      </w:r>
    </w:p>
    <w:p w:rsidR="002D5054" w:rsidRDefault="002D5054" w:rsidP="00E955CC">
      <w:pPr>
        <w:tabs>
          <w:tab w:val="clear" w:pos="1260"/>
          <w:tab w:val="clear" w:pos="1980"/>
          <w:tab w:val="clear" w:pos="2700"/>
          <w:tab w:val="clear" w:pos="3420"/>
          <w:tab w:val="left" w:pos="851"/>
        </w:tabs>
      </w:pPr>
    </w:p>
    <w:p w:rsidR="005930D8" w:rsidRDefault="00FE2136" w:rsidP="00322A48">
      <w:pPr>
        <w:tabs>
          <w:tab w:val="clear" w:pos="1260"/>
          <w:tab w:val="clear" w:pos="1980"/>
          <w:tab w:val="clear" w:pos="2700"/>
          <w:tab w:val="clear" w:pos="3420"/>
          <w:tab w:val="left" w:pos="851"/>
        </w:tabs>
        <w:ind w:left="851" w:hanging="851"/>
      </w:pPr>
      <w:r>
        <w:t>7.3</w:t>
      </w:r>
      <w:r w:rsidR="005930D8">
        <w:t>.1</w:t>
      </w:r>
      <w:r w:rsidR="005930D8">
        <w:tab/>
      </w:r>
      <w:r w:rsidR="00322A48" w:rsidRPr="00322A48">
        <w:t xml:space="preserve">Policy CP12 of the Core Strategy states that development should take into account the need for adequate levels and disposition of privacy, prospect, amenity and garden space. The Design Guidelines (Appendix 2 of the Development Management Policies document) set out that </w:t>
      </w:r>
      <w:r w:rsidR="00322A48" w:rsidRPr="004A3CDE">
        <w:t xml:space="preserve">a </w:t>
      </w:r>
      <w:r w:rsidR="004A3CDE" w:rsidRPr="004A3CDE">
        <w:t>four</w:t>
      </w:r>
      <w:r w:rsidR="00322A48" w:rsidRPr="004A3CDE">
        <w:t xml:space="preserve"> bedroom dwe</w:t>
      </w:r>
      <w:r w:rsidR="004A3CDE" w:rsidRPr="004A3CDE">
        <w:t>lling should provide 105</w:t>
      </w:r>
      <w:r w:rsidR="00322A48" w:rsidRPr="004A3CDE">
        <w:t>sqm amenity space.</w:t>
      </w:r>
    </w:p>
    <w:p w:rsidR="009F69B6" w:rsidRDefault="009F69B6" w:rsidP="00322A48">
      <w:pPr>
        <w:tabs>
          <w:tab w:val="clear" w:pos="1260"/>
          <w:tab w:val="clear" w:pos="1980"/>
          <w:tab w:val="clear" w:pos="2700"/>
          <w:tab w:val="clear" w:pos="3420"/>
          <w:tab w:val="left" w:pos="851"/>
        </w:tabs>
        <w:ind w:left="851" w:hanging="851"/>
      </w:pPr>
    </w:p>
    <w:p w:rsidR="00B80A0F" w:rsidRPr="007C0ED6" w:rsidRDefault="00FE2136" w:rsidP="002C1F66">
      <w:pPr>
        <w:ind w:left="851" w:hanging="851"/>
        <w:rPr>
          <w:b/>
        </w:rPr>
      </w:pPr>
      <w:r>
        <w:t>7.3</w:t>
      </w:r>
      <w:r w:rsidR="009F69B6">
        <w:t>.2</w:t>
      </w:r>
      <w:r w:rsidR="009F69B6">
        <w:tab/>
      </w:r>
      <w:r w:rsidR="009F69B6" w:rsidRPr="00580139">
        <w:t>The application site would retain a</w:t>
      </w:r>
      <w:r w:rsidR="00B80A0F" w:rsidRPr="00580139">
        <w:t xml:space="preserve"> rear garden of approximately 85</w:t>
      </w:r>
      <w:r w:rsidR="009F69B6" w:rsidRPr="00580139">
        <w:t>sqm</w:t>
      </w:r>
      <w:r w:rsidR="00B80A0F" w:rsidRPr="00580139">
        <w:t xml:space="preserve">. This </w:t>
      </w:r>
      <w:r w:rsidR="00B80A0F" w:rsidRPr="00492FB5">
        <w:t>is less than the required levels</w:t>
      </w:r>
      <w:r w:rsidR="00B80A0F">
        <w:t>,</w:t>
      </w:r>
      <w:r w:rsidR="00B80A0F" w:rsidRPr="00492FB5">
        <w:t xml:space="preserve"> however</w:t>
      </w:r>
      <w:r w:rsidR="00B80A0F">
        <w:t>,</w:t>
      </w:r>
      <w:r w:rsidR="00B80A0F" w:rsidRPr="00492FB5">
        <w:t xml:space="preserve"> usable amenity space would be retained and the site is within walking distance of public open space such that the short fall would not result in harm justifying refusal of permission.</w:t>
      </w:r>
      <w:r w:rsidR="00B80A0F" w:rsidRPr="007C0ED6">
        <w:rPr>
          <w:b/>
        </w:rPr>
        <w:t xml:space="preserve"> </w:t>
      </w:r>
    </w:p>
    <w:p w:rsidR="00F266ED" w:rsidRDefault="00F266ED"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5A3DBC">
        <w:t>4</w:t>
      </w:r>
      <w:r>
        <w:tab/>
      </w:r>
      <w:r w:rsidRPr="00E23437">
        <w:rPr>
          <w:u w:val="single"/>
        </w:rPr>
        <w:t>Wildlife</w:t>
      </w:r>
      <w:r w:rsidR="00F266ED" w:rsidRPr="00E23437">
        <w:rPr>
          <w:u w:val="single"/>
        </w:rPr>
        <w:t xml:space="preserve"> and Biodiversity</w:t>
      </w:r>
    </w:p>
    <w:p w:rsidR="002D5054" w:rsidRDefault="002D5054" w:rsidP="00E955CC">
      <w:pPr>
        <w:tabs>
          <w:tab w:val="clear" w:pos="1260"/>
          <w:tab w:val="clear" w:pos="1980"/>
          <w:tab w:val="clear" w:pos="2700"/>
          <w:tab w:val="clear" w:pos="3420"/>
          <w:tab w:val="left" w:pos="851"/>
        </w:tabs>
      </w:pPr>
    </w:p>
    <w:p w:rsidR="00EF30FA" w:rsidRPr="00EF30FA" w:rsidRDefault="00EF30FA" w:rsidP="00E955CC">
      <w:pPr>
        <w:widowControl w:val="0"/>
        <w:tabs>
          <w:tab w:val="clear" w:pos="1260"/>
          <w:tab w:val="clear" w:pos="1980"/>
          <w:tab w:val="clear" w:pos="2700"/>
          <w:tab w:val="clear" w:pos="3420"/>
          <w:tab w:val="left" w:pos="851"/>
        </w:tabs>
        <w:ind w:left="851" w:hanging="851"/>
        <w:rPr>
          <w:rFonts w:cs="Arial"/>
          <w:color w:val="000000"/>
          <w:szCs w:val="22"/>
        </w:rPr>
      </w:pPr>
      <w:r w:rsidRPr="00EF30FA">
        <w:rPr>
          <w:rFonts w:cs="Arial"/>
          <w:color w:val="000000"/>
          <w:szCs w:val="22"/>
        </w:rPr>
        <w:t>7.</w:t>
      </w:r>
      <w:r w:rsidR="005A3DBC">
        <w:rPr>
          <w:rFonts w:cs="Arial"/>
          <w:color w:val="000000"/>
          <w:szCs w:val="22"/>
        </w:rPr>
        <w:t>4</w:t>
      </w:r>
      <w:r w:rsidRPr="00EF30FA">
        <w:rPr>
          <w:rFonts w:cs="Arial"/>
          <w:color w:val="000000"/>
          <w:szCs w:val="22"/>
        </w:rPr>
        <w:t>.1</w:t>
      </w:r>
      <w:r w:rsidRPr="00EF30FA">
        <w:rPr>
          <w:rFonts w:cs="Arial"/>
          <w:color w:val="000000"/>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w:t>
      </w:r>
    </w:p>
    <w:p w:rsidR="00EF30FA" w:rsidRPr="00EF30FA" w:rsidRDefault="00EF30FA" w:rsidP="00E955CC">
      <w:pPr>
        <w:widowControl w:val="0"/>
        <w:tabs>
          <w:tab w:val="clear" w:pos="1260"/>
          <w:tab w:val="clear" w:pos="1980"/>
          <w:tab w:val="clear" w:pos="2700"/>
          <w:tab w:val="clear" w:pos="3420"/>
          <w:tab w:val="left" w:pos="851"/>
        </w:tabs>
        <w:ind w:left="1276" w:hanging="1276"/>
        <w:rPr>
          <w:rFonts w:cs="Arial"/>
          <w:color w:val="000000"/>
          <w:szCs w:val="22"/>
        </w:rPr>
      </w:pPr>
    </w:p>
    <w:p w:rsidR="00EF30FA" w:rsidRPr="00EF30FA" w:rsidRDefault="00EF30FA" w:rsidP="00E955CC">
      <w:pPr>
        <w:widowControl w:val="0"/>
        <w:tabs>
          <w:tab w:val="clear" w:pos="1260"/>
          <w:tab w:val="clear" w:pos="1980"/>
          <w:tab w:val="clear" w:pos="2700"/>
          <w:tab w:val="clear" w:pos="3420"/>
          <w:tab w:val="left" w:pos="851"/>
        </w:tabs>
        <w:ind w:left="851" w:hanging="851"/>
        <w:rPr>
          <w:rFonts w:cs="Arial"/>
          <w:color w:val="000000"/>
          <w:szCs w:val="22"/>
        </w:rPr>
      </w:pPr>
      <w:r w:rsidRPr="00EF30FA">
        <w:rPr>
          <w:rFonts w:cs="Arial"/>
          <w:color w:val="000000"/>
          <w:szCs w:val="22"/>
        </w:rPr>
        <w:t>7.</w:t>
      </w:r>
      <w:r w:rsidR="005A3DBC">
        <w:rPr>
          <w:rFonts w:cs="Arial"/>
          <w:color w:val="000000"/>
          <w:szCs w:val="22"/>
        </w:rPr>
        <w:t>4</w:t>
      </w:r>
      <w:r w:rsidRPr="00EF30FA">
        <w:rPr>
          <w:rFonts w:cs="Arial"/>
          <w:color w:val="000000"/>
          <w:szCs w:val="22"/>
        </w:rPr>
        <w:t>.2</w:t>
      </w:r>
      <w:r w:rsidRPr="00EF30FA">
        <w:rPr>
          <w:rFonts w:cs="Arial"/>
          <w:color w:val="000000"/>
          <w:szCs w:val="22"/>
        </w:rPr>
        <w:tab/>
        <w:t xml:space="preserve">The protection of biodiversity and protected species is a material planning consideration in the assessment of applications in accordance with Policy CP9 of the Core Strategy (adopted October 2011) and Policy DM6 of the </w:t>
      </w:r>
      <w:r w:rsidR="00144857">
        <w:rPr>
          <w:rFonts w:cs="Arial"/>
          <w:color w:val="000000"/>
          <w:szCs w:val="22"/>
        </w:rPr>
        <w:t xml:space="preserve">DMLDD. </w:t>
      </w:r>
      <w:r w:rsidRPr="00EF30FA">
        <w:rPr>
          <w:rFonts w:cs="Arial"/>
          <w:color w:val="000000"/>
          <w:szCs w:val="22"/>
        </w:rPr>
        <w:t>National Planning Policy requires Local Authorities to ensure that a protected species survey is undertaken for applications that may be affected prior to determination of a planning application.</w:t>
      </w:r>
    </w:p>
    <w:p w:rsidR="00EF30FA" w:rsidRPr="00EF30FA" w:rsidRDefault="00EF30FA" w:rsidP="00E955CC">
      <w:pPr>
        <w:widowControl w:val="0"/>
        <w:tabs>
          <w:tab w:val="clear" w:pos="1260"/>
          <w:tab w:val="clear" w:pos="1980"/>
          <w:tab w:val="clear" w:pos="2700"/>
          <w:tab w:val="clear" w:pos="3420"/>
          <w:tab w:val="left" w:pos="851"/>
        </w:tabs>
        <w:ind w:left="1276" w:hanging="1276"/>
        <w:rPr>
          <w:rFonts w:cs="Arial"/>
          <w:color w:val="000000"/>
          <w:szCs w:val="22"/>
          <w:highlight w:val="yellow"/>
        </w:rPr>
      </w:pPr>
    </w:p>
    <w:p w:rsidR="00EF30FA" w:rsidRDefault="005A3DBC" w:rsidP="00FD14D1">
      <w:pPr>
        <w:tabs>
          <w:tab w:val="clear" w:pos="1260"/>
          <w:tab w:val="clear" w:pos="1980"/>
          <w:tab w:val="clear" w:pos="2700"/>
          <w:tab w:val="clear" w:pos="3420"/>
          <w:tab w:val="left" w:pos="851"/>
        </w:tabs>
        <w:ind w:left="851" w:hanging="851"/>
      </w:pPr>
      <w:r>
        <w:t>7.4</w:t>
      </w:r>
      <w:r w:rsidR="00EF30FA" w:rsidRPr="009378CE">
        <w:t>.3</w:t>
      </w:r>
      <w:r w:rsidR="00EF30FA" w:rsidRPr="009378CE">
        <w:tab/>
        <w:t xml:space="preserve">The application has been submitted with a </w:t>
      </w:r>
      <w:r w:rsidR="00EF30FA" w:rsidRPr="00EF30FA">
        <w:t>Biodiversity Checklist and</w:t>
      </w:r>
      <w:r w:rsidR="00FD14D1">
        <w:t xml:space="preserve"> </w:t>
      </w:r>
      <w:r w:rsidR="00FD14D1" w:rsidRPr="00FD14D1">
        <w:t xml:space="preserve">states that no </w:t>
      </w:r>
      <w:r w:rsidR="00FD14D1" w:rsidRPr="00E23437">
        <w:t xml:space="preserve">protected species or biodiversity interests will be affected as a result of the application. However, given that the development would affect the roof of the dwelling an informative </w:t>
      </w:r>
      <w:r w:rsidR="00FD14D1" w:rsidRPr="00E23437">
        <w:lastRenderedPageBreak/>
        <w:t>would be added to any consent advising the applicant what to do should bats be discovered during the course of development.</w:t>
      </w:r>
    </w:p>
    <w:p w:rsidR="00EF30FA" w:rsidRDefault="00EF30FA" w:rsidP="00E955CC">
      <w:pPr>
        <w:tabs>
          <w:tab w:val="clear" w:pos="1260"/>
          <w:tab w:val="clear" w:pos="1980"/>
          <w:tab w:val="clear" w:pos="2700"/>
          <w:tab w:val="clear" w:pos="3420"/>
          <w:tab w:val="left" w:pos="851"/>
        </w:tabs>
      </w:pPr>
    </w:p>
    <w:p w:rsidR="002D5054" w:rsidRPr="00F266ED" w:rsidRDefault="002D5054" w:rsidP="00E955CC">
      <w:pPr>
        <w:pStyle w:val="Heading2"/>
        <w:tabs>
          <w:tab w:val="clear" w:pos="1267"/>
          <w:tab w:val="clear" w:pos="1987"/>
          <w:tab w:val="clear" w:pos="2707"/>
          <w:tab w:val="clear" w:pos="3420"/>
          <w:tab w:val="clear" w:pos="3672"/>
          <w:tab w:val="left" w:pos="851"/>
        </w:tabs>
        <w:rPr>
          <w:u w:val="single"/>
        </w:rPr>
      </w:pPr>
      <w:r w:rsidRPr="005B2AC4">
        <w:t>7.</w:t>
      </w:r>
      <w:r w:rsidR="005A3DBC" w:rsidRPr="005B2AC4">
        <w:t>5</w:t>
      </w:r>
      <w:r w:rsidRPr="005B2AC4">
        <w:tab/>
      </w:r>
      <w:r w:rsidRPr="005B2AC4">
        <w:rPr>
          <w:u w:val="single"/>
        </w:rPr>
        <w:t>Trees and Landscaping</w:t>
      </w:r>
    </w:p>
    <w:p w:rsidR="002D5054" w:rsidRDefault="002D5054" w:rsidP="00E955CC">
      <w:pPr>
        <w:tabs>
          <w:tab w:val="clear" w:pos="1260"/>
          <w:tab w:val="clear" w:pos="1980"/>
          <w:tab w:val="clear" w:pos="2700"/>
          <w:tab w:val="clear" w:pos="3420"/>
          <w:tab w:val="left" w:pos="851"/>
        </w:tabs>
      </w:pPr>
    </w:p>
    <w:p w:rsidR="005D0835" w:rsidRDefault="005A3DBC" w:rsidP="005D0835">
      <w:pPr>
        <w:tabs>
          <w:tab w:val="clear" w:pos="1260"/>
          <w:tab w:val="clear" w:pos="1980"/>
          <w:tab w:val="clear" w:pos="2700"/>
          <w:tab w:val="clear" w:pos="3420"/>
          <w:tab w:val="left" w:pos="851"/>
        </w:tabs>
        <w:ind w:left="851" w:hanging="851"/>
      </w:pPr>
      <w:r>
        <w:t>7.5</w:t>
      </w:r>
      <w:r w:rsidR="003F6A70">
        <w:t>.1</w:t>
      </w:r>
      <w:r w:rsidR="003F6A70">
        <w:tab/>
      </w:r>
      <w:r w:rsidR="005D0835">
        <w:t xml:space="preserve">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existing natural features’. </w:t>
      </w:r>
    </w:p>
    <w:p w:rsidR="005D0835" w:rsidRDefault="005D0835" w:rsidP="005D0835">
      <w:pPr>
        <w:tabs>
          <w:tab w:val="clear" w:pos="1260"/>
          <w:tab w:val="clear" w:pos="1980"/>
          <w:tab w:val="clear" w:pos="2700"/>
          <w:tab w:val="clear" w:pos="3420"/>
          <w:tab w:val="left" w:pos="851"/>
        </w:tabs>
        <w:ind w:left="851" w:hanging="851"/>
      </w:pPr>
    </w:p>
    <w:p w:rsidR="005D0835" w:rsidRDefault="005A3DBC" w:rsidP="005D0835">
      <w:pPr>
        <w:tabs>
          <w:tab w:val="clear" w:pos="1260"/>
          <w:tab w:val="clear" w:pos="1980"/>
          <w:tab w:val="clear" w:pos="2700"/>
          <w:tab w:val="clear" w:pos="3420"/>
          <w:tab w:val="left" w:pos="851"/>
        </w:tabs>
        <w:ind w:left="851" w:hanging="851"/>
      </w:pPr>
      <w:r>
        <w:t>7.5</w:t>
      </w:r>
      <w:r w:rsidR="005D0835">
        <w:t>.2</w:t>
      </w:r>
      <w:r w:rsidR="005D0835">
        <w:tab/>
        <w:t>Policy DM6 of the Development Management Policies document sets out requirements in relation to trees, woodlands and landscaping and sets out that:</w:t>
      </w:r>
    </w:p>
    <w:p w:rsidR="005D0835" w:rsidRDefault="002F1ACE" w:rsidP="002F1ACE">
      <w:pPr>
        <w:tabs>
          <w:tab w:val="clear" w:pos="1260"/>
          <w:tab w:val="clear" w:pos="1980"/>
          <w:tab w:val="clear" w:pos="2700"/>
          <w:tab w:val="clear" w:pos="3420"/>
          <w:tab w:val="left" w:pos="1276"/>
        </w:tabs>
        <w:ind w:left="1276" w:hanging="426"/>
      </w:pPr>
      <w:r>
        <w:t>i)</w:t>
      </w:r>
      <w:r>
        <w:tab/>
      </w:r>
      <w:r w:rsidR="005D0835">
        <w:t>Proposals for new development should be submitted with landscaping proposals which seek to retain trees and other important landscape and nature conservation features. Landscaping proposals should also include new trees and other planting to enhance the landscape of the site and its surroundings as appropriate.</w:t>
      </w:r>
    </w:p>
    <w:p w:rsidR="005D0835" w:rsidRDefault="005D0835" w:rsidP="002F1ACE">
      <w:pPr>
        <w:tabs>
          <w:tab w:val="clear" w:pos="1260"/>
          <w:tab w:val="clear" w:pos="1980"/>
          <w:tab w:val="clear" w:pos="2700"/>
          <w:tab w:val="clear" w:pos="3420"/>
          <w:tab w:val="left" w:pos="1276"/>
        </w:tabs>
        <w:ind w:left="1276" w:hanging="426"/>
      </w:pPr>
      <w:r>
        <w:t>ii)</w:t>
      </w:r>
      <w:r w:rsidR="002F1ACE">
        <w:tab/>
      </w:r>
      <w:r>
        <w:t>Development proposals on sites which contain existing trees and hedgerows will be expected to retain as many trees and hedgerows as possible, particularly those of local amenity or nature conservation value or hedgerows considered to meet the Hedgerow Regulations 1997.</w:t>
      </w:r>
    </w:p>
    <w:p w:rsidR="005D0835" w:rsidRDefault="002F1ACE" w:rsidP="002F1ACE">
      <w:pPr>
        <w:tabs>
          <w:tab w:val="clear" w:pos="1260"/>
          <w:tab w:val="clear" w:pos="1980"/>
          <w:tab w:val="clear" w:pos="2700"/>
          <w:tab w:val="clear" w:pos="3420"/>
          <w:tab w:val="left" w:pos="1276"/>
        </w:tabs>
        <w:ind w:left="1276" w:hanging="426"/>
      </w:pPr>
      <w:r>
        <w:t>iii)</w:t>
      </w:r>
      <w:r>
        <w:tab/>
      </w:r>
      <w:r w:rsidR="005D0835">
        <w:t>Development proposals should demonstrate that existing trees, hedgerows and woodlands will be safeguarded and managed during and after development in accordance with the relevant standards.</w:t>
      </w:r>
    </w:p>
    <w:p w:rsidR="005D0835" w:rsidRDefault="002F1ACE" w:rsidP="002F1ACE">
      <w:pPr>
        <w:tabs>
          <w:tab w:val="clear" w:pos="1260"/>
          <w:tab w:val="clear" w:pos="1980"/>
          <w:tab w:val="clear" w:pos="2700"/>
          <w:tab w:val="clear" w:pos="3420"/>
          <w:tab w:val="left" w:pos="1276"/>
        </w:tabs>
        <w:ind w:left="1276" w:hanging="426"/>
      </w:pPr>
      <w:proofErr w:type="gramStart"/>
      <w:r>
        <w:t>iv)</w:t>
      </w:r>
      <w:r>
        <w:tab/>
      </w:r>
      <w:r w:rsidR="005D0835">
        <w:t>Development</w:t>
      </w:r>
      <w:proofErr w:type="gramEnd"/>
      <w:r w:rsidR="005D0835">
        <w:t xml:space="preserve"> should be designed in such a way as to allow trees and hedgerows to grow to maturity without causing undue problems of visibility, shading or damage.  Development likely to result in future requests for significant topping, lopping or felling will be refused.</w:t>
      </w:r>
    </w:p>
    <w:p w:rsidR="00F266ED" w:rsidRDefault="002F1ACE" w:rsidP="002F1ACE">
      <w:pPr>
        <w:tabs>
          <w:tab w:val="clear" w:pos="1260"/>
          <w:tab w:val="clear" w:pos="1980"/>
          <w:tab w:val="clear" w:pos="2700"/>
          <w:tab w:val="clear" w:pos="3420"/>
          <w:tab w:val="left" w:pos="1276"/>
        </w:tabs>
        <w:ind w:left="1276" w:hanging="426"/>
      </w:pPr>
      <w:r>
        <w:t>v)</w:t>
      </w:r>
      <w:r>
        <w:tab/>
      </w:r>
      <w:r w:rsidR="005D0835">
        <w:t>Planning permission will be refused for any development resulting in the loss or deterioration to protected woodland (including ancient woodland), protected trees (including aged or veteran trees) and hedgerows, unless conditions can be imposed to secure their protection.</w:t>
      </w:r>
    </w:p>
    <w:p w:rsidR="00F266ED" w:rsidRDefault="00F266ED" w:rsidP="00E955CC">
      <w:pPr>
        <w:tabs>
          <w:tab w:val="clear" w:pos="1260"/>
          <w:tab w:val="clear" w:pos="1980"/>
          <w:tab w:val="clear" w:pos="2700"/>
          <w:tab w:val="clear" w:pos="3420"/>
          <w:tab w:val="left" w:pos="851"/>
        </w:tabs>
      </w:pPr>
    </w:p>
    <w:p w:rsidR="005D0835" w:rsidRDefault="005A3DBC" w:rsidP="00E955CC">
      <w:pPr>
        <w:tabs>
          <w:tab w:val="clear" w:pos="1260"/>
          <w:tab w:val="clear" w:pos="1980"/>
          <w:tab w:val="clear" w:pos="2700"/>
          <w:tab w:val="clear" w:pos="3420"/>
          <w:tab w:val="left" w:pos="851"/>
        </w:tabs>
      </w:pPr>
      <w:r>
        <w:t>7.5</w:t>
      </w:r>
      <w:r w:rsidR="005D0835">
        <w:t>.3</w:t>
      </w:r>
      <w:r w:rsidR="005D0835">
        <w:tab/>
      </w:r>
      <w:r w:rsidR="00704D2F" w:rsidRPr="00704D2F">
        <w:t>No significant trees would be affected by the proposed development.</w:t>
      </w:r>
    </w:p>
    <w:p w:rsidR="00CA1DA2" w:rsidRDefault="00CA1DA2"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5A3DBC">
        <w:t>6</w:t>
      </w:r>
      <w:r>
        <w:tab/>
      </w:r>
      <w:r w:rsidRPr="00F266ED">
        <w:rPr>
          <w:u w:val="single"/>
        </w:rPr>
        <w:t xml:space="preserve">Highways, </w:t>
      </w:r>
      <w:r w:rsidR="00EF30FA">
        <w:rPr>
          <w:u w:val="single"/>
        </w:rPr>
        <w:t>Access and Parking</w:t>
      </w:r>
    </w:p>
    <w:p w:rsidR="002D5054" w:rsidRDefault="002D5054" w:rsidP="00E955CC">
      <w:pPr>
        <w:tabs>
          <w:tab w:val="clear" w:pos="1260"/>
          <w:tab w:val="clear" w:pos="1980"/>
          <w:tab w:val="clear" w:pos="2700"/>
          <w:tab w:val="clear" w:pos="3420"/>
          <w:tab w:val="left" w:pos="851"/>
        </w:tabs>
      </w:pPr>
    </w:p>
    <w:p w:rsidR="00FE2136" w:rsidRPr="008D0792" w:rsidRDefault="005A3DBC" w:rsidP="00FE2136">
      <w:pPr>
        <w:tabs>
          <w:tab w:val="clear" w:pos="1260"/>
          <w:tab w:val="clear" w:pos="1980"/>
          <w:tab w:val="clear" w:pos="2700"/>
          <w:tab w:val="clear" w:pos="3420"/>
          <w:tab w:val="left" w:pos="851"/>
        </w:tabs>
        <w:ind w:left="851" w:hanging="851"/>
      </w:pPr>
      <w:r w:rsidRPr="008D0792">
        <w:t>7.6</w:t>
      </w:r>
      <w:r w:rsidR="00FE2136" w:rsidRPr="008D0792">
        <w:t>.1</w:t>
      </w:r>
      <w:r w:rsidR="00FE2136" w:rsidRPr="008D0792">
        <w:tab/>
        <w:t>Core Strategy Policy CP10 requires development to provide a safe and adequate means of access and to make adequate provision for all users, including car parking. Policy DM13 and Appendix 5 of the Development Management Policies document set out parking standards and advise that a four or more bedroom dwellin</w:t>
      </w:r>
      <w:r w:rsidR="000C7E8D">
        <w:t>g should provide parking for three</w:t>
      </w:r>
      <w:r w:rsidR="00FE2136" w:rsidRPr="008D0792">
        <w:t xml:space="preserve"> vehicles.</w:t>
      </w:r>
    </w:p>
    <w:p w:rsidR="00FE2136" w:rsidRPr="008D0792" w:rsidRDefault="00FE2136" w:rsidP="00FE2136">
      <w:pPr>
        <w:tabs>
          <w:tab w:val="clear" w:pos="1260"/>
          <w:tab w:val="clear" w:pos="1980"/>
          <w:tab w:val="clear" w:pos="2700"/>
          <w:tab w:val="clear" w:pos="3420"/>
          <w:tab w:val="left" w:pos="851"/>
        </w:tabs>
      </w:pPr>
    </w:p>
    <w:p w:rsidR="002D5054" w:rsidRDefault="005A3DBC" w:rsidP="00582436">
      <w:pPr>
        <w:tabs>
          <w:tab w:val="clear" w:pos="1260"/>
          <w:tab w:val="clear" w:pos="1980"/>
          <w:tab w:val="clear" w:pos="2700"/>
          <w:tab w:val="clear" w:pos="3420"/>
          <w:tab w:val="left" w:pos="851"/>
        </w:tabs>
        <w:ind w:left="851" w:hanging="851"/>
      </w:pPr>
      <w:r w:rsidRPr="008D0792">
        <w:t>7.6</w:t>
      </w:r>
      <w:r w:rsidR="00FE2136" w:rsidRPr="008D0792">
        <w:t>.2</w:t>
      </w:r>
      <w:r w:rsidR="00FE2136" w:rsidRPr="008D0792">
        <w:tab/>
      </w:r>
      <w:r w:rsidR="005D2A0A" w:rsidRPr="008D0792">
        <w:t>The proposed development would result in the loss of a garage and is proposed to be a four bedroom dwelling</w:t>
      </w:r>
      <w:r w:rsidR="008D0792" w:rsidRPr="008D0792">
        <w:t xml:space="preserve">. </w:t>
      </w:r>
      <w:r w:rsidR="005D2A0A" w:rsidRPr="008D0792">
        <w:t>The existing garage has an internal width of 2.3m, which would not generally be considered sufficient to accommodate a vehicle and as a result there would be no difference to the current parking provision</w:t>
      </w:r>
      <w:r w:rsidR="00C60CC3">
        <w:t xml:space="preserve">. </w:t>
      </w:r>
      <w:r w:rsidR="005D2A0A" w:rsidRPr="008D0792">
        <w:t>In this case, three off street car parking spaces can be accommodated</w:t>
      </w:r>
      <w:r w:rsidR="00A830E3">
        <w:t xml:space="preserve"> in accordance with standards</w:t>
      </w:r>
      <w:r w:rsidR="005D2A0A" w:rsidRPr="008D0792">
        <w:t>.</w:t>
      </w:r>
    </w:p>
    <w:p w:rsidR="002D5054" w:rsidRDefault="002D5054" w:rsidP="00F266ED">
      <w:pPr>
        <w:tabs>
          <w:tab w:val="clear" w:pos="1260"/>
          <w:tab w:val="clear" w:pos="1980"/>
          <w:tab w:val="clear" w:pos="2700"/>
          <w:tab w:val="clear" w:pos="3420"/>
          <w:tab w:val="left" w:pos="851"/>
        </w:tabs>
      </w:pPr>
    </w:p>
    <w:p w:rsidR="002D5054" w:rsidRPr="006A2B53" w:rsidRDefault="002D5054" w:rsidP="00F266ED">
      <w:pPr>
        <w:pStyle w:val="Heading1"/>
        <w:tabs>
          <w:tab w:val="clear" w:pos="1267"/>
          <w:tab w:val="left" w:pos="851"/>
        </w:tabs>
        <w:rPr>
          <w:b/>
        </w:rPr>
      </w:pPr>
      <w:r w:rsidRPr="006A2B53">
        <w:rPr>
          <w:b/>
        </w:rPr>
        <w:t>8.</w:t>
      </w:r>
      <w:r w:rsidRPr="006A2B53">
        <w:rPr>
          <w:b/>
        </w:rPr>
        <w:tab/>
        <w:t>Recommendation</w:t>
      </w:r>
    </w:p>
    <w:p w:rsidR="002D5054" w:rsidRDefault="002D5054" w:rsidP="00B75E41">
      <w:pPr>
        <w:tabs>
          <w:tab w:val="clear" w:pos="1260"/>
          <w:tab w:val="clear" w:pos="1980"/>
          <w:tab w:val="clear" w:pos="2700"/>
          <w:tab w:val="clear" w:pos="3420"/>
          <w:tab w:val="left" w:pos="851"/>
        </w:tabs>
      </w:pPr>
    </w:p>
    <w:p w:rsidR="002D5054" w:rsidRDefault="002D5054" w:rsidP="00B75E41">
      <w:pPr>
        <w:pStyle w:val="Heading2"/>
        <w:tabs>
          <w:tab w:val="clear" w:pos="1267"/>
          <w:tab w:val="clear" w:pos="1987"/>
          <w:tab w:val="clear" w:pos="2707"/>
          <w:tab w:val="clear" w:pos="3420"/>
          <w:tab w:val="clear" w:pos="3672"/>
          <w:tab w:val="left" w:pos="851"/>
        </w:tabs>
        <w:ind w:left="851" w:hanging="851"/>
      </w:pPr>
      <w:r>
        <w:t>8.1</w:t>
      </w:r>
      <w:r>
        <w:tab/>
      </w:r>
      <w:r w:rsidR="00375EFE">
        <w:t>That the decision be delegated to the Director of Community and Environmental Services to consider any representations received and that PLANNING PERMISSION BE GRANTED, subject to the following conditions</w:t>
      </w:r>
      <w:r w:rsidR="00B02031">
        <w:t>:</w:t>
      </w:r>
    </w:p>
    <w:p w:rsidR="00525C25" w:rsidRDefault="00525C25" w:rsidP="0085253F"/>
    <w:p w:rsidR="00525C25" w:rsidRDefault="00907971" w:rsidP="00907971">
      <w:pPr>
        <w:tabs>
          <w:tab w:val="clear" w:pos="1260"/>
          <w:tab w:val="left" w:pos="851"/>
        </w:tabs>
        <w:ind w:left="1440" w:hanging="1440"/>
      </w:pPr>
      <w:r>
        <w:tab/>
      </w:r>
      <w:r w:rsidR="00525C25">
        <w:t>C1</w:t>
      </w:r>
      <w:r w:rsidR="00525C25">
        <w:tab/>
        <w:t>The development hereby permitted shall be begun before the expiration of three years from the date of this permission.</w:t>
      </w:r>
    </w:p>
    <w:p w:rsidR="00525C25" w:rsidRDefault="00525C25" w:rsidP="0085253F"/>
    <w:p w:rsidR="00C1732F" w:rsidRDefault="00525C25" w:rsidP="00907971">
      <w:pPr>
        <w:ind w:left="1260"/>
      </w:pPr>
      <w:r>
        <w:lastRenderedPageBreak/>
        <w:t>Reason: In pursuance of Section 91(1) of the Town and Country Planning Act 1990 and as amended by the Planning and Compulsory Purchase Act 2004.</w:t>
      </w:r>
      <w:r w:rsidR="00C1732F">
        <w:tab/>
      </w:r>
    </w:p>
    <w:p w:rsidR="002B5DAD" w:rsidRDefault="002B5DAD" w:rsidP="0085253F"/>
    <w:p w:rsidR="005A3113" w:rsidRPr="00F75B04" w:rsidRDefault="00907971" w:rsidP="00907971">
      <w:pPr>
        <w:tabs>
          <w:tab w:val="clear" w:pos="1260"/>
          <w:tab w:val="left" w:pos="851"/>
          <w:tab w:val="left" w:pos="1418"/>
        </w:tabs>
        <w:ind w:left="851" w:hanging="851"/>
      </w:pPr>
      <w:r>
        <w:tab/>
      </w:r>
      <w:r w:rsidR="005A3113">
        <w:t>C2</w:t>
      </w:r>
      <w:r w:rsidR="005A3113">
        <w:tab/>
      </w:r>
      <w:r w:rsidR="005A3113" w:rsidRPr="00F75B04">
        <w:t xml:space="preserve">The development hereby permitted shall be carried out in accordance with the following approved plans: </w:t>
      </w:r>
      <w:r w:rsidR="00F75B04" w:rsidRPr="00F75B04">
        <w:t xml:space="preserve">TRDC 001; 16/0; 16/1 REV B; </w:t>
      </w:r>
      <w:r w:rsidR="00F75B04" w:rsidRPr="008B2B2B">
        <w:t>16/2</w:t>
      </w:r>
      <w:r w:rsidR="008B2B2B" w:rsidRPr="008B2B2B">
        <w:t xml:space="preserve"> REV A</w:t>
      </w:r>
      <w:r w:rsidR="00F75B04" w:rsidRPr="008B2B2B">
        <w:t xml:space="preserve">; </w:t>
      </w:r>
      <w:r w:rsidR="00F75B04" w:rsidRPr="00F75B04">
        <w:t>16/3 REV B; 16/5; 16/6 REV C; 16/8 REV B</w:t>
      </w:r>
      <w:r w:rsidR="00803E15">
        <w:t>.</w:t>
      </w:r>
    </w:p>
    <w:p w:rsidR="005A3113" w:rsidRDefault="005A3113" w:rsidP="0085253F"/>
    <w:p w:rsidR="005A3113" w:rsidRDefault="005A3113" w:rsidP="0085253F">
      <w:pPr>
        <w:ind w:left="851"/>
      </w:pPr>
      <w:r>
        <w:t>Reason: For the avoidance of doubt and in the proper interests of planning and in the interests of the visual amenities of the area and residential amenity of neighbouring occupiers, in accordance with Policies CP1, CP9, CP10 and CP12 of the Core Strategy (adopted October 2011) and Policies DM1, DM6, DM13 and Appendices 2 and 5 of the Development Management Policies LDD (adopted July 2013).</w:t>
      </w:r>
    </w:p>
    <w:p w:rsidR="00C1732F" w:rsidRDefault="00C1732F" w:rsidP="0085253F"/>
    <w:p w:rsidR="002D6A7B" w:rsidRDefault="002D6A7B" w:rsidP="0085253F">
      <w:pPr>
        <w:ind w:left="851" w:hanging="851"/>
      </w:pPr>
      <w:r>
        <w:t>C3</w:t>
      </w:r>
      <w:r>
        <w:tab/>
        <w:t xml:space="preserve">Unless specified on the approved plans, all new works or making good to the retained fabric shall be finished to match in size, colour, </w:t>
      </w:r>
      <w:proofErr w:type="gramStart"/>
      <w:r>
        <w:t>texture</w:t>
      </w:r>
      <w:proofErr w:type="gramEnd"/>
      <w:r>
        <w:t xml:space="preserve"> and profile those of the existing building.</w:t>
      </w:r>
    </w:p>
    <w:p w:rsidR="002D6A7B" w:rsidRDefault="002D6A7B" w:rsidP="0085253F"/>
    <w:p w:rsidR="002D6A7B" w:rsidRDefault="002D6A7B" w:rsidP="0085253F">
      <w:pPr>
        <w:ind w:left="851"/>
      </w:pPr>
      <w:r>
        <w:t>Reason: To ensure a satisfactory appearance of the development and to maintain the character and appearance of the area in accordance with Policies CP1 and CP12 of the Core Strategy (adopted October 2011) and Policy DM1 and Appendix 2 of the Development Management Policies LDD (adopted July 2013).</w:t>
      </w:r>
    </w:p>
    <w:p w:rsidR="00803E15" w:rsidRDefault="00803E15" w:rsidP="0085253F">
      <w:pPr>
        <w:ind w:left="851"/>
      </w:pPr>
    </w:p>
    <w:p w:rsidR="00803E15" w:rsidRDefault="00803E15" w:rsidP="00803E15">
      <w:pPr>
        <w:ind w:left="851" w:hanging="851"/>
      </w:pPr>
      <w:r>
        <w:t>C4</w:t>
      </w:r>
      <w:r>
        <w:tab/>
        <w:t>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 elevations or roof slopes of the extension/development hereby approved.</w:t>
      </w:r>
    </w:p>
    <w:p w:rsidR="00803E15" w:rsidRDefault="00803E15" w:rsidP="00803E15">
      <w:pPr>
        <w:ind w:left="851" w:hanging="851"/>
      </w:pPr>
    </w:p>
    <w:p w:rsidR="00803E15" w:rsidRDefault="00803E15" w:rsidP="0085253F">
      <w:pPr>
        <w:ind w:left="851" w:hanging="851"/>
      </w:pPr>
      <w:r>
        <w:tab/>
        <w:t>Reason: To safeguard the residential amenities of neighbouring properties in accordance with Policies CP1 and CP12 of the Core Strategy (adopted October 2011) and Policy DM1 and Appendix 2 of the Development Management Policies LDD (adopted July 2013).</w:t>
      </w:r>
    </w:p>
    <w:p w:rsidR="002D5054" w:rsidRDefault="002D5054" w:rsidP="0085253F"/>
    <w:p w:rsidR="002D5054" w:rsidRPr="00907971" w:rsidRDefault="002D5054" w:rsidP="00B75E41">
      <w:pPr>
        <w:pStyle w:val="Heading2"/>
        <w:tabs>
          <w:tab w:val="clear" w:pos="1267"/>
          <w:tab w:val="clear" w:pos="1987"/>
          <w:tab w:val="clear" w:pos="2707"/>
          <w:tab w:val="clear" w:pos="3420"/>
          <w:tab w:val="clear" w:pos="3672"/>
          <w:tab w:val="left" w:pos="851"/>
        </w:tabs>
      </w:pPr>
      <w:r w:rsidRPr="00907971">
        <w:t>8.2</w:t>
      </w:r>
      <w:r w:rsidRPr="00907971">
        <w:tab/>
      </w:r>
      <w:proofErr w:type="spellStart"/>
      <w:r w:rsidRPr="00907971">
        <w:t>Informatives</w:t>
      </w:r>
      <w:proofErr w:type="spellEnd"/>
      <w:r w:rsidR="00907971">
        <w:t>:</w:t>
      </w:r>
    </w:p>
    <w:p w:rsidR="00C1732F" w:rsidRDefault="00C1732F" w:rsidP="0085253F"/>
    <w:p w:rsidR="00C63735" w:rsidRDefault="00907971" w:rsidP="00907971">
      <w:pPr>
        <w:tabs>
          <w:tab w:val="clear" w:pos="1260"/>
          <w:tab w:val="left" w:pos="851"/>
        </w:tabs>
        <w:ind w:left="1440" w:hanging="1440"/>
      </w:pPr>
      <w:r>
        <w:tab/>
      </w:r>
      <w:r w:rsidR="00C63735">
        <w:t>I1</w:t>
      </w:r>
      <w:r w:rsidR="00C63735">
        <w:tab/>
        <w:t>With regard to implementing this permission, the applicant is advised as follows:</w:t>
      </w:r>
    </w:p>
    <w:p w:rsidR="00C63735" w:rsidRDefault="00C63735" w:rsidP="0085253F"/>
    <w:p w:rsidR="00C63735" w:rsidRDefault="00C63735" w:rsidP="00907971">
      <w:pPr>
        <w:ind w:left="1260"/>
      </w:pPr>
      <w:r>
        <w:t xml:space="preserve">All relevant planning conditions must be discharged prior to the commencement of work. Requests to discharge conditions must be made by formal application. Fees are £116 per request (or £34 where the related permission is for extending or altering a </w:t>
      </w:r>
      <w:proofErr w:type="spellStart"/>
      <w:r>
        <w:t>dwellinghouse</w:t>
      </w:r>
      <w:proofErr w:type="spellEnd"/>
      <w:r>
        <w:t xml:space="preserve"> or other development in the curtilage of a </w:t>
      </w:r>
      <w:proofErr w:type="spellStart"/>
      <w:r>
        <w:t>dwellinghouse</w:t>
      </w:r>
      <w:proofErr w:type="spellEnd"/>
      <w:r>
        <w:t xml:space="preserve">). Please note that requests made without the appropriate fee will be returned unanswered. </w:t>
      </w:r>
    </w:p>
    <w:p w:rsidR="00C63735" w:rsidRDefault="00C63735" w:rsidP="0085253F">
      <w:pPr>
        <w:ind w:left="851"/>
      </w:pPr>
    </w:p>
    <w:p w:rsidR="00C63735" w:rsidRDefault="00C63735" w:rsidP="00907971">
      <w:pPr>
        <w:ind w:left="1260"/>
      </w:pPr>
      <w: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C63735" w:rsidRDefault="00C63735" w:rsidP="0085253F">
      <w:pPr>
        <w:ind w:left="851"/>
      </w:pPr>
    </w:p>
    <w:p w:rsidR="00C63735" w:rsidRDefault="00C63735" w:rsidP="00907971">
      <w:pPr>
        <w:ind w:left="1260"/>
      </w:pPr>
      <w:r>
        <w:t xml:space="preserve">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w:t>
      </w:r>
      <w:r>
        <w:lastRenderedPageBreak/>
        <w:t>by instalments (where applicable), lose any exemptions already granted, and a surcharge will be imposed.</w:t>
      </w:r>
    </w:p>
    <w:p w:rsidR="00C63735" w:rsidRDefault="00C63735" w:rsidP="0085253F">
      <w:pPr>
        <w:ind w:left="851"/>
      </w:pPr>
    </w:p>
    <w:p w:rsidR="00C63735" w:rsidRDefault="00907971" w:rsidP="00907971">
      <w:pPr>
        <w:ind w:left="1260"/>
      </w:pPr>
      <w:r>
        <w:t xml:space="preserve">Care </w:t>
      </w:r>
      <w:r w:rsidR="00C63735">
        <w:t>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C63735" w:rsidRDefault="00C63735" w:rsidP="0085253F">
      <w:pPr>
        <w:ind w:left="851"/>
      </w:pPr>
    </w:p>
    <w:p w:rsidR="00C63735" w:rsidRDefault="00C63735" w:rsidP="00907971">
      <w:pPr>
        <w:ind w:left="1260"/>
      </w:pPr>
      <w:r>
        <w:t xml:space="preserve">Where possible, </w:t>
      </w:r>
      <w:proofErr w:type="gramStart"/>
      <w:r>
        <w:t>energy saving</w:t>
      </w:r>
      <w:proofErr w:type="gramEnd"/>
      <w:r>
        <w:t xml:space="preserve"> and water harvesting measures should be incorporated. Any external changes to the building which may be subsequently required should be discussed with the Council's Development Management Section prior to the commencement of work.</w:t>
      </w:r>
    </w:p>
    <w:p w:rsidR="00C63735" w:rsidRDefault="00C63735" w:rsidP="0085253F"/>
    <w:p w:rsidR="00C63735" w:rsidRDefault="00907971" w:rsidP="00907971">
      <w:pPr>
        <w:tabs>
          <w:tab w:val="clear" w:pos="1260"/>
          <w:tab w:val="left" w:pos="851"/>
        </w:tabs>
        <w:ind w:left="1260" w:hanging="1260"/>
      </w:pPr>
      <w:r>
        <w:tab/>
      </w:r>
      <w:r w:rsidR="00C63735">
        <w:t>I2</w:t>
      </w:r>
      <w:r w:rsidR="00E41F9A">
        <w:tab/>
      </w:r>
      <w:r w:rsidR="00E23437">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C63735" w:rsidRDefault="00C63735" w:rsidP="0085253F"/>
    <w:p w:rsidR="00E23437" w:rsidRPr="00E23437" w:rsidRDefault="00907971" w:rsidP="00907971">
      <w:pPr>
        <w:tabs>
          <w:tab w:val="clear" w:pos="1260"/>
          <w:tab w:val="left" w:pos="851"/>
        </w:tabs>
        <w:ind w:left="1260" w:hanging="1260"/>
      </w:pPr>
      <w:r>
        <w:tab/>
      </w:r>
      <w:r w:rsidR="00C63735">
        <w:t>I3</w:t>
      </w:r>
      <w:r w:rsidR="00C63735">
        <w:tab/>
      </w:r>
      <w:r w:rsidR="00E23437">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C63735" w:rsidRDefault="00C63735" w:rsidP="0085253F"/>
    <w:p w:rsidR="00C63735" w:rsidRDefault="00907971" w:rsidP="00907971">
      <w:pPr>
        <w:tabs>
          <w:tab w:val="clear" w:pos="1260"/>
          <w:tab w:val="left" w:pos="851"/>
        </w:tabs>
        <w:ind w:left="1260" w:hanging="1260"/>
      </w:pPr>
      <w:r>
        <w:tab/>
      </w:r>
      <w:r w:rsidR="00C63735">
        <w:t>I4</w:t>
      </w:r>
      <w:r w:rsidR="00C63735">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C63735" w:rsidRDefault="00C63735" w:rsidP="0085253F"/>
    <w:p w:rsidR="00C63735" w:rsidRDefault="00C63735" w:rsidP="00907971">
      <w:pPr>
        <w:ind w:left="1276"/>
      </w:pPr>
      <w:r>
        <w:t>If bats are found all works must stop immediately and advice sought as to how to proceed from either of the following organisations:</w:t>
      </w:r>
    </w:p>
    <w:p w:rsidR="00C63735" w:rsidRDefault="00C63735" w:rsidP="00907971">
      <w:pPr>
        <w:ind w:left="1276"/>
      </w:pPr>
      <w:r>
        <w:t>The UK Bat Helpline: 0845 1300 228</w:t>
      </w:r>
    </w:p>
    <w:p w:rsidR="00C63735" w:rsidRDefault="00C63735" w:rsidP="00907971">
      <w:pPr>
        <w:ind w:left="1276"/>
      </w:pPr>
      <w:r>
        <w:t>Natural England: 0300 060 3900</w:t>
      </w:r>
    </w:p>
    <w:p w:rsidR="00C63735" w:rsidRDefault="00C63735" w:rsidP="00907971">
      <w:pPr>
        <w:ind w:left="1276"/>
      </w:pPr>
      <w:r>
        <w:t>Herts &amp; Middlesex Bat Group: www.hmbg.org.uk</w:t>
      </w:r>
    </w:p>
    <w:p w:rsidR="00C63735" w:rsidRDefault="00C63735" w:rsidP="00907971">
      <w:pPr>
        <w:ind w:left="1276"/>
      </w:pPr>
      <w:proofErr w:type="gramStart"/>
      <w:r>
        <w:t>or</w:t>
      </w:r>
      <w:proofErr w:type="gramEnd"/>
      <w:r>
        <w:t xml:space="preserve"> an appropriately qualified and experienced ecologist.</w:t>
      </w:r>
    </w:p>
    <w:p w:rsidR="00C63735" w:rsidRDefault="00C63735" w:rsidP="00907971">
      <w:pPr>
        <w:ind w:left="1276"/>
      </w:pPr>
    </w:p>
    <w:p w:rsidR="009D5A0C" w:rsidRDefault="00C63735" w:rsidP="00907971">
      <w:pPr>
        <w:ind w:left="1276"/>
      </w:pPr>
      <w:r>
        <w:t>(As an alternative to proceeding with caution, the applicant may wish to commission an ecological consultant before works start to determine whether or not bats are present. A list of bat consultants can be obtained from Hertfordshire Ecology on 01992 555220).</w:t>
      </w:r>
    </w:p>
    <w:sectPr w:rsidR="009D5A0C" w:rsidSect="00C173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21"/>
    <w:rsid w:val="000146AC"/>
    <w:rsid w:val="0005072F"/>
    <w:rsid w:val="00095549"/>
    <w:rsid w:val="000C7E8D"/>
    <w:rsid w:val="000D5BED"/>
    <w:rsid w:val="000F6356"/>
    <w:rsid w:val="001309A3"/>
    <w:rsid w:val="001312A8"/>
    <w:rsid w:val="00144857"/>
    <w:rsid w:val="001A07B4"/>
    <w:rsid w:val="001A2760"/>
    <w:rsid w:val="001A2E5F"/>
    <w:rsid w:val="001C4255"/>
    <w:rsid w:val="00200C55"/>
    <w:rsid w:val="002218C0"/>
    <w:rsid w:val="00221F66"/>
    <w:rsid w:val="002359D3"/>
    <w:rsid w:val="00251757"/>
    <w:rsid w:val="002B5DAD"/>
    <w:rsid w:val="002C1F66"/>
    <w:rsid w:val="002D5054"/>
    <w:rsid w:val="002D6A7B"/>
    <w:rsid w:val="002F1ACE"/>
    <w:rsid w:val="003122FE"/>
    <w:rsid w:val="00315DED"/>
    <w:rsid w:val="00322A48"/>
    <w:rsid w:val="00361F7C"/>
    <w:rsid w:val="00367D6A"/>
    <w:rsid w:val="00375EFE"/>
    <w:rsid w:val="003917F2"/>
    <w:rsid w:val="00395621"/>
    <w:rsid w:val="003A5243"/>
    <w:rsid w:val="003F6A70"/>
    <w:rsid w:val="004A3CDE"/>
    <w:rsid w:val="004E3ADD"/>
    <w:rsid w:val="004E7FF8"/>
    <w:rsid w:val="00525C25"/>
    <w:rsid w:val="0053684C"/>
    <w:rsid w:val="0054352D"/>
    <w:rsid w:val="00580139"/>
    <w:rsid w:val="0058125E"/>
    <w:rsid w:val="00582436"/>
    <w:rsid w:val="005865C0"/>
    <w:rsid w:val="005930D8"/>
    <w:rsid w:val="0059733B"/>
    <w:rsid w:val="005A3113"/>
    <w:rsid w:val="005A3DBC"/>
    <w:rsid w:val="005B2AC4"/>
    <w:rsid w:val="005D0835"/>
    <w:rsid w:val="005D2A0A"/>
    <w:rsid w:val="005E79E7"/>
    <w:rsid w:val="006826F4"/>
    <w:rsid w:val="00686A85"/>
    <w:rsid w:val="006A2B53"/>
    <w:rsid w:val="006A53ED"/>
    <w:rsid w:val="006E68D9"/>
    <w:rsid w:val="00700A92"/>
    <w:rsid w:val="00701511"/>
    <w:rsid w:val="00704D2F"/>
    <w:rsid w:val="00713D0F"/>
    <w:rsid w:val="00716E10"/>
    <w:rsid w:val="007475C3"/>
    <w:rsid w:val="00764F1A"/>
    <w:rsid w:val="00766D15"/>
    <w:rsid w:val="007B4DAB"/>
    <w:rsid w:val="007E04A9"/>
    <w:rsid w:val="00803E15"/>
    <w:rsid w:val="0085253F"/>
    <w:rsid w:val="00873B51"/>
    <w:rsid w:val="00873C2D"/>
    <w:rsid w:val="00876004"/>
    <w:rsid w:val="00883020"/>
    <w:rsid w:val="008900B8"/>
    <w:rsid w:val="00895905"/>
    <w:rsid w:val="008A2CAA"/>
    <w:rsid w:val="008B2B2B"/>
    <w:rsid w:val="008B5ACB"/>
    <w:rsid w:val="008D0792"/>
    <w:rsid w:val="008E08A1"/>
    <w:rsid w:val="009001CF"/>
    <w:rsid w:val="00907971"/>
    <w:rsid w:val="009378CE"/>
    <w:rsid w:val="00941550"/>
    <w:rsid w:val="009659BB"/>
    <w:rsid w:val="009971D6"/>
    <w:rsid w:val="009A5528"/>
    <w:rsid w:val="009C4809"/>
    <w:rsid w:val="009D5A0C"/>
    <w:rsid w:val="009F69B6"/>
    <w:rsid w:val="00A02115"/>
    <w:rsid w:val="00A100A2"/>
    <w:rsid w:val="00A40C8F"/>
    <w:rsid w:val="00A608A1"/>
    <w:rsid w:val="00A73484"/>
    <w:rsid w:val="00A82C28"/>
    <w:rsid w:val="00A830E3"/>
    <w:rsid w:val="00A91D44"/>
    <w:rsid w:val="00A96543"/>
    <w:rsid w:val="00AB5CB8"/>
    <w:rsid w:val="00AC101A"/>
    <w:rsid w:val="00AD234F"/>
    <w:rsid w:val="00AD4539"/>
    <w:rsid w:val="00AF12C9"/>
    <w:rsid w:val="00B010A7"/>
    <w:rsid w:val="00B02031"/>
    <w:rsid w:val="00B150E9"/>
    <w:rsid w:val="00B17920"/>
    <w:rsid w:val="00B26E89"/>
    <w:rsid w:val="00B3686E"/>
    <w:rsid w:val="00B70DF1"/>
    <w:rsid w:val="00B75C5A"/>
    <w:rsid w:val="00B75E41"/>
    <w:rsid w:val="00B8010D"/>
    <w:rsid w:val="00B80A0F"/>
    <w:rsid w:val="00BA4887"/>
    <w:rsid w:val="00BC06F9"/>
    <w:rsid w:val="00BD41CE"/>
    <w:rsid w:val="00C1732F"/>
    <w:rsid w:val="00C60CC3"/>
    <w:rsid w:val="00C63735"/>
    <w:rsid w:val="00C673C8"/>
    <w:rsid w:val="00C8108C"/>
    <w:rsid w:val="00C81DDF"/>
    <w:rsid w:val="00CA1DA2"/>
    <w:rsid w:val="00CB2236"/>
    <w:rsid w:val="00CB2FF7"/>
    <w:rsid w:val="00CC2290"/>
    <w:rsid w:val="00CC584B"/>
    <w:rsid w:val="00CC7D73"/>
    <w:rsid w:val="00CF1CF8"/>
    <w:rsid w:val="00CF38AA"/>
    <w:rsid w:val="00D15849"/>
    <w:rsid w:val="00D25734"/>
    <w:rsid w:val="00D3555B"/>
    <w:rsid w:val="00D367E1"/>
    <w:rsid w:val="00D56A25"/>
    <w:rsid w:val="00DA5EFC"/>
    <w:rsid w:val="00DB3E12"/>
    <w:rsid w:val="00DE482D"/>
    <w:rsid w:val="00DE4D59"/>
    <w:rsid w:val="00E12C7B"/>
    <w:rsid w:val="00E164CE"/>
    <w:rsid w:val="00E23437"/>
    <w:rsid w:val="00E33F6D"/>
    <w:rsid w:val="00E346D7"/>
    <w:rsid w:val="00E41F9A"/>
    <w:rsid w:val="00E70E3C"/>
    <w:rsid w:val="00E851E3"/>
    <w:rsid w:val="00E932C0"/>
    <w:rsid w:val="00E955CC"/>
    <w:rsid w:val="00EC4FFE"/>
    <w:rsid w:val="00EF1F33"/>
    <w:rsid w:val="00EF30FA"/>
    <w:rsid w:val="00F03B08"/>
    <w:rsid w:val="00F266ED"/>
    <w:rsid w:val="00F61754"/>
    <w:rsid w:val="00F75B04"/>
    <w:rsid w:val="00F87962"/>
    <w:rsid w:val="00FA7DA3"/>
    <w:rsid w:val="00FD14D1"/>
    <w:rsid w:val="00FE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A2D4-403C-4EC4-8850-47AA2347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3878</Words>
  <Characters>22108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Heighton</dc:creator>
  <cp:lastModifiedBy>Sarah Haythorpe</cp:lastModifiedBy>
  <cp:revision>6</cp:revision>
  <cp:lastPrinted>2018-02-14T15:15:00Z</cp:lastPrinted>
  <dcterms:created xsi:type="dcterms:W3CDTF">2018-03-09T09:01:00Z</dcterms:created>
  <dcterms:modified xsi:type="dcterms:W3CDTF">2018-03-13T11:32:00Z</dcterms:modified>
</cp:coreProperties>
</file>