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16E5" w:rsidRDefault="00CC16E5" w:rsidP="00B7461B">
      <w:pPr>
        <w:jc w:val="center"/>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 xml:space="preserve">AUDIT COMMITTEE – </w:t>
      </w:r>
      <w:r w:rsidR="00FA0AAD">
        <w:rPr>
          <w:b/>
        </w:rPr>
        <w:t>4</w:t>
      </w:r>
      <w:r w:rsidR="003E5B39">
        <w:rPr>
          <w:b/>
        </w:rPr>
        <w:t xml:space="preserve"> </w:t>
      </w:r>
      <w:r w:rsidR="00FA0AAD">
        <w:rPr>
          <w:b/>
        </w:rPr>
        <w:t>JULY</w:t>
      </w:r>
      <w:r>
        <w:rPr>
          <w:b/>
        </w:rPr>
        <w:t xml:space="preserve"> 201</w:t>
      </w:r>
      <w:r w:rsidR="00077014">
        <w:rPr>
          <w:b/>
        </w:rPr>
        <w:t>7</w:t>
      </w:r>
    </w:p>
    <w:p w:rsidR="00CC16E5" w:rsidRDefault="00CC16E5" w:rsidP="00B7461B">
      <w:pPr>
        <w:jc w:val="center"/>
        <w:rPr>
          <w:b/>
          <w:i/>
        </w:rPr>
      </w:pPr>
      <w:r>
        <w:rPr>
          <w:b/>
        </w:rPr>
        <w:fldChar w:fldCharType="begin"/>
      </w:r>
      <w:r>
        <w:rPr>
          <w:b/>
        </w:rPr>
        <w:instrText xml:space="preserve">  </w:instrText>
      </w:r>
      <w:r>
        <w:rPr>
          <w:b/>
        </w:rPr>
        <w:fldChar w:fldCharType="end"/>
      </w:r>
    </w:p>
    <w:p w:rsidR="00CC16E5" w:rsidRDefault="00CC16E5">
      <w:pPr>
        <w:jc w:val="center"/>
      </w:pPr>
    </w:p>
    <w:p w:rsidR="00CC16E5" w:rsidRDefault="00CC16E5">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p>
    <w:p w:rsidR="00CC16E5" w:rsidRDefault="00CC16E5">
      <w:pPr>
        <w:jc w:val="center"/>
        <w:rPr>
          <w:b/>
        </w:rPr>
      </w:pPr>
    </w:p>
    <w:p w:rsidR="00CC16E5" w:rsidRDefault="00CC16E5"/>
    <w:p w:rsidR="00CC16E5" w:rsidRDefault="000D348C" w:rsidP="002D69A9">
      <w:pPr>
        <w:keepNext/>
        <w:ind w:left="1267" w:hanging="1267"/>
        <w:jc w:val="left"/>
        <w:rPr>
          <w:i/>
          <w:color w:val="FF0000"/>
        </w:rPr>
      </w:pPr>
      <w:r>
        <w:rPr>
          <w:b/>
        </w:rPr>
        <w:t>7</w:t>
      </w:r>
      <w:r w:rsidR="00CC16E5">
        <w:rPr>
          <w:b/>
        </w:rPr>
        <w:t>.</w:t>
      </w:r>
      <w:r w:rsidR="00CC16E5">
        <w:rPr>
          <w:b/>
        </w:rPr>
        <w:tab/>
      </w:r>
      <w:r w:rsidR="00CC16E5">
        <w:rPr>
          <w:b/>
        </w:rPr>
        <w:fldChar w:fldCharType="begin"/>
      </w:r>
      <w:r w:rsidR="00CC16E5">
        <w:rPr>
          <w:b/>
        </w:rPr>
        <w:instrText xml:space="preserve">  </w:instrText>
      </w:r>
      <w:r w:rsidR="00CC16E5">
        <w:rPr>
          <w:b/>
        </w:rPr>
        <w:fldChar w:fldCharType="end"/>
      </w:r>
      <w:r>
        <w:rPr>
          <w:b/>
        </w:rPr>
        <w:t>ANNUAL FRAUD REPORT 2016/17</w:t>
      </w:r>
      <w:r w:rsidR="00CC16E5">
        <w:rPr>
          <w:b/>
        </w:rPr>
        <w:fldChar w:fldCharType="begin"/>
      </w:r>
      <w:r w:rsidR="00CC16E5">
        <w:rPr>
          <w:b/>
        </w:rPr>
        <w:instrText xml:space="preserve">  </w:instrText>
      </w:r>
      <w:r w:rsidR="00CC16E5">
        <w:rPr>
          <w:b/>
        </w:rPr>
        <w:fldChar w:fldCharType="end"/>
      </w:r>
    </w:p>
    <w:p w:rsidR="00CC16E5" w:rsidRDefault="00CC16E5">
      <w:pPr>
        <w:keepNext/>
        <w:ind w:left="1267" w:hanging="1267"/>
        <w:rPr>
          <w:i/>
          <w:color w:val="FF0000"/>
        </w:rPr>
      </w:pPr>
      <w:r>
        <w:rPr>
          <w:b/>
        </w:rPr>
        <w:tab/>
      </w:r>
      <w:r>
        <w:t>(DoF</w:t>
      </w:r>
      <w:r>
        <w:fldChar w:fldCharType="begin"/>
      </w:r>
      <w:r>
        <w:instrText xml:space="preserve">  </w:instrText>
      </w:r>
      <w:r>
        <w:fldChar w:fldCharType="end"/>
      </w:r>
      <w:r>
        <w:t>)</w:t>
      </w:r>
      <w:r>
        <w:rPr>
          <w:b/>
          <w:i/>
          <w:sz w:val="24"/>
        </w:rPr>
        <w:fldChar w:fldCharType="begin"/>
      </w:r>
      <w:r>
        <w:rPr>
          <w:b/>
          <w:i/>
          <w:sz w:val="24"/>
        </w:rPr>
        <w:instrText xml:space="preserve">  </w:instrText>
      </w:r>
      <w:r>
        <w:rPr>
          <w:b/>
          <w:i/>
          <w:sz w:val="24"/>
        </w:rPr>
        <w:fldChar w:fldCharType="end"/>
      </w:r>
      <w:r>
        <w:rPr>
          <w:b/>
          <w:i/>
          <w:sz w:val="24"/>
        </w:rPr>
        <w:fldChar w:fldCharType="begin"/>
      </w:r>
      <w:r>
        <w:rPr>
          <w:b/>
          <w:i/>
          <w:sz w:val="24"/>
        </w:rPr>
        <w:instrText xml:space="preserve">  </w:instrText>
      </w:r>
      <w:r>
        <w:rPr>
          <w:b/>
          <w:i/>
          <w:sz w:val="24"/>
        </w:rPr>
        <w:fldChar w:fldCharType="end"/>
      </w:r>
    </w:p>
    <w:p w:rsidR="00CC16E5" w:rsidRDefault="00CC16E5">
      <w:pPr>
        <w:ind w:left="1267" w:hanging="1267"/>
      </w:pPr>
    </w:p>
    <w:p w:rsidR="000D348C" w:rsidRDefault="000D348C">
      <w:pPr>
        <w:ind w:left="1267" w:hanging="1267"/>
      </w:pPr>
    </w:p>
    <w:p w:rsidR="000D348C" w:rsidRDefault="000D348C">
      <w:pPr>
        <w:ind w:left="1267" w:hanging="1267"/>
      </w:pPr>
    </w:p>
    <w:tbl>
      <w:tblPr>
        <w:tblW w:w="9889" w:type="dxa"/>
        <w:tblLayout w:type="fixed"/>
        <w:tblLook w:val="01E0" w:firstRow="1" w:lastRow="1" w:firstColumn="1" w:lastColumn="1" w:noHBand="0" w:noVBand="0"/>
      </w:tblPr>
      <w:tblGrid>
        <w:gridCol w:w="675"/>
        <w:gridCol w:w="9"/>
        <w:gridCol w:w="9205"/>
      </w:tblGrid>
      <w:tr w:rsidR="000D348C" w:rsidRPr="000D348C" w:rsidTr="000D348C">
        <w:tc>
          <w:tcPr>
            <w:tcW w:w="675" w:type="dxa"/>
            <w:shd w:val="clear" w:color="auto" w:fill="auto"/>
          </w:tcPr>
          <w:p w:rsidR="000D348C" w:rsidRPr="000D348C" w:rsidRDefault="000D348C" w:rsidP="000D348C">
            <w:pPr>
              <w:spacing w:line="360" w:lineRule="auto"/>
              <w:rPr>
                <w:rFonts w:cs="Arial"/>
                <w:szCs w:val="22"/>
              </w:rPr>
            </w:pPr>
            <w:r w:rsidRPr="000D348C">
              <w:rPr>
                <w:rFonts w:cs="Arial"/>
                <w:szCs w:val="22"/>
              </w:rPr>
              <w:t>1</w:t>
            </w:r>
          </w:p>
        </w:tc>
        <w:tc>
          <w:tcPr>
            <w:tcW w:w="9214" w:type="dxa"/>
            <w:gridSpan w:val="2"/>
            <w:shd w:val="clear" w:color="auto" w:fill="auto"/>
          </w:tcPr>
          <w:p w:rsidR="000D348C" w:rsidRPr="000D348C" w:rsidRDefault="000D348C" w:rsidP="000D348C">
            <w:pPr>
              <w:spacing w:line="360" w:lineRule="auto"/>
              <w:rPr>
                <w:rFonts w:cs="Arial"/>
                <w:b/>
                <w:szCs w:val="22"/>
              </w:rPr>
            </w:pPr>
            <w:r w:rsidRPr="000D348C">
              <w:rPr>
                <w:rFonts w:cs="Arial"/>
                <w:b/>
                <w:szCs w:val="22"/>
              </w:rPr>
              <w:t>SUMMARY</w:t>
            </w:r>
          </w:p>
        </w:tc>
      </w:tr>
      <w:tr w:rsidR="000D348C" w:rsidRPr="000D348C" w:rsidTr="000D348C">
        <w:tc>
          <w:tcPr>
            <w:tcW w:w="675" w:type="dxa"/>
            <w:shd w:val="clear" w:color="auto" w:fill="auto"/>
          </w:tcPr>
          <w:p w:rsidR="000D348C" w:rsidRPr="000D348C" w:rsidRDefault="000D348C" w:rsidP="000D348C">
            <w:pPr>
              <w:spacing w:line="360" w:lineRule="auto"/>
              <w:rPr>
                <w:rFonts w:cs="Arial"/>
                <w:szCs w:val="22"/>
              </w:rPr>
            </w:pPr>
            <w:r w:rsidRPr="000D348C">
              <w:rPr>
                <w:rFonts w:cs="Arial"/>
                <w:szCs w:val="22"/>
              </w:rPr>
              <w:t>1.1</w:t>
            </w:r>
          </w:p>
        </w:tc>
        <w:tc>
          <w:tcPr>
            <w:tcW w:w="9214" w:type="dxa"/>
            <w:gridSpan w:val="2"/>
            <w:shd w:val="clear" w:color="auto" w:fill="auto"/>
          </w:tcPr>
          <w:p w:rsidR="000D348C" w:rsidRPr="000D348C" w:rsidRDefault="000D348C" w:rsidP="000D348C">
            <w:pPr>
              <w:rPr>
                <w:rFonts w:cs="Arial"/>
                <w:szCs w:val="22"/>
              </w:rPr>
            </w:pPr>
            <w:r w:rsidRPr="000D348C">
              <w:rPr>
                <w:rFonts w:cs="Arial"/>
                <w:szCs w:val="22"/>
              </w:rPr>
              <w:t>This report informs members of the work of the Fraud Section for the financial year 2016/17 and provides updates on progress and developments for the current financial year.</w:t>
            </w:r>
          </w:p>
        </w:tc>
      </w:tr>
      <w:tr w:rsidR="000D348C" w:rsidRPr="000D348C" w:rsidTr="000D348C">
        <w:tc>
          <w:tcPr>
            <w:tcW w:w="675" w:type="dxa"/>
            <w:shd w:val="clear" w:color="auto" w:fill="auto"/>
          </w:tcPr>
          <w:p w:rsidR="000D348C" w:rsidRPr="000D348C" w:rsidRDefault="000D348C" w:rsidP="000D348C">
            <w:pPr>
              <w:spacing w:line="360" w:lineRule="auto"/>
              <w:rPr>
                <w:rFonts w:cs="Arial"/>
                <w:szCs w:val="22"/>
              </w:rPr>
            </w:pPr>
          </w:p>
        </w:tc>
        <w:tc>
          <w:tcPr>
            <w:tcW w:w="9214" w:type="dxa"/>
            <w:gridSpan w:val="2"/>
            <w:shd w:val="clear" w:color="auto" w:fill="auto"/>
          </w:tcPr>
          <w:p w:rsidR="000D348C" w:rsidRPr="000D348C" w:rsidRDefault="000D348C" w:rsidP="000D348C">
            <w:pPr>
              <w:spacing w:line="360" w:lineRule="auto"/>
              <w:rPr>
                <w:rFonts w:cs="Arial"/>
                <w:szCs w:val="22"/>
              </w:rPr>
            </w:pP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p>
        </w:tc>
        <w:tc>
          <w:tcPr>
            <w:tcW w:w="9205" w:type="dxa"/>
            <w:tcBorders>
              <w:top w:val="nil"/>
              <w:left w:val="nil"/>
              <w:bottom w:val="nil"/>
              <w:right w:val="nil"/>
            </w:tcBorders>
            <w:shd w:val="clear" w:color="auto" w:fill="auto"/>
          </w:tcPr>
          <w:p w:rsidR="000D348C" w:rsidRPr="000D348C" w:rsidRDefault="000D348C" w:rsidP="0014652A">
            <w:pPr>
              <w:tabs>
                <w:tab w:val="left" w:pos="2835"/>
              </w:tabs>
              <w:rPr>
                <w:rFonts w:cs="Arial"/>
                <w:b/>
                <w:szCs w:val="22"/>
              </w:rPr>
            </w:pPr>
            <w:r w:rsidRPr="000D348C">
              <w:rPr>
                <w:rFonts w:cs="Arial"/>
                <w:b/>
                <w:szCs w:val="22"/>
              </w:rPr>
              <w:t>DETAILS</w:t>
            </w: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b/>
                <w:i/>
                <w:szCs w:val="22"/>
                <w:u w:val="single"/>
              </w:rPr>
              <w:t>Fraud is a crime that affects everyone</w:t>
            </w:r>
            <w:r w:rsidRPr="000D348C">
              <w:rPr>
                <w:rFonts w:cs="Arial"/>
                <w:szCs w:val="22"/>
              </w:rPr>
              <w:t xml:space="preserve">. The latest Fraud and Corruption Strategy from CIPFA quotes fraud losses in local government of more than £2.1 billion a year.  The harm caused by fraud is not just financial: it damages local communities.  It is vital therefore that we have a strong anti-fraud culture underpinned with effective counter-fraud policies and good practice procedures. </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The CIPFA  report can be downloaded from:</w:t>
            </w:r>
          </w:p>
          <w:p w:rsidR="000D348C" w:rsidRPr="000D348C" w:rsidRDefault="00382CD3" w:rsidP="000D348C">
            <w:pPr>
              <w:rPr>
                <w:rFonts w:cs="Arial"/>
                <w:szCs w:val="22"/>
              </w:rPr>
            </w:pPr>
            <w:hyperlink r:id="rId7" w:history="1">
              <w:r w:rsidR="000D348C" w:rsidRPr="000D348C">
                <w:rPr>
                  <w:rStyle w:val="Hyperlink"/>
                  <w:rFonts w:cs="Arial"/>
                  <w:szCs w:val="22"/>
                </w:rPr>
                <w:t>http://www.cipfa.org/services/counter-fraud-centre/fighting-fraud-and-corruption-locally</w:t>
              </w:r>
            </w:hyperlink>
          </w:p>
          <w:p w:rsidR="000D348C" w:rsidRPr="000D348C" w:rsidRDefault="000D348C" w:rsidP="000D348C">
            <w:pPr>
              <w:rPr>
                <w:rFonts w:cs="Arial"/>
                <w:szCs w:val="22"/>
              </w:rPr>
            </w:pP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.2</w:t>
            </w:r>
          </w:p>
        </w:tc>
        <w:tc>
          <w:tcPr>
            <w:tcW w:w="9205" w:type="dxa"/>
            <w:tcBorders>
              <w:top w:val="nil"/>
              <w:left w:val="nil"/>
              <w:bottom w:val="nil"/>
              <w:right w:val="nil"/>
            </w:tcBorders>
            <w:shd w:val="clear" w:color="auto" w:fill="auto"/>
          </w:tcPr>
          <w:p w:rsidR="000D348C" w:rsidRPr="000D348C" w:rsidRDefault="000D348C" w:rsidP="000D348C">
            <w:pPr>
              <w:tabs>
                <w:tab w:val="left" w:pos="2835"/>
              </w:tabs>
              <w:rPr>
                <w:rFonts w:cs="Arial"/>
                <w:szCs w:val="22"/>
              </w:rPr>
            </w:pPr>
            <w:r w:rsidRPr="000D348C">
              <w:rPr>
                <w:rFonts w:cs="Arial"/>
                <w:szCs w:val="22"/>
              </w:rPr>
              <w:t xml:space="preserve">The Council has a responsibility to protect the public purse through proper administration and control of public funds.  It is recognised we must have effective core arrangements in order for us to be effective and recognise the challenges we face.  These include prevention and deterrence, investigation and detection, recovery and redress and openness and transparency.  The Team provides support, advice and assistance on all matters of fraud risks. </w:t>
            </w:r>
          </w:p>
          <w:p w:rsidR="000D348C" w:rsidRPr="000D348C" w:rsidRDefault="000D348C" w:rsidP="000D348C">
            <w:pPr>
              <w:tabs>
                <w:tab w:val="left" w:pos="2835"/>
              </w:tabs>
              <w:rPr>
                <w:rFonts w:cs="Arial"/>
                <w:szCs w:val="22"/>
              </w:rPr>
            </w:pP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.3</w:t>
            </w:r>
          </w:p>
        </w:tc>
        <w:tc>
          <w:tcPr>
            <w:tcW w:w="9205" w:type="dxa"/>
            <w:tcBorders>
              <w:top w:val="nil"/>
              <w:left w:val="nil"/>
              <w:bottom w:val="nil"/>
              <w:right w:val="nil"/>
            </w:tcBorders>
            <w:shd w:val="clear" w:color="auto" w:fill="auto"/>
          </w:tcPr>
          <w:p w:rsidR="000D348C" w:rsidRPr="000D348C" w:rsidRDefault="000D348C" w:rsidP="000D348C">
            <w:pPr>
              <w:tabs>
                <w:tab w:val="left" w:pos="2835"/>
              </w:tabs>
              <w:rPr>
                <w:rFonts w:cs="Arial"/>
                <w:szCs w:val="22"/>
              </w:rPr>
            </w:pPr>
            <w:r w:rsidRPr="000D348C">
              <w:rPr>
                <w:rFonts w:cs="Arial"/>
                <w:szCs w:val="22"/>
              </w:rPr>
              <w:t xml:space="preserve">The Council is committed therefore to providing a proportionate and efficient value for money anti-fraud service which understands and acknowledges our fraud risks.  We must have efficient policies, have sanctions in place for those that offend and that reflect legislative changes and continually strengthen existing and new partnerships.  Countering Fraud is the responsibility of everyone. </w:t>
            </w:r>
          </w:p>
          <w:p w:rsidR="000D348C" w:rsidRPr="000D348C" w:rsidRDefault="000D348C" w:rsidP="000D348C">
            <w:pPr>
              <w:tabs>
                <w:tab w:val="left" w:pos="2835"/>
              </w:tabs>
              <w:rPr>
                <w:rFonts w:cs="Arial"/>
                <w:szCs w:val="22"/>
              </w:rPr>
            </w:pP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.4</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The Fraud Section is part of the Finance Shared Service with </w:t>
            </w:r>
            <w:r>
              <w:rPr>
                <w:rFonts w:cs="Arial"/>
                <w:szCs w:val="22"/>
              </w:rPr>
              <w:t>Watford Borough</w:t>
            </w:r>
            <w:r w:rsidRPr="000D348C">
              <w:rPr>
                <w:rFonts w:cs="Arial"/>
                <w:szCs w:val="22"/>
              </w:rPr>
              <w:t xml:space="preserve"> Council.  It is co-located between Three Rivers House and Watford Town Hall.  The details below apply to both councils unless otherwise stated.</w:t>
            </w:r>
          </w:p>
          <w:p w:rsidR="000D348C" w:rsidRPr="000D348C" w:rsidRDefault="000D348C" w:rsidP="000D348C">
            <w:pPr>
              <w:rPr>
                <w:rFonts w:cs="Arial"/>
                <w:szCs w:val="22"/>
              </w:rPr>
            </w:pP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.5</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The Fraud team have an important role in sharing data with appropriate law enforcement agencies and acting as a Single Point of Contact (Spoc).  This includes responding to requests for information, providing the necessary evidence and witness statements to prevent and detect crime.  There is also an important deterrent element in publicising the work of the team in detecting and preventing fraud.</w:t>
            </w:r>
          </w:p>
          <w:p w:rsidR="000D348C" w:rsidRPr="000D348C" w:rsidRDefault="000D348C" w:rsidP="000D348C">
            <w:pPr>
              <w:rPr>
                <w:rFonts w:cs="Arial"/>
                <w:szCs w:val="22"/>
              </w:rPr>
            </w:pP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p>
        </w:tc>
        <w:tc>
          <w:tcPr>
            <w:tcW w:w="9205" w:type="dxa"/>
            <w:tcBorders>
              <w:top w:val="nil"/>
              <w:left w:val="nil"/>
              <w:bottom w:val="nil"/>
              <w:right w:val="nil"/>
            </w:tcBorders>
            <w:shd w:val="clear" w:color="auto" w:fill="auto"/>
          </w:tcPr>
          <w:p w:rsidR="000D348C" w:rsidRPr="000D348C" w:rsidRDefault="000D348C" w:rsidP="000D348C">
            <w:pPr>
              <w:rPr>
                <w:rFonts w:cs="Arial"/>
                <w:b/>
                <w:szCs w:val="22"/>
                <w:lang w:val="en"/>
              </w:rPr>
            </w:pPr>
            <w:r w:rsidRPr="000D348C">
              <w:rPr>
                <w:rFonts w:cs="Arial"/>
                <w:b/>
                <w:szCs w:val="22"/>
                <w:lang w:val="en"/>
              </w:rPr>
              <w:t>Council Tax reduction</w:t>
            </w:r>
          </w:p>
        </w:tc>
      </w:tr>
      <w:tr w:rsidR="000D348C" w:rsidRPr="000D348C" w:rsidTr="000D3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4" w:type="dxa"/>
            <w:gridSpan w:val="2"/>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.6</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In respect of Council Tax Reduction, a local legal framework is in place to define who is entitled to the reduction and designed to reduce fraud from entering the system at inception.  It is an integral part of the administration that everyone is aware and vigilant of the risks.  Unfortunately, however good the administration of the benefits system is, it is always possible that fraud will enter the system by deliberate acts</w:t>
            </w:r>
          </w:p>
          <w:p w:rsidR="000D348C" w:rsidRPr="000D348C" w:rsidRDefault="000D348C" w:rsidP="000D348C">
            <w:pPr>
              <w:rPr>
                <w:rFonts w:cs="Arial"/>
                <w:szCs w:val="22"/>
              </w:rPr>
            </w:pPr>
          </w:p>
        </w:tc>
      </w:tr>
    </w:tbl>
    <w:p w:rsidR="000D348C" w:rsidRPr="000D348C" w:rsidRDefault="000D348C" w:rsidP="000D348C">
      <w:pPr>
        <w:rPr>
          <w:rFonts w:cs="Arial"/>
          <w:szCs w:val="22"/>
        </w:rPr>
      </w:pPr>
      <w:r w:rsidRPr="000D348C">
        <w:rPr>
          <w:rFonts w:cs="Arial"/>
          <w:szCs w:val="22"/>
        </w:rP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9205"/>
      </w:tblGrid>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lastRenderedPageBreak/>
              <w:t>2</w:t>
            </w:r>
            <w:r w:rsidRPr="000D348C">
              <w:rPr>
                <w:rFonts w:cs="Arial"/>
                <w:szCs w:val="22"/>
              </w:rPr>
              <w:t>.7</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During 2016/17 the Fraud Section issued the following sanctions in respect of the more serious fraudulent claims;</w:t>
            </w:r>
          </w:p>
          <w:p w:rsidR="000D348C" w:rsidRPr="000D348C" w:rsidRDefault="000D348C" w:rsidP="000D348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2073"/>
              <w:gridCol w:w="1448"/>
              <w:gridCol w:w="1432"/>
            </w:tblGrid>
            <w:tr w:rsidR="000D348C" w:rsidRPr="000D348C" w:rsidTr="000D348C">
              <w:tc>
                <w:tcPr>
                  <w:tcW w:w="3727" w:type="dxa"/>
                  <w:shd w:val="clear" w:color="auto" w:fill="auto"/>
                </w:tcPr>
                <w:p w:rsidR="000D348C" w:rsidRPr="000D348C" w:rsidRDefault="000D348C" w:rsidP="000D348C">
                  <w:pPr>
                    <w:rPr>
                      <w:rFonts w:cs="Arial"/>
                      <w:b/>
                      <w:szCs w:val="22"/>
                    </w:rPr>
                  </w:pPr>
                  <w:r w:rsidRPr="000D348C">
                    <w:rPr>
                      <w:rFonts w:cs="Arial"/>
                      <w:b/>
                      <w:szCs w:val="22"/>
                    </w:rPr>
                    <w:t>Action</w:t>
                  </w:r>
                </w:p>
              </w:tc>
              <w:tc>
                <w:tcPr>
                  <w:tcW w:w="2073" w:type="dxa"/>
                  <w:shd w:val="clear" w:color="auto" w:fill="auto"/>
                </w:tcPr>
                <w:p w:rsidR="000D348C" w:rsidRPr="000D348C" w:rsidRDefault="000D348C" w:rsidP="000D348C">
                  <w:pPr>
                    <w:rPr>
                      <w:rFonts w:cs="Arial"/>
                      <w:szCs w:val="22"/>
                    </w:rPr>
                  </w:pPr>
                  <w:r w:rsidRPr="000D348C">
                    <w:rPr>
                      <w:rFonts w:cs="Arial"/>
                      <w:szCs w:val="22"/>
                    </w:rPr>
                    <w:t>Three Rivers DC</w:t>
                  </w:r>
                </w:p>
              </w:tc>
              <w:tc>
                <w:tcPr>
                  <w:tcW w:w="1448" w:type="dxa"/>
                  <w:shd w:val="clear" w:color="auto" w:fill="auto"/>
                </w:tcPr>
                <w:p w:rsidR="000D348C" w:rsidRPr="000D348C" w:rsidRDefault="000D348C" w:rsidP="000D348C">
                  <w:pPr>
                    <w:rPr>
                      <w:rFonts w:cs="Arial"/>
                      <w:szCs w:val="22"/>
                    </w:rPr>
                  </w:pPr>
                  <w:r w:rsidRPr="000D348C">
                    <w:rPr>
                      <w:rFonts w:cs="Arial"/>
                      <w:szCs w:val="22"/>
                    </w:rPr>
                    <w:t>Watford BC</w:t>
                  </w:r>
                </w:p>
              </w:tc>
              <w:tc>
                <w:tcPr>
                  <w:tcW w:w="1432" w:type="dxa"/>
                  <w:shd w:val="clear" w:color="auto" w:fill="auto"/>
                </w:tcPr>
                <w:p w:rsidR="000D348C" w:rsidRPr="000D348C" w:rsidRDefault="000D348C" w:rsidP="000D348C">
                  <w:pPr>
                    <w:rPr>
                      <w:rFonts w:cs="Arial"/>
                      <w:szCs w:val="22"/>
                    </w:rPr>
                  </w:pPr>
                  <w:r w:rsidRPr="000D348C">
                    <w:rPr>
                      <w:rFonts w:cs="Arial"/>
                      <w:szCs w:val="22"/>
                    </w:rPr>
                    <w:t>Total</w:t>
                  </w:r>
                </w:p>
              </w:tc>
            </w:tr>
            <w:tr w:rsidR="000D348C" w:rsidRPr="000D348C" w:rsidTr="000D348C">
              <w:tc>
                <w:tcPr>
                  <w:tcW w:w="3727" w:type="dxa"/>
                  <w:shd w:val="clear" w:color="auto" w:fill="auto"/>
                </w:tcPr>
                <w:p w:rsidR="000D348C" w:rsidRPr="000D348C" w:rsidRDefault="000D348C" w:rsidP="000D348C">
                  <w:pPr>
                    <w:rPr>
                      <w:rFonts w:cs="Arial"/>
                      <w:b/>
                      <w:szCs w:val="22"/>
                    </w:rPr>
                  </w:pPr>
                  <w:r w:rsidRPr="000D348C">
                    <w:rPr>
                      <w:rFonts w:cs="Arial"/>
                      <w:szCs w:val="22"/>
                    </w:rPr>
                    <w:t>Administrative Penalties</w:t>
                  </w:r>
                </w:p>
              </w:tc>
              <w:tc>
                <w:tcPr>
                  <w:tcW w:w="2073" w:type="dxa"/>
                  <w:shd w:val="clear" w:color="auto" w:fill="auto"/>
                </w:tcPr>
                <w:p w:rsidR="000D348C" w:rsidRPr="000D348C" w:rsidRDefault="000D348C" w:rsidP="000D348C">
                  <w:pPr>
                    <w:jc w:val="center"/>
                    <w:rPr>
                      <w:rFonts w:cs="Arial"/>
                      <w:szCs w:val="22"/>
                    </w:rPr>
                  </w:pPr>
                  <w:r w:rsidRPr="000D348C">
                    <w:rPr>
                      <w:rFonts w:cs="Arial"/>
                      <w:szCs w:val="22"/>
                    </w:rPr>
                    <w:t>1</w:t>
                  </w:r>
                </w:p>
              </w:tc>
              <w:tc>
                <w:tcPr>
                  <w:tcW w:w="1448" w:type="dxa"/>
                  <w:shd w:val="clear" w:color="auto" w:fill="auto"/>
                </w:tcPr>
                <w:p w:rsidR="000D348C" w:rsidRPr="000D348C" w:rsidRDefault="000D348C" w:rsidP="000D348C">
                  <w:pPr>
                    <w:jc w:val="center"/>
                    <w:rPr>
                      <w:rFonts w:cs="Arial"/>
                      <w:szCs w:val="22"/>
                    </w:rPr>
                  </w:pPr>
                  <w:r w:rsidRPr="000D348C">
                    <w:rPr>
                      <w:rFonts w:cs="Arial"/>
                      <w:szCs w:val="22"/>
                    </w:rPr>
                    <w:t>2</w:t>
                  </w:r>
                </w:p>
              </w:tc>
              <w:tc>
                <w:tcPr>
                  <w:tcW w:w="1432" w:type="dxa"/>
                  <w:shd w:val="clear" w:color="auto" w:fill="auto"/>
                </w:tcPr>
                <w:p w:rsidR="000D348C" w:rsidRPr="000D348C" w:rsidRDefault="000D348C" w:rsidP="000D348C">
                  <w:pPr>
                    <w:jc w:val="center"/>
                    <w:rPr>
                      <w:rFonts w:cs="Arial"/>
                      <w:szCs w:val="22"/>
                    </w:rPr>
                  </w:pPr>
                  <w:r w:rsidRPr="000D348C">
                    <w:rPr>
                      <w:rFonts w:cs="Arial"/>
                      <w:szCs w:val="22"/>
                    </w:rPr>
                    <w:t>3</w:t>
                  </w:r>
                </w:p>
              </w:tc>
            </w:tr>
            <w:tr w:rsidR="000D348C" w:rsidRPr="000D348C" w:rsidTr="000D348C">
              <w:tc>
                <w:tcPr>
                  <w:tcW w:w="3727" w:type="dxa"/>
                  <w:shd w:val="clear" w:color="auto" w:fill="auto"/>
                </w:tcPr>
                <w:p w:rsidR="000D348C" w:rsidRPr="000D348C" w:rsidRDefault="000D348C" w:rsidP="000D348C">
                  <w:pPr>
                    <w:rPr>
                      <w:rFonts w:cs="Arial"/>
                      <w:szCs w:val="22"/>
                    </w:rPr>
                  </w:pPr>
                  <w:r w:rsidRPr="000D348C">
                    <w:rPr>
                      <w:rFonts w:cs="Arial"/>
                      <w:szCs w:val="22"/>
                    </w:rPr>
                    <w:t>Formal Cautions</w:t>
                  </w:r>
                </w:p>
              </w:tc>
              <w:tc>
                <w:tcPr>
                  <w:tcW w:w="2073" w:type="dxa"/>
                  <w:shd w:val="clear" w:color="auto" w:fill="auto"/>
                </w:tcPr>
                <w:p w:rsidR="000D348C" w:rsidRPr="000D348C" w:rsidRDefault="000D348C" w:rsidP="000D348C">
                  <w:pPr>
                    <w:jc w:val="center"/>
                    <w:rPr>
                      <w:rFonts w:cs="Arial"/>
                      <w:szCs w:val="22"/>
                    </w:rPr>
                  </w:pPr>
                  <w:r w:rsidRPr="000D348C">
                    <w:rPr>
                      <w:rFonts w:cs="Arial"/>
                      <w:szCs w:val="22"/>
                    </w:rPr>
                    <w:t>8</w:t>
                  </w:r>
                </w:p>
              </w:tc>
              <w:tc>
                <w:tcPr>
                  <w:tcW w:w="1448" w:type="dxa"/>
                  <w:shd w:val="clear" w:color="auto" w:fill="auto"/>
                </w:tcPr>
                <w:p w:rsidR="000D348C" w:rsidRPr="000D348C" w:rsidRDefault="000D348C" w:rsidP="000D348C">
                  <w:pPr>
                    <w:jc w:val="center"/>
                    <w:rPr>
                      <w:rFonts w:cs="Arial"/>
                      <w:szCs w:val="22"/>
                    </w:rPr>
                  </w:pPr>
                  <w:r w:rsidRPr="000D348C">
                    <w:rPr>
                      <w:rFonts w:cs="Arial"/>
                      <w:szCs w:val="22"/>
                    </w:rPr>
                    <w:t>13</w:t>
                  </w:r>
                </w:p>
              </w:tc>
              <w:tc>
                <w:tcPr>
                  <w:tcW w:w="1432" w:type="dxa"/>
                  <w:shd w:val="clear" w:color="auto" w:fill="auto"/>
                </w:tcPr>
                <w:p w:rsidR="000D348C" w:rsidRPr="000D348C" w:rsidRDefault="000D348C" w:rsidP="000D348C">
                  <w:pPr>
                    <w:jc w:val="center"/>
                    <w:rPr>
                      <w:rFonts w:cs="Arial"/>
                      <w:szCs w:val="22"/>
                    </w:rPr>
                  </w:pPr>
                  <w:r w:rsidRPr="000D348C">
                    <w:rPr>
                      <w:rFonts w:cs="Arial"/>
                      <w:szCs w:val="22"/>
                    </w:rPr>
                    <w:t>21</w:t>
                  </w:r>
                </w:p>
              </w:tc>
            </w:tr>
            <w:tr w:rsidR="000D348C" w:rsidRPr="000D348C" w:rsidTr="000D348C">
              <w:tc>
                <w:tcPr>
                  <w:tcW w:w="3727" w:type="dxa"/>
                  <w:shd w:val="clear" w:color="auto" w:fill="auto"/>
                </w:tcPr>
                <w:p w:rsidR="000D348C" w:rsidRPr="000D348C" w:rsidRDefault="000D348C" w:rsidP="000D348C">
                  <w:pPr>
                    <w:rPr>
                      <w:rFonts w:cs="Arial"/>
                      <w:szCs w:val="22"/>
                    </w:rPr>
                  </w:pPr>
                  <w:r w:rsidRPr="000D348C">
                    <w:rPr>
                      <w:rFonts w:cs="Arial"/>
                      <w:szCs w:val="22"/>
                    </w:rPr>
                    <w:t>Successful Prosecutions</w:t>
                  </w:r>
                </w:p>
              </w:tc>
              <w:tc>
                <w:tcPr>
                  <w:tcW w:w="2073" w:type="dxa"/>
                  <w:shd w:val="clear" w:color="auto" w:fill="auto"/>
                </w:tcPr>
                <w:p w:rsidR="000D348C" w:rsidRPr="000D348C" w:rsidRDefault="000D348C" w:rsidP="000D348C">
                  <w:pPr>
                    <w:jc w:val="center"/>
                    <w:rPr>
                      <w:rFonts w:cs="Arial"/>
                      <w:szCs w:val="22"/>
                    </w:rPr>
                  </w:pPr>
                  <w:r w:rsidRPr="000D348C">
                    <w:rPr>
                      <w:rFonts w:cs="Arial"/>
                      <w:szCs w:val="22"/>
                    </w:rPr>
                    <w:t>5</w:t>
                  </w:r>
                </w:p>
              </w:tc>
              <w:tc>
                <w:tcPr>
                  <w:tcW w:w="1448" w:type="dxa"/>
                  <w:shd w:val="clear" w:color="auto" w:fill="auto"/>
                </w:tcPr>
                <w:p w:rsidR="000D348C" w:rsidRPr="000D348C" w:rsidRDefault="000D348C" w:rsidP="000D348C">
                  <w:pPr>
                    <w:jc w:val="center"/>
                    <w:rPr>
                      <w:rFonts w:cs="Arial"/>
                      <w:szCs w:val="22"/>
                    </w:rPr>
                  </w:pPr>
                  <w:r w:rsidRPr="000D348C">
                    <w:rPr>
                      <w:rFonts w:cs="Arial"/>
                      <w:szCs w:val="22"/>
                    </w:rPr>
                    <w:t>9</w:t>
                  </w:r>
                </w:p>
              </w:tc>
              <w:tc>
                <w:tcPr>
                  <w:tcW w:w="1432" w:type="dxa"/>
                  <w:shd w:val="clear" w:color="auto" w:fill="auto"/>
                </w:tcPr>
                <w:p w:rsidR="000D348C" w:rsidRPr="000D348C" w:rsidRDefault="000D348C" w:rsidP="000D348C">
                  <w:pPr>
                    <w:jc w:val="center"/>
                    <w:rPr>
                      <w:rFonts w:cs="Arial"/>
                      <w:szCs w:val="22"/>
                    </w:rPr>
                  </w:pPr>
                  <w:r w:rsidRPr="000D348C">
                    <w:rPr>
                      <w:rFonts w:cs="Arial"/>
                      <w:szCs w:val="22"/>
                    </w:rPr>
                    <w:t>14</w:t>
                  </w:r>
                </w:p>
              </w:tc>
            </w:tr>
            <w:tr w:rsidR="000D348C" w:rsidRPr="000D348C" w:rsidTr="000D348C">
              <w:tc>
                <w:tcPr>
                  <w:tcW w:w="3727" w:type="dxa"/>
                  <w:shd w:val="clear" w:color="auto" w:fill="auto"/>
                </w:tcPr>
                <w:p w:rsidR="000D348C" w:rsidRPr="000D348C" w:rsidRDefault="000D348C" w:rsidP="000D348C">
                  <w:pPr>
                    <w:rPr>
                      <w:rFonts w:cs="Arial"/>
                      <w:b/>
                      <w:szCs w:val="22"/>
                    </w:rPr>
                  </w:pPr>
                  <w:r w:rsidRPr="000D348C">
                    <w:rPr>
                      <w:rFonts w:cs="Arial"/>
                      <w:b/>
                      <w:szCs w:val="22"/>
                    </w:rPr>
                    <w:t>Total</w:t>
                  </w:r>
                </w:p>
              </w:tc>
              <w:tc>
                <w:tcPr>
                  <w:tcW w:w="2073" w:type="dxa"/>
                  <w:shd w:val="clear" w:color="auto" w:fill="auto"/>
                </w:tcPr>
                <w:p w:rsidR="000D348C" w:rsidRPr="000D348C" w:rsidRDefault="000D348C" w:rsidP="000D348C">
                  <w:pPr>
                    <w:jc w:val="center"/>
                    <w:rPr>
                      <w:rFonts w:cs="Arial"/>
                      <w:b/>
                      <w:szCs w:val="22"/>
                    </w:rPr>
                  </w:pPr>
                  <w:r w:rsidRPr="000D348C">
                    <w:rPr>
                      <w:rFonts w:cs="Arial"/>
                      <w:b/>
                      <w:szCs w:val="22"/>
                    </w:rPr>
                    <w:t>14</w:t>
                  </w:r>
                </w:p>
              </w:tc>
              <w:tc>
                <w:tcPr>
                  <w:tcW w:w="1448" w:type="dxa"/>
                  <w:shd w:val="clear" w:color="auto" w:fill="auto"/>
                </w:tcPr>
                <w:p w:rsidR="000D348C" w:rsidRPr="000D348C" w:rsidRDefault="000D348C" w:rsidP="000D348C">
                  <w:pPr>
                    <w:jc w:val="center"/>
                    <w:rPr>
                      <w:rFonts w:cs="Arial"/>
                      <w:b/>
                      <w:szCs w:val="22"/>
                    </w:rPr>
                  </w:pPr>
                  <w:r w:rsidRPr="000D348C">
                    <w:rPr>
                      <w:rFonts w:cs="Arial"/>
                      <w:b/>
                      <w:szCs w:val="22"/>
                    </w:rPr>
                    <w:t>24</w:t>
                  </w:r>
                </w:p>
              </w:tc>
              <w:tc>
                <w:tcPr>
                  <w:tcW w:w="1432" w:type="dxa"/>
                  <w:shd w:val="clear" w:color="auto" w:fill="auto"/>
                </w:tcPr>
                <w:p w:rsidR="000D348C" w:rsidRPr="000D348C" w:rsidRDefault="000D348C" w:rsidP="000D348C">
                  <w:pPr>
                    <w:jc w:val="center"/>
                    <w:rPr>
                      <w:rFonts w:cs="Arial"/>
                      <w:b/>
                      <w:szCs w:val="22"/>
                    </w:rPr>
                  </w:pPr>
                  <w:r w:rsidRPr="000D348C">
                    <w:rPr>
                      <w:rFonts w:cs="Arial"/>
                      <w:b/>
                      <w:szCs w:val="22"/>
                    </w:rPr>
                    <w:t>38</w:t>
                  </w:r>
                </w:p>
              </w:tc>
            </w:tr>
          </w:tbl>
          <w:p w:rsidR="000D348C" w:rsidRPr="000D348C" w:rsidRDefault="000D348C" w:rsidP="000D348C">
            <w:pPr>
              <w:rPr>
                <w:rFonts w:cs="Arial"/>
                <w:szCs w:val="22"/>
              </w:rPr>
            </w:pPr>
            <w:r w:rsidRPr="000D348C">
              <w:rPr>
                <w:rFonts w:cs="Arial"/>
                <w:szCs w:val="22"/>
              </w:rPr>
              <w:t xml:space="preserve">  </w:t>
            </w: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rPr>
                <w:rFonts w:cs="Arial"/>
                <w:szCs w:val="22"/>
              </w:rPr>
            </w:pPr>
            <w:r>
              <w:rPr>
                <w:rFonts w:cs="Arial"/>
                <w:szCs w:val="22"/>
              </w:rPr>
              <w:t>2</w:t>
            </w:r>
            <w:r w:rsidRPr="000D348C">
              <w:rPr>
                <w:rFonts w:cs="Arial"/>
                <w:szCs w:val="22"/>
              </w:rPr>
              <w:t>.8</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In 2016/17 a total of 399 investigations were completed. </w:t>
            </w:r>
          </w:p>
          <w:p w:rsidR="000D348C" w:rsidRPr="000D348C" w:rsidRDefault="000D348C" w:rsidP="000D348C">
            <w:pPr>
              <w:rPr>
                <w:rFonts w:cs="Arial"/>
                <w:szCs w:val="22"/>
              </w:rPr>
            </w:pPr>
            <w:r w:rsidRPr="000D348C">
              <w:rPr>
                <w:rFonts w:cs="Arial"/>
                <w:szCs w:val="22"/>
              </w:rPr>
              <w:fldChar w:fldCharType="begin"/>
            </w:r>
            <w:r w:rsidRPr="000D348C">
              <w:rPr>
                <w:rFonts w:cs="Arial"/>
                <w:szCs w:val="22"/>
              </w:rPr>
              <w:instrText xml:space="preserve">  </w:instrText>
            </w:r>
            <w:r w:rsidRPr="000D348C">
              <w:rPr>
                <w:rFonts w:cs="Arial"/>
                <w:szCs w:val="22"/>
              </w:rPr>
              <w:fldChar w:fldCharType="end"/>
            </w: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rPr>
                <w:rFonts w:cs="Arial"/>
                <w:szCs w:val="22"/>
              </w:rPr>
            </w:pPr>
            <w:r>
              <w:rPr>
                <w:rFonts w:cs="Arial"/>
                <w:szCs w:val="22"/>
              </w:rPr>
              <w:t>2</w:t>
            </w:r>
            <w:r w:rsidRPr="000D348C">
              <w:rPr>
                <w:rFonts w:cs="Arial"/>
                <w:szCs w:val="22"/>
              </w:rPr>
              <w:t>.9</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Of these investigations where a customer is suspected of committing an offence they are interviewed under caution by officers.  These interviews are digitally recorded interviews in accordance with the Police and Criminal Evidence Act 1984 (PACE 84).  The majority take place in the Council offices with others conducted in Police stations or other organisations with which we collaborate.  Generally, those conducted in a Police station are after the customer has been arrested and a search of their premises has been conducted.</w:t>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.10</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In 2016/17, a total of 318 referrals for investigation were made. Each referral is risk assessed based on a number of factors before proceeding to investigation.  A referral breakdown of the major contributors is shown is shown below; </w:t>
            </w:r>
          </w:p>
          <w:p w:rsidR="000D348C" w:rsidRPr="000D348C" w:rsidRDefault="000D348C" w:rsidP="000D348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7"/>
              <w:gridCol w:w="1320"/>
            </w:tblGrid>
            <w:tr w:rsidR="000D348C" w:rsidRPr="000D348C" w:rsidTr="000D348C">
              <w:tc>
                <w:tcPr>
                  <w:tcW w:w="6007" w:type="dxa"/>
                </w:tcPr>
                <w:p w:rsidR="000D348C" w:rsidRPr="000D348C" w:rsidRDefault="000D348C" w:rsidP="000D348C">
                  <w:pPr>
                    <w:rPr>
                      <w:rFonts w:cs="Arial"/>
                      <w:b/>
                      <w:szCs w:val="22"/>
                    </w:rPr>
                  </w:pPr>
                  <w:r w:rsidRPr="000D348C">
                    <w:rPr>
                      <w:rFonts w:cs="Arial"/>
                      <w:b/>
                      <w:szCs w:val="22"/>
                    </w:rPr>
                    <w:t>Information Source</w:t>
                  </w:r>
                </w:p>
              </w:tc>
              <w:tc>
                <w:tcPr>
                  <w:tcW w:w="1320" w:type="dxa"/>
                </w:tcPr>
                <w:p w:rsidR="000D348C" w:rsidRPr="000D348C" w:rsidRDefault="000D348C" w:rsidP="000D348C">
                  <w:pPr>
                    <w:rPr>
                      <w:rFonts w:cs="Arial"/>
                      <w:szCs w:val="22"/>
                    </w:rPr>
                  </w:pPr>
                </w:p>
              </w:tc>
            </w:tr>
            <w:tr w:rsidR="000D348C" w:rsidRPr="000D348C" w:rsidTr="000D348C">
              <w:tc>
                <w:tcPr>
                  <w:tcW w:w="6007" w:type="dxa"/>
                </w:tcPr>
                <w:p w:rsidR="000D348C" w:rsidRPr="000D348C" w:rsidRDefault="000D348C" w:rsidP="000D348C">
                  <w:pPr>
                    <w:rPr>
                      <w:rFonts w:cs="Arial"/>
                      <w:szCs w:val="22"/>
                    </w:rPr>
                  </w:pPr>
                  <w:r w:rsidRPr="000D348C">
                    <w:rPr>
                      <w:rFonts w:cs="Arial"/>
                      <w:szCs w:val="22"/>
                    </w:rPr>
                    <w:t>Internal Council Departments</w:t>
                  </w:r>
                </w:p>
              </w:tc>
              <w:tc>
                <w:tcPr>
                  <w:tcW w:w="1320" w:type="dxa"/>
                </w:tcPr>
                <w:p w:rsidR="000D348C" w:rsidRPr="000D348C" w:rsidRDefault="000D348C" w:rsidP="000D348C">
                  <w:pPr>
                    <w:jc w:val="center"/>
                    <w:rPr>
                      <w:rFonts w:cs="Arial"/>
                      <w:szCs w:val="22"/>
                    </w:rPr>
                  </w:pPr>
                  <w:r w:rsidRPr="000D348C">
                    <w:rPr>
                      <w:rFonts w:cs="Arial"/>
                      <w:szCs w:val="22"/>
                    </w:rPr>
                    <w:t>66</w:t>
                  </w:r>
                </w:p>
              </w:tc>
            </w:tr>
            <w:tr w:rsidR="000D348C" w:rsidRPr="000D348C" w:rsidTr="000D348C">
              <w:tc>
                <w:tcPr>
                  <w:tcW w:w="6007" w:type="dxa"/>
                </w:tcPr>
                <w:p w:rsidR="000D348C" w:rsidRPr="000D348C" w:rsidRDefault="000D348C" w:rsidP="000D348C">
                  <w:pPr>
                    <w:rPr>
                      <w:rFonts w:cs="Arial"/>
                      <w:szCs w:val="22"/>
                    </w:rPr>
                  </w:pPr>
                  <w:r w:rsidRPr="000D348C">
                    <w:rPr>
                      <w:rFonts w:cs="Arial"/>
                      <w:szCs w:val="22"/>
                    </w:rPr>
                    <w:t>External sources including Police</w:t>
                  </w:r>
                </w:p>
              </w:tc>
              <w:tc>
                <w:tcPr>
                  <w:tcW w:w="1320" w:type="dxa"/>
                </w:tcPr>
                <w:p w:rsidR="000D348C" w:rsidRPr="000D348C" w:rsidRDefault="000D348C" w:rsidP="000D348C">
                  <w:pPr>
                    <w:jc w:val="center"/>
                    <w:rPr>
                      <w:rFonts w:cs="Arial"/>
                      <w:szCs w:val="22"/>
                    </w:rPr>
                  </w:pPr>
                  <w:r w:rsidRPr="000D348C">
                    <w:rPr>
                      <w:rFonts w:cs="Arial"/>
                      <w:szCs w:val="22"/>
                    </w:rPr>
                    <w:t>35</w:t>
                  </w:r>
                </w:p>
              </w:tc>
            </w:tr>
            <w:tr w:rsidR="000D348C" w:rsidRPr="000D348C" w:rsidTr="000D348C">
              <w:tc>
                <w:tcPr>
                  <w:tcW w:w="6007" w:type="dxa"/>
                </w:tcPr>
                <w:p w:rsidR="000D348C" w:rsidRPr="000D348C" w:rsidRDefault="000D348C" w:rsidP="000D348C">
                  <w:pPr>
                    <w:rPr>
                      <w:rFonts w:cs="Arial"/>
                      <w:szCs w:val="22"/>
                    </w:rPr>
                  </w:pPr>
                  <w:r w:rsidRPr="000D348C">
                    <w:rPr>
                      <w:rFonts w:cs="Arial"/>
                      <w:szCs w:val="22"/>
                    </w:rPr>
                    <w:t>Fraud Hotline and anonymous letters</w:t>
                  </w:r>
                </w:p>
              </w:tc>
              <w:tc>
                <w:tcPr>
                  <w:tcW w:w="1320" w:type="dxa"/>
                </w:tcPr>
                <w:p w:rsidR="000D348C" w:rsidRPr="000D348C" w:rsidRDefault="000D348C" w:rsidP="000D348C">
                  <w:pPr>
                    <w:jc w:val="center"/>
                    <w:rPr>
                      <w:rFonts w:cs="Arial"/>
                      <w:szCs w:val="22"/>
                    </w:rPr>
                  </w:pPr>
                  <w:r w:rsidRPr="000D348C">
                    <w:rPr>
                      <w:rFonts w:cs="Arial"/>
                      <w:szCs w:val="22"/>
                    </w:rPr>
                    <w:t>76</w:t>
                  </w:r>
                </w:p>
              </w:tc>
            </w:tr>
            <w:tr w:rsidR="000D348C" w:rsidRPr="000D348C" w:rsidTr="000D348C">
              <w:tc>
                <w:tcPr>
                  <w:tcW w:w="6007" w:type="dxa"/>
                </w:tcPr>
                <w:p w:rsidR="000D348C" w:rsidRPr="000D348C" w:rsidRDefault="000D348C" w:rsidP="000D348C">
                  <w:pPr>
                    <w:rPr>
                      <w:rFonts w:cs="Arial"/>
                      <w:szCs w:val="22"/>
                    </w:rPr>
                  </w:pPr>
                  <w:r w:rsidRPr="000D348C">
                    <w:rPr>
                      <w:rFonts w:cs="Arial"/>
                      <w:szCs w:val="22"/>
                    </w:rPr>
                    <w:t xml:space="preserve">Website referral </w:t>
                  </w:r>
                </w:p>
              </w:tc>
              <w:tc>
                <w:tcPr>
                  <w:tcW w:w="1320" w:type="dxa"/>
                </w:tcPr>
                <w:p w:rsidR="000D348C" w:rsidRPr="000D348C" w:rsidRDefault="000D348C" w:rsidP="000D348C">
                  <w:pPr>
                    <w:jc w:val="center"/>
                    <w:rPr>
                      <w:rFonts w:cs="Arial"/>
                      <w:szCs w:val="22"/>
                    </w:rPr>
                  </w:pPr>
                  <w:r w:rsidRPr="000D348C">
                    <w:rPr>
                      <w:rFonts w:cs="Arial"/>
                      <w:szCs w:val="22"/>
                    </w:rPr>
                    <w:t>123</w:t>
                  </w:r>
                </w:p>
              </w:tc>
            </w:tr>
          </w:tbl>
          <w:p w:rsidR="000D348C" w:rsidRPr="000D348C" w:rsidRDefault="000D348C" w:rsidP="000D348C">
            <w:pPr>
              <w:rPr>
                <w:rFonts w:cs="Arial"/>
                <w:szCs w:val="22"/>
              </w:rPr>
            </w:pPr>
            <w:r w:rsidRPr="000D348C">
              <w:rPr>
                <w:rFonts w:cs="Arial"/>
                <w:szCs w:val="22"/>
              </w:rPr>
              <w:t xml:space="preserve"> </w:t>
            </w: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.11</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The service continues to take part in various data-matching exercises.  These include the National Fraud Initiative (NFI) which is facilitated by the Cabinet Office.  It is a mandatory exercise that matches data within the councils and between participating bodies to prevent and detect fraud.  The key strength of the NFI is that it brings together a wide range of organisations, working together to tackle fraud.  Participants of the NFI number some 1,300 organisations that include local authorities, police authorities, NHS bodies etc.  These matches are not just confined to fraud but also include erroneous payments in respect of creditors and payroll.  Examples of some matches are shown below.</w:t>
            </w:r>
          </w:p>
          <w:p w:rsidR="000D348C" w:rsidRPr="000D348C" w:rsidRDefault="000D348C" w:rsidP="000D348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4"/>
              <w:gridCol w:w="3943"/>
            </w:tblGrid>
            <w:tr w:rsidR="000D348C" w:rsidRPr="000D348C" w:rsidTr="000D348C">
              <w:tc>
                <w:tcPr>
                  <w:tcW w:w="4724" w:type="dxa"/>
                  <w:shd w:val="clear" w:color="auto" w:fill="auto"/>
                </w:tcPr>
                <w:p w:rsidR="000D348C" w:rsidRPr="000D348C" w:rsidRDefault="000D348C" w:rsidP="000D348C">
                  <w:pPr>
                    <w:jc w:val="center"/>
                    <w:rPr>
                      <w:rFonts w:cs="Arial"/>
                      <w:b/>
                      <w:szCs w:val="22"/>
                      <w:u w:val="single"/>
                    </w:rPr>
                  </w:pPr>
                  <w:r w:rsidRPr="000D348C">
                    <w:rPr>
                      <w:rFonts w:cs="Arial"/>
                      <w:b/>
                      <w:szCs w:val="22"/>
                      <w:u w:val="single"/>
                    </w:rPr>
                    <w:t>Data Match</w:t>
                  </w:r>
                </w:p>
              </w:tc>
              <w:tc>
                <w:tcPr>
                  <w:tcW w:w="3943" w:type="dxa"/>
                  <w:shd w:val="clear" w:color="auto" w:fill="auto"/>
                </w:tcPr>
                <w:p w:rsidR="000D348C" w:rsidRPr="000D348C" w:rsidRDefault="000D348C" w:rsidP="000D348C">
                  <w:pPr>
                    <w:jc w:val="center"/>
                    <w:rPr>
                      <w:rFonts w:cs="Arial"/>
                      <w:b/>
                      <w:szCs w:val="22"/>
                      <w:u w:val="single"/>
                    </w:rPr>
                  </w:pPr>
                  <w:r w:rsidRPr="000D348C">
                    <w:rPr>
                      <w:rFonts w:cs="Arial"/>
                      <w:b/>
                      <w:szCs w:val="22"/>
                      <w:u w:val="single"/>
                    </w:rPr>
                    <w:t>Possible fraud/ error</w:t>
                  </w:r>
                </w:p>
              </w:tc>
            </w:tr>
            <w:tr w:rsidR="000D348C" w:rsidRPr="000D348C" w:rsidTr="000D348C">
              <w:tc>
                <w:tcPr>
                  <w:tcW w:w="4724" w:type="dxa"/>
                  <w:shd w:val="clear" w:color="auto" w:fill="auto"/>
                </w:tcPr>
                <w:p w:rsidR="000D348C" w:rsidRPr="000D348C" w:rsidRDefault="000D348C" w:rsidP="000D348C">
                  <w:pPr>
                    <w:rPr>
                      <w:rFonts w:cs="Arial"/>
                      <w:szCs w:val="22"/>
                    </w:rPr>
                  </w:pPr>
                  <w:r w:rsidRPr="000D348C">
                    <w:rPr>
                      <w:rFonts w:cs="Arial"/>
                      <w:szCs w:val="22"/>
                    </w:rPr>
                    <w:t>Council Tax  payments to payroll records, student loans, taxi drivers</w:t>
                  </w:r>
                </w:p>
              </w:tc>
              <w:tc>
                <w:tcPr>
                  <w:tcW w:w="3943" w:type="dxa"/>
                  <w:shd w:val="clear" w:color="auto" w:fill="auto"/>
                </w:tcPr>
                <w:p w:rsidR="000D348C" w:rsidRPr="000D348C" w:rsidRDefault="000D348C" w:rsidP="000D348C">
                  <w:pPr>
                    <w:rPr>
                      <w:rFonts w:cs="Arial"/>
                      <w:szCs w:val="22"/>
                    </w:rPr>
                  </w:pPr>
                  <w:r w:rsidRPr="000D348C">
                    <w:rPr>
                      <w:rFonts w:cs="Arial"/>
                      <w:szCs w:val="22"/>
                    </w:rPr>
                    <w:t>Claiming discounts or reductions by failing to disclose an income</w:t>
                  </w:r>
                </w:p>
              </w:tc>
            </w:tr>
            <w:tr w:rsidR="000D348C" w:rsidRPr="000D348C" w:rsidTr="000D348C">
              <w:tc>
                <w:tcPr>
                  <w:tcW w:w="4724" w:type="dxa"/>
                  <w:shd w:val="clear" w:color="auto" w:fill="auto"/>
                </w:tcPr>
                <w:p w:rsidR="000D348C" w:rsidRPr="000D348C" w:rsidRDefault="000D348C" w:rsidP="000D348C">
                  <w:pPr>
                    <w:rPr>
                      <w:rFonts w:cs="Arial"/>
                      <w:szCs w:val="22"/>
                    </w:rPr>
                  </w:pPr>
                  <w:r w:rsidRPr="000D348C">
                    <w:rPr>
                      <w:rFonts w:cs="Arial"/>
                      <w:szCs w:val="22"/>
                    </w:rPr>
                    <w:t>Payroll records to records of failed asylum seekers and records of expired visas</w:t>
                  </w:r>
                </w:p>
              </w:tc>
              <w:tc>
                <w:tcPr>
                  <w:tcW w:w="3943" w:type="dxa"/>
                  <w:shd w:val="clear" w:color="auto" w:fill="auto"/>
                </w:tcPr>
                <w:p w:rsidR="000D348C" w:rsidRPr="000D348C" w:rsidRDefault="000D348C" w:rsidP="000D348C">
                  <w:pPr>
                    <w:rPr>
                      <w:rFonts w:cs="Arial"/>
                      <w:szCs w:val="22"/>
                    </w:rPr>
                  </w:pPr>
                  <w:r w:rsidRPr="000D348C">
                    <w:rPr>
                      <w:rFonts w:cs="Arial"/>
                      <w:szCs w:val="22"/>
                    </w:rPr>
                    <w:t xml:space="preserve">Obtaining employment while not </w:t>
                  </w:r>
                </w:p>
                <w:p w:rsidR="000D348C" w:rsidRPr="000D348C" w:rsidRDefault="000D348C" w:rsidP="000D348C">
                  <w:pPr>
                    <w:rPr>
                      <w:rFonts w:cs="Arial"/>
                      <w:szCs w:val="22"/>
                    </w:rPr>
                  </w:pPr>
                  <w:r w:rsidRPr="000D348C">
                    <w:rPr>
                      <w:rFonts w:cs="Arial"/>
                      <w:szCs w:val="22"/>
                    </w:rPr>
                    <w:t>entitled to work in the UK</w:t>
                  </w:r>
                </w:p>
              </w:tc>
            </w:tr>
            <w:tr w:rsidR="000D348C" w:rsidRPr="000D348C" w:rsidTr="000D348C">
              <w:tc>
                <w:tcPr>
                  <w:tcW w:w="4724" w:type="dxa"/>
                  <w:shd w:val="clear" w:color="auto" w:fill="auto"/>
                </w:tcPr>
                <w:p w:rsidR="000D348C" w:rsidRPr="000D348C" w:rsidRDefault="000D348C" w:rsidP="000D348C">
                  <w:pPr>
                    <w:rPr>
                      <w:rFonts w:cs="Arial"/>
                      <w:szCs w:val="22"/>
                    </w:rPr>
                  </w:pPr>
                  <w:r w:rsidRPr="000D348C">
                    <w:rPr>
                      <w:rFonts w:cs="Arial"/>
                      <w:szCs w:val="22"/>
                    </w:rPr>
                    <w:t>Council Tax records to electoral register</w:t>
                  </w:r>
                </w:p>
              </w:tc>
              <w:tc>
                <w:tcPr>
                  <w:tcW w:w="3943" w:type="dxa"/>
                  <w:shd w:val="clear" w:color="auto" w:fill="auto"/>
                </w:tcPr>
                <w:p w:rsidR="000D348C" w:rsidRPr="000D348C" w:rsidRDefault="000D348C" w:rsidP="000D348C">
                  <w:pPr>
                    <w:rPr>
                      <w:rFonts w:cs="Arial"/>
                      <w:szCs w:val="22"/>
                    </w:rPr>
                  </w:pPr>
                  <w:r w:rsidRPr="000D348C">
                    <w:rPr>
                      <w:rFonts w:cs="Arial"/>
                      <w:szCs w:val="22"/>
                    </w:rPr>
                    <w:t>A council tax payer gets single person’s discount and has not declared other persons living in the property</w:t>
                  </w:r>
                </w:p>
              </w:tc>
            </w:tr>
            <w:tr w:rsidR="000D348C" w:rsidRPr="000D348C" w:rsidTr="000D348C">
              <w:tc>
                <w:tcPr>
                  <w:tcW w:w="4724" w:type="dxa"/>
                  <w:shd w:val="clear" w:color="auto" w:fill="auto"/>
                </w:tcPr>
                <w:p w:rsidR="000D348C" w:rsidRPr="000D348C" w:rsidRDefault="000D348C" w:rsidP="000D348C">
                  <w:pPr>
                    <w:rPr>
                      <w:rFonts w:cs="Arial"/>
                      <w:szCs w:val="22"/>
                    </w:rPr>
                  </w:pPr>
                  <w:r w:rsidRPr="000D348C">
                    <w:rPr>
                      <w:rFonts w:cs="Arial"/>
                      <w:szCs w:val="22"/>
                    </w:rPr>
                    <w:t>Payroll records to other payroll records</w:t>
                  </w:r>
                </w:p>
              </w:tc>
              <w:tc>
                <w:tcPr>
                  <w:tcW w:w="3943" w:type="dxa"/>
                  <w:shd w:val="clear" w:color="auto" w:fill="auto"/>
                </w:tcPr>
                <w:p w:rsidR="000D348C" w:rsidRPr="000D348C" w:rsidRDefault="000D348C" w:rsidP="000D348C">
                  <w:pPr>
                    <w:rPr>
                      <w:rFonts w:cs="Arial"/>
                      <w:szCs w:val="22"/>
                    </w:rPr>
                  </w:pPr>
                  <w:r w:rsidRPr="000D348C">
                    <w:rPr>
                      <w:rFonts w:cs="Arial"/>
                      <w:szCs w:val="22"/>
                    </w:rPr>
                    <w:t xml:space="preserve">An employee is working for </w:t>
                  </w:r>
                </w:p>
                <w:p w:rsidR="000D348C" w:rsidRPr="000D348C" w:rsidRDefault="000D348C" w:rsidP="000D348C">
                  <w:pPr>
                    <w:rPr>
                      <w:rFonts w:cs="Arial"/>
                      <w:szCs w:val="22"/>
                    </w:rPr>
                  </w:pPr>
                  <w:r w:rsidRPr="000D348C">
                    <w:rPr>
                      <w:rFonts w:cs="Arial"/>
                      <w:szCs w:val="22"/>
                    </w:rPr>
                    <w:t>TRDC/WBC but has employment elsewhere that is not declared.</w:t>
                  </w:r>
                </w:p>
              </w:tc>
            </w:tr>
          </w:tbl>
          <w:p w:rsidR="000D348C" w:rsidRPr="000D348C" w:rsidRDefault="000D348C" w:rsidP="000D348C">
            <w:pPr>
              <w:rPr>
                <w:rFonts w:cs="Arial"/>
                <w:szCs w:val="22"/>
              </w:rPr>
            </w:pPr>
            <w:r w:rsidRPr="000D348C">
              <w:rPr>
                <w:rFonts w:cs="Arial"/>
                <w:szCs w:val="22"/>
              </w:rPr>
              <w:t xml:space="preserve"> </w:t>
            </w: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.12</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The Fraud Section continues to work collaboratively with many organisations including the DWP, the Police, Immigrations and Border agencies and other local authorities. It is vital in terms of being efficient to work jointly with other organisations and not in silos.</w:t>
            </w:r>
            <w:r w:rsidRPr="000D348C">
              <w:rPr>
                <w:rFonts w:cs="Arial"/>
                <w:szCs w:val="22"/>
              </w:rPr>
              <w:tab/>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b/>
                <w:szCs w:val="22"/>
              </w:rPr>
              <w:t xml:space="preserve">Other Fraud </w:t>
            </w: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.13</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Proactive data mining is ongoing dealing with the matches relating to Council Tax Single Persons Discount.  Single Persons Discount is available to Council Tax payers who are the </w:t>
            </w:r>
            <w:r w:rsidRPr="000D348C">
              <w:rPr>
                <w:rFonts w:cs="Arial"/>
                <w:szCs w:val="22"/>
              </w:rPr>
              <w:lastRenderedPageBreak/>
              <w:t>only countable adult, over the age of 18, living at their property.  People who qualify for the discount have their Council Tax bill reduced by 25%.</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 xml:space="preserve">The exercise has currently identified incorrect discounts being awarded of £22,500 for Three Rivers DC and £111,000 for Watford BC.  The wrongly awarded discounts have to be repaid in full. </w:t>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lastRenderedPageBreak/>
              <w:t>2</w:t>
            </w:r>
            <w:r w:rsidRPr="000D348C">
              <w:rPr>
                <w:rFonts w:cs="Arial"/>
                <w:szCs w:val="22"/>
              </w:rPr>
              <w:t>.14</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Student discount exemptions using fraudulent certificates continue to be identified as emerging risk.  </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 xml:space="preserve">Work is planned for 2017-18 to fully review discounts granted.  We are hopeful of piloting a system being developed that can identify the claims that are most likely to be fraudulent or erroneous.  The system automatically correlates known facts about each individual such as the distance between their home postcode and the university; the length and subject of the course being studied, as well as other available lifestyle data.  With this information is it then possible using a range of analytic algorithms to help predict which claims are likely to be incorrect. </w:t>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.15</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The team in 2016-17 conducted a criminal investigation into grant fraud specifically a Disabled Facilities Grants (DFG) which are means-tested grants awarded by the Council to help meet the costs of adapting the homes of disabled people so they can continue to live there.</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 xml:space="preserve">A referral was received to investigate an application for a DFG grant.  The outcome following the investigation and interviews was that the customer had failed to disclose a significant rental income, owned six other properties and had two further undeclared bank accounts. </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 xml:space="preserve">Intelligence and information was also shared with Herts County Council resulting in savings to them attributable to the investigation of £12,000.  The grant from the Council of £30,000 was withdrawn. </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 xml:space="preserve">The matter relating to the DFG was heard at Harrow Crown Court in January 2017.  The defendant however is currently on trial for other historical offences by the Police relating to the investigation. </w:t>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.16</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Work has continued on proactive Blue Badge exercises.  The exercises are conducted jointly with Hertfordshire Police.  The latest statistical information estimates that 20% of badges issued are misused.  Whilst the loss in parking revenue may be assessed as quite small, the individual harm caused is significant.  Fraudulent use of Blue Badges causes inconvenience and direct detriment by depriving an individual in genuine need and entitlement to disabled parking facilities.  It may also have a reputational damage to the Council.  The penalty, if prosecuted, for blue badge abuse generally is a level 3 fine for which the maximum penalty is £1,000.  Some drivers are cautioned and some badges seized.  Only the most serious cases are prosecuted.  For the period 2016-17, a total of 9 were prosecuted in the magistrate’s court. </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 xml:space="preserve">One such investigation followed a referral from the Parking Shop and as a consequence following a period of surveillance it was established the driver was using a deceased person’s badge.  </w:t>
            </w:r>
          </w:p>
          <w:p w:rsidR="000D348C" w:rsidRPr="000D348C" w:rsidRDefault="000D348C" w:rsidP="000D348C">
            <w:pPr>
              <w:rPr>
                <w:rFonts w:cs="Arial"/>
                <w:szCs w:val="22"/>
              </w:rPr>
            </w:pPr>
          </w:p>
          <w:p w:rsidR="000D348C" w:rsidRPr="000D348C" w:rsidRDefault="000D348C" w:rsidP="000D348C">
            <w:pPr>
              <w:rPr>
                <w:rFonts w:cs="Arial"/>
                <w:szCs w:val="22"/>
              </w:rPr>
            </w:pPr>
            <w:r w:rsidRPr="000D348C">
              <w:rPr>
                <w:rFonts w:cs="Arial"/>
                <w:szCs w:val="22"/>
              </w:rPr>
              <w:t>The publicity and comments in the press demonstrates the value of this work.</w:t>
            </w:r>
          </w:p>
          <w:p w:rsidR="000D348C" w:rsidRDefault="000D348C" w:rsidP="000D348C">
            <w:pPr>
              <w:rPr>
                <w:rFonts w:cs="Arial"/>
                <w:szCs w:val="22"/>
              </w:rPr>
            </w:pP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.17</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 xml:space="preserve">The enhanced vetting scheme continues to provide a proportionate response to the vetting process for all new staff.  As a local authority with a large number of employees, we have a responsibility to prevent and eliminate fraud within the Council.  One of the ways we can </w:t>
            </w:r>
            <w:r w:rsidRPr="000D348C">
              <w:rPr>
                <w:rFonts w:cs="Arial"/>
                <w:szCs w:val="22"/>
              </w:rPr>
              <w:lastRenderedPageBreak/>
              <w:t>achieve this is by undertaking a more robust vetting of direct recruits and agency staff before they are appointed.  In order for the Council to successfully prevent fraud, we must have effective policies and procedures that minimise the risk of appointing individuals with unsuitable backgrounds.</w:t>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lastRenderedPageBreak/>
              <w:t>2</w:t>
            </w:r>
            <w:r w:rsidRPr="000D348C">
              <w:rPr>
                <w:rFonts w:cs="Arial"/>
                <w:szCs w:val="22"/>
              </w:rPr>
              <w:t>.18</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We work with all departments in both Councils to enhance their capability to carry out thorough intelligence checks when investigating areas of regulatory functions and assist in intelligence gathering and ID verification through the use of ID scan, a device which identifies fraudulent documents.</w:t>
            </w:r>
          </w:p>
          <w:p w:rsidR="000D348C" w:rsidRPr="000D348C" w:rsidRDefault="000D348C" w:rsidP="000D348C">
            <w:pPr>
              <w:rPr>
                <w:rFonts w:cs="Arial"/>
                <w:szCs w:val="22"/>
              </w:rPr>
            </w:pPr>
          </w:p>
        </w:tc>
      </w:tr>
      <w:tr w:rsidR="000D348C" w:rsidRPr="000D348C" w:rsidTr="000D348C">
        <w:tc>
          <w:tcPr>
            <w:tcW w:w="684" w:type="dxa"/>
            <w:tcBorders>
              <w:top w:val="nil"/>
              <w:left w:val="nil"/>
              <w:bottom w:val="nil"/>
              <w:right w:val="nil"/>
            </w:tcBorders>
            <w:shd w:val="clear" w:color="auto" w:fill="auto"/>
          </w:tcPr>
          <w:p w:rsidR="000D348C" w:rsidRPr="000D348C" w:rsidRDefault="000D348C" w:rsidP="000D348C">
            <w:pPr>
              <w:tabs>
                <w:tab w:val="left" w:pos="2835"/>
              </w:tabs>
              <w:spacing w:line="360" w:lineRule="auto"/>
              <w:rPr>
                <w:rFonts w:cs="Arial"/>
                <w:szCs w:val="22"/>
              </w:rPr>
            </w:pPr>
            <w:r>
              <w:rPr>
                <w:rFonts w:cs="Arial"/>
                <w:szCs w:val="22"/>
              </w:rPr>
              <w:t>2</w:t>
            </w:r>
            <w:r w:rsidRPr="000D348C">
              <w:rPr>
                <w:rFonts w:cs="Arial"/>
                <w:szCs w:val="22"/>
              </w:rPr>
              <w:t>.19</w:t>
            </w:r>
          </w:p>
        </w:tc>
        <w:tc>
          <w:tcPr>
            <w:tcW w:w="9205" w:type="dxa"/>
            <w:tcBorders>
              <w:top w:val="nil"/>
              <w:left w:val="nil"/>
              <w:bottom w:val="nil"/>
              <w:right w:val="nil"/>
            </w:tcBorders>
            <w:shd w:val="clear" w:color="auto" w:fill="auto"/>
          </w:tcPr>
          <w:p w:rsidR="000D348C" w:rsidRPr="000D348C" w:rsidRDefault="000D348C" w:rsidP="000D348C">
            <w:pPr>
              <w:rPr>
                <w:rFonts w:cs="Arial"/>
                <w:szCs w:val="22"/>
              </w:rPr>
            </w:pPr>
            <w:r w:rsidRPr="000D348C">
              <w:rPr>
                <w:rFonts w:cs="Arial"/>
                <w:szCs w:val="22"/>
              </w:rPr>
              <w:t>The section continues to investigate other matters including money laundering allegations primarily to do with council tax payments.  We facilitate the lawful obtaining of communications data under the Regulation of Investigatory Powers Act 2000 (RIPA).  We have also conducted a variety of enquiries and provide advice on evidence gathering.  We have conducted various enquiries/investigations internally.</w:t>
            </w:r>
          </w:p>
          <w:p w:rsidR="000D348C" w:rsidRPr="000D348C" w:rsidRDefault="000D348C" w:rsidP="000D348C">
            <w:pPr>
              <w:rPr>
                <w:rFonts w:cs="Arial"/>
                <w:szCs w:val="22"/>
              </w:rPr>
            </w:pPr>
          </w:p>
        </w:tc>
      </w:tr>
    </w:tbl>
    <w:p w:rsidR="000D348C" w:rsidRPr="000D348C" w:rsidRDefault="000D348C" w:rsidP="000D348C">
      <w:pPr>
        <w:tabs>
          <w:tab w:val="left" w:pos="2835"/>
        </w:tabs>
        <w:spacing w:line="360" w:lineRule="auto"/>
        <w:rPr>
          <w:rFonts w:cs="Arial"/>
          <w:szCs w:val="22"/>
        </w:rPr>
      </w:pPr>
    </w:p>
    <w:tbl>
      <w:tblPr>
        <w:tblW w:w="9889" w:type="dxa"/>
        <w:tblLook w:val="01E0" w:firstRow="1" w:lastRow="1" w:firstColumn="1" w:lastColumn="1" w:noHBand="0" w:noVBand="0"/>
      </w:tblPr>
      <w:tblGrid>
        <w:gridCol w:w="706"/>
        <w:gridCol w:w="9183"/>
      </w:tblGrid>
      <w:tr w:rsidR="000D348C" w:rsidRPr="000D348C" w:rsidTr="000D348C">
        <w:tc>
          <w:tcPr>
            <w:tcW w:w="706" w:type="dxa"/>
            <w:shd w:val="clear" w:color="auto" w:fill="auto"/>
          </w:tcPr>
          <w:p w:rsidR="000D348C" w:rsidRPr="000D348C" w:rsidRDefault="000D348C" w:rsidP="000D348C">
            <w:pPr>
              <w:tabs>
                <w:tab w:val="left" w:pos="2835"/>
              </w:tabs>
              <w:spacing w:line="360" w:lineRule="auto"/>
              <w:rPr>
                <w:rFonts w:cs="Arial"/>
                <w:szCs w:val="22"/>
              </w:rPr>
            </w:pPr>
            <w:r>
              <w:rPr>
                <w:rFonts w:cs="Arial"/>
                <w:szCs w:val="22"/>
              </w:rPr>
              <w:t>3.0</w:t>
            </w:r>
          </w:p>
        </w:tc>
        <w:tc>
          <w:tcPr>
            <w:tcW w:w="9183" w:type="dxa"/>
            <w:shd w:val="clear" w:color="auto" w:fill="auto"/>
          </w:tcPr>
          <w:p w:rsidR="000D348C" w:rsidRPr="00331D0A" w:rsidRDefault="000D348C" w:rsidP="000D348C">
            <w:pPr>
              <w:tabs>
                <w:tab w:val="left" w:pos="2835"/>
              </w:tabs>
              <w:spacing w:line="360" w:lineRule="auto"/>
              <w:rPr>
                <w:rFonts w:cs="Arial"/>
                <w:b/>
                <w:caps/>
                <w:szCs w:val="22"/>
              </w:rPr>
            </w:pPr>
            <w:r w:rsidRPr="00331D0A">
              <w:rPr>
                <w:b/>
                <w:caps/>
              </w:rPr>
              <w:t>Options/Reasons for Recommendation</w:t>
            </w:r>
          </w:p>
        </w:tc>
      </w:tr>
      <w:tr w:rsidR="000D348C" w:rsidRPr="000D348C" w:rsidTr="000D348C">
        <w:tc>
          <w:tcPr>
            <w:tcW w:w="706" w:type="dxa"/>
            <w:shd w:val="clear" w:color="auto" w:fill="auto"/>
          </w:tcPr>
          <w:p w:rsidR="000D348C" w:rsidRPr="000D348C" w:rsidRDefault="000D348C" w:rsidP="000D348C">
            <w:pPr>
              <w:tabs>
                <w:tab w:val="left" w:pos="2835"/>
              </w:tabs>
              <w:spacing w:line="360" w:lineRule="auto"/>
              <w:rPr>
                <w:rFonts w:cs="Arial"/>
                <w:szCs w:val="22"/>
              </w:rPr>
            </w:pPr>
          </w:p>
        </w:tc>
        <w:tc>
          <w:tcPr>
            <w:tcW w:w="9183" w:type="dxa"/>
            <w:shd w:val="clear" w:color="auto" w:fill="auto"/>
          </w:tcPr>
          <w:p w:rsidR="000D348C" w:rsidRPr="000D348C" w:rsidRDefault="000D348C" w:rsidP="000D348C">
            <w:pPr>
              <w:tabs>
                <w:tab w:val="left" w:pos="2835"/>
              </w:tabs>
              <w:spacing w:line="360" w:lineRule="auto"/>
              <w:rPr>
                <w:rFonts w:cs="Arial"/>
                <w:b/>
                <w:szCs w:val="22"/>
              </w:rPr>
            </w:pPr>
          </w:p>
        </w:tc>
      </w:tr>
      <w:tr w:rsidR="000D348C" w:rsidRPr="000D348C" w:rsidTr="000D348C">
        <w:tc>
          <w:tcPr>
            <w:tcW w:w="706" w:type="dxa"/>
            <w:shd w:val="clear" w:color="auto" w:fill="auto"/>
          </w:tcPr>
          <w:p w:rsidR="000D348C" w:rsidRPr="000D348C" w:rsidRDefault="000D348C" w:rsidP="000D348C">
            <w:pPr>
              <w:tabs>
                <w:tab w:val="left" w:pos="2835"/>
              </w:tabs>
              <w:spacing w:line="360" w:lineRule="auto"/>
              <w:rPr>
                <w:rFonts w:cs="Arial"/>
                <w:szCs w:val="22"/>
              </w:rPr>
            </w:pPr>
            <w:r>
              <w:rPr>
                <w:rFonts w:cs="Arial"/>
                <w:szCs w:val="22"/>
              </w:rPr>
              <w:t>3.1</w:t>
            </w:r>
          </w:p>
        </w:tc>
        <w:tc>
          <w:tcPr>
            <w:tcW w:w="9183" w:type="dxa"/>
            <w:shd w:val="clear" w:color="auto" w:fill="auto"/>
          </w:tcPr>
          <w:p w:rsidR="000D348C" w:rsidRPr="000D348C" w:rsidRDefault="000D348C" w:rsidP="00331D0A">
            <w:pPr>
              <w:rPr>
                <w:rFonts w:cs="Arial"/>
                <w:szCs w:val="22"/>
              </w:rPr>
            </w:pPr>
            <w:r w:rsidRPr="000D348C">
              <w:rPr>
                <w:rFonts w:cs="Arial"/>
                <w:szCs w:val="22"/>
              </w:rPr>
              <w:t xml:space="preserve">The recommendation enables the Committee to consider </w:t>
            </w:r>
            <w:r>
              <w:rPr>
                <w:rFonts w:cs="Arial"/>
                <w:szCs w:val="22"/>
              </w:rPr>
              <w:t xml:space="preserve">and note </w:t>
            </w:r>
            <w:r w:rsidRPr="000D348C">
              <w:rPr>
                <w:rFonts w:cs="Arial"/>
                <w:szCs w:val="22"/>
              </w:rPr>
              <w:t xml:space="preserve">the </w:t>
            </w:r>
            <w:r>
              <w:rPr>
                <w:rFonts w:cs="Arial"/>
                <w:szCs w:val="22"/>
              </w:rPr>
              <w:t xml:space="preserve">annual fraud report from the Fraud Manager.  </w:t>
            </w:r>
          </w:p>
        </w:tc>
      </w:tr>
      <w:tr w:rsidR="000D348C" w:rsidRPr="000D348C" w:rsidTr="000D348C">
        <w:tc>
          <w:tcPr>
            <w:tcW w:w="706" w:type="dxa"/>
            <w:shd w:val="clear" w:color="auto" w:fill="auto"/>
          </w:tcPr>
          <w:p w:rsidR="000D348C" w:rsidRPr="000D348C" w:rsidRDefault="000D348C" w:rsidP="000D348C">
            <w:pPr>
              <w:tabs>
                <w:tab w:val="left" w:pos="2835"/>
              </w:tabs>
              <w:spacing w:line="360" w:lineRule="auto"/>
              <w:rPr>
                <w:rFonts w:cs="Arial"/>
                <w:szCs w:val="22"/>
              </w:rPr>
            </w:pPr>
          </w:p>
        </w:tc>
        <w:tc>
          <w:tcPr>
            <w:tcW w:w="9183" w:type="dxa"/>
            <w:shd w:val="clear" w:color="auto" w:fill="auto"/>
          </w:tcPr>
          <w:p w:rsidR="000D348C" w:rsidRPr="000D348C" w:rsidRDefault="000D348C" w:rsidP="000D348C">
            <w:pPr>
              <w:tabs>
                <w:tab w:val="left" w:pos="2835"/>
              </w:tabs>
              <w:spacing w:line="360" w:lineRule="auto"/>
              <w:rPr>
                <w:rFonts w:cs="Arial"/>
                <w:b/>
                <w:szCs w:val="22"/>
              </w:rPr>
            </w:pPr>
          </w:p>
        </w:tc>
      </w:tr>
      <w:tr w:rsidR="000D348C" w:rsidRPr="000D348C" w:rsidTr="000D348C">
        <w:tc>
          <w:tcPr>
            <w:tcW w:w="706" w:type="dxa"/>
            <w:shd w:val="clear" w:color="auto" w:fill="auto"/>
          </w:tcPr>
          <w:p w:rsidR="000D348C" w:rsidRPr="000D348C" w:rsidRDefault="00331D0A" w:rsidP="000D348C">
            <w:pPr>
              <w:tabs>
                <w:tab w:val="left" w:pos="2835"/>
              </w:tabs>
              <w:spacing w:line="360" w:lineRule="auto"/>
              <w:rPr>
                <w:rFonts w:cs="Arial"/>
                <w:szCs w:val="22"/>
              </w:rPr>
            </w:pPr>
            <w:r>
              <w:rPr>
                <w:rFonts w:cs="Arial"/>
                <w:szCs w:val="22"/>
              </w:rPr>
              <w:t>4</w:t>
            </w:r>
          </w:p>
        </w:tc>
        <w:tc>
          <w:tcPr>
            <w:tcW w:w="9183" w:type="dxa"/>
            <w:shd w:val="clear" w:color="auto" w:fill="auto"/>
          </w:tcPr>
          <w:p w:rsidR="000D348C" w:rsidRPr="00331D0A" w:rsidRDefault="00331D0A" w:rsidP="000D348C">
            <w:pPr>
              <w:tabs>
                <w:tab w:val="left" w:pos="2835"/>
              </w:tabs>
              <w:spacing w:line="360" w:lineRule="auto"/>
              <w:rPr>
                <w:rFonts w:cs="Arial"/>
                <w:i/>
                <w:caps/>
                <w:szCs w:val="22"/>
              </w:rPr>
            </w:pPr>
            <w:r w:rsidRPr="00331D0A">
              <w:rPr>
                <w:b/>
                <w:caps/>
              </w:rPr>
              <w:t>Policy/Budget Implications</w:t>
            </w:r>
          </w:p>
        </w:tc>
      </w:tr>
      <w:tr w:rsidR="00331D0A" w:rsidRPr="000D348C" w:rsidTr="000D348C">
        <w:tc>
          <w:tcPr>
            <w:tcW w:w="706" w:type="dxa"/>
            <w:shd w:val="clear" w:color="auto" w:fill="auto"/>
          </w:tcPr>
          <w:p w:rsidR="00331D0A" w:rsidRPr="000D348C" w:rsidRDefault="00331D0A" w:rsidP="000D348C">
            <w:pPr>
              <w:tabs>
                <w:tab w:val="left" w:pos="2835"/>
              </w:tabs>
              <w:spacing w:line="360" w:lineRule="auto"/>
              <w:rPr>
                <w:rFonts w:cs="Arial"/>
                <w:szCs w:val="22"/>
              </w:rPr>
            </w:pPr>
          </w:p>
        </w:tc>
        <w:tc>
          <w:tcPr>
            <w:tcW w:w="9183" w:type="dxa"/>
            <w:shd w:val="clear" w:color="auto" w:fill="auto"/>
          </w:tcPr>
          <w:p w:rsidR="00331D0A" w:rsidRDefault="00331D0A" w:rsidP="00331D0A">
            <w:pPr>
              <w:ind w:left="1267" w:hanging="1267"/>
            </w:pPr>
          </w:p>
        </w:tc>
      </w:tr>
      <w:tr w:rsidR="000D348C" w:rsidRPr="000D348C" w:rsidTr="000D348C">
        <w:tc>
          <w:tcPr>
            <w:tcW w:w="706" w:type="dxa"/>
            <w:shd w:val="clear" w:color="auto" w:fill="auto"/>
          </w:tcPr>
          <w:p w:rsidR="000D348C" w:rsidRPr="000D348C" w:rsidRDefault="000D348C" w:rsidP="000D348C">
            <w:pPr>
              <w:tabs>
                <w:tab w:val="left" w:pos="2835"/>
              </w:tabs>
              <w:spacing w:line="360" w:lineRule="auto"/>
              <w:rPr>
                <w:rFonts w:cs="Arial"/>
                <w:szCs w:val="22"/>
              </w:rPr>
            </w:pPr>
            <w:r w:rsidRPr="000D348C">
              <w:rPr>
                <w:rFonts w:cs="Arial"/>
                <w:szCs w:val="22"/>
              </w:rPr>
              <w:t>4.1</w:t>
            </w:r>
          </w:p>
        </w:tc>
        <w:tc>
          <w:tcPr>
            <w:tcW w:w="9183" w:type="dxa"/>
            <w:shd w:val="clear" w:color="auto" w:fill="auto"/>
          </w:tcPr>
          <w:p w:rsidR="000D348C" w:rsidRPr="00331D0A" w:rsidRDefault="00331D0A" w:rsidP="00331D0A">
            <w:pPr>
              <w:ind w:left="1267" w:hanging="1267"/>
            </w:pPr>
            <w:r>
              <w:t>The recommendations in this report are within the Council’s agreed policy and budgets.</w:t>
            </w:r>
            <w:r>
              <w:fldChar w:fldCharType="begin"/>
            </w:r>
            <w:r>
              <w:instrText xml:space="preserve">  </w:instrText>
            </w:r>
            <w:r>
              <w:fldChar w:fldCharType="end"/>
            </w:r>
          </w:p>
        </w:tc>
      </w:tr>
      <w:tr w:rsidR="000D348C" w:rsidRPr="000D348C" w:rsidTr="000D348C">
        <w:tc>
          <w:tcPr>
            <w:tcW w:w="706" w:type="dxa"/>
            <w:shd w:val="clear" w:color="auto" w:fill="auto"/>
          </w:tcPr>
          <w:p w:rsidR="000D348C" w:rsidRPr="000D348C" w:rsidRDefault="000D348C" w:rsidP="000D348C">
            <w:pPr>
              <w:spacing w:line="360" w:lineRule="auto"/>
              <w:rPr>
                <w:rFonts w:cs="Arial"/>
                <w:szCs w:val="22"/>
              </w:rPr>
            </w:pPr>
          </w:p>
        </w:tc>
        <w:tc>
          <w:tcPr>
            <w:tcW w:w="9183" w:type="dxa"/>
            <w:shd w:val="clear" w:color="auto" w:fill="auto"/>
          </w:tcPr>
          <w:p w:rsidR="000D348C" w:rsidRPr="000D348C" w:rsidRDefault="000D348C" w:rsidP="000D348C">
            <w:pPr>
              <w:rPr>
                <w:rFonts w:cs="Arial"/>
                <w:i/>
                <w:szCs w:val="22"/>
              </w:rPr>
            </w:pPr>
          </w:p>
        </w:tc>
      </w:tr>
      <w:tr w:rsidR="000D348C" w:rsidRPr="000D348C" w:rsidTr="000D348C">
        <w:tc>
          <w:tcPr>
            <w:tcW w:w="706" w:type="dxa"/>
            <w:shd w:val="clear" w:color="auto" w:fill="auto"/>
          </w:tcPr>
          <w:p w:rsidR="000D348C" w:rsidRPr="000D348C" w:rsidRDefault="0014652A" w:rsidP="000D348C">
            <w:pPr>
              <w:spacing w:line="360" w:lineRule="auto"/>
              <w:rPr>
                <w:rFonts w:cs="Arial"/>
                <w:szCs w:val="22"/>
              </w:rPr>
            </w:pPr>
            <w:r>
              <w:rPr>
                <w:rFonts w:cs="Arial"/>
                <w:szCs w:val="22"/>
              </w:rPr>
              <w:t>5</w:t>
            </w:r>
          </w:p>
        </w:tc>
        <w:tc>
          <w:tcPr>
            <w:tcW w:w="9183" w:type="dxa"/>
            <w:shd w:val="clear" w:color="auto" w:fill="auto"/>
          </w:tcPr>
          <w:p w:rsidR="0014652A" w:rsidRPr="0014652A" w:rsidRDefault="0014652A" w:rsidP="0014652A">
            <w:pPr>
              <w:tabs>
                <w:tab w:val="left" w:pos="2835"/>
              </w:tabs>
              <w:rPr>
                <w:b/>
                <w:caps/>
              </w:rPr>
            </w:pPr>
            <w:r w:rsidRPr="0014652A">
              <w:rPr>
                <w:b/>
                <w:caps/>
              </w:rPr>
              <w:t>Legal, Equal Opportunities, Staffing, Environmental, Community Safety, Customer Services Centre, and Website Implications</w:t>
            </w:r>
          </w:p>
          <w:p w:rsidR="000D348C" w:rsidRPr="000D348C" w:rsidRDefault="000D348C" w:rsidP="0014652A">
            <w:pPr>
              <w:rPr>
                <w:rFonts w:cs="Arial"/>
                <w:szCs w:val="22"/>
              </w:rPr>
            </w:pPr>
          </w:p>
        </w:tc>
      </w:tr>
      <w:tr w:rsidR="000D348C" w:rsidRPr="000D348C" w:rsidTr="000D348C">
        <w:tc>
          <w:tcPr>
            <w:tcW w:w="706" w:type="dxa"/>
            <w:shd w:val="clear" w:color="auto" w:fill="auto"/>
          </w:tcPr>
          <w:p w:rsidR="000D348C" w:rsidRPr="000D348C" w:rsidRDefault="0014652A" w:rsidP="000D348C">
            <w:pPr>
              <w:spacing w:line="360" w:lineRule="auto"/>
              <w:rPr>
                <w:rFonts w:cs="Arial"/>
                <w:szCs w:val="22"/>
              </w:rPr>
            </w:pPr>
            <w:r>
              <w:rPr>
                <w:rFonts w:cs="Arial"/>
                <w:szCs w:val="22"/>
              </w:rPr>
              <w:t>5</w:t>
            </w:r>
            <w:r w:rsidR="000D348C" w:rsidRPr="000D348C">
              <w:rPr>
                <w:rFonts w:cs="Arial"/>
                <w:szCs w:val="22"/>
              </w:rPr>
              <w:t>.1</w:t>
            </w:r>
          </w:p>
        </w:tc>
        <w:tc>
          <w:tcPr>
            <w:tcW w:w="9183" w:type="dxa"/>
            <w:shd w:val="clear" w:color="auto" w:fill="auto"/>
          </w:tcPr>
          <w:p w:rsidR="000D348C" w:rsidRPr="000D348C" w:rsidRDefault="0014652A" w:rsidP="000D348C">
            <w:pPr>
              <w:rPr>
                <w:rFonts w:cs="Arial"/>
                <w:szCs w:val="22"/>
              </w:rPr>
            </w:pPr>
            <w:r>
              <w:rPr>
                <w:rFonts w:cs="Arial"/>
                <w:szCs w:val="22"/>
              </w:rPr>
              <w:t>None specific.</w:t>
            </w:r>
          </w:p>
          <w:p w:rsidR="000D348C" w:rsidRPr="000D348C" w:rsidRDefault="000D348C" w:rsidP="000D348C">
            <w:pPr>
              <w:rPr>
                <w:rFonts w:cs="Arial"/>
                <w:i/>
                <w:szCs w:val="22"/>
              </w:rPr>
            </w:pPr>
          </w:p>
        </w:tc>
      </w:tr>
      <w:tr w:rsidR="0014652A" w:rsidRPr="000D348C" w:rsidTr="000D348C">
        <w:tc>
          <w:tcPr>
            <w:tcW w:w="706" w:type="dxa"/>
            <w:shd w:val="clear" w:color="auto" w:fill="auto"/>
          </w:tcPr>
          <w:p w:rsidR="0014652A" w:rsidRDefault="0014652A" w:rsidP="000D348C">
            <w:pPr>
              <w:spacing w:line="360" w:lineRule="auto"/>
              <w:rPr>
                <w:rFonts w:cs="Arial"/>
                <w:szCs w:val="22"/>
              </w:rPr>
            </w:pPr>
          </w:p>
        </w:tc>
        <w:tc>
          <w:tcPr>
            <w:tcW w:w="9183" w:type="dxa"/>
            <w:shd w:val="clear" w:color="auto" w:fill="auto"/>
          </w:tcPr>
          <w:p w:rsidR="0014652A" w:rsidRPr="0014652A" w:rsidRDefault="0014652A" w:rsidP="0014652A">
            <w:pPr>
              <w:tabs>
                <w:tab w:val="left" w:pos="2835"/>
              </w:tabs>
              <w:spacing w:line="360" w:lineRule="auto"/>
              <w:rPr>
                <w:b/>
                <w:caps/>
              </w:rPr>
            </w:pPr>
          </w:p>
        </w:tc>
      </w:tr>
      <w:tr w:rsidR="000D348C" w:rsidRPr="000D348C" w:rsidTr="000D348C">
        <w:tc>
          <w:tcPr>
            <w:tcW w:w="706" w:type="dxa"/>
            <w:shd w:val="clear" w:color="auto" w:fill="auto"/>
          </w:tcPr>
          <w:p w:rsidR="000D348C" w:rsidRPr="000D348C" w:rsidRDefault="0014652A" w:rsidP="000D348C">
            <w:pPr>
              <w:spacing w:line="360" w:lineRule="auto"/>
              <w:rPr>
                <w:rFonts w:cs="Arial"/>
                <w:szCs w:val="22"/>
              </w:rPr>
            </w:pPr>
            <w:r>
              <w:rPr>
                <w:rFonts w:cs="Arial"/>
                <w:szCs w:val="22"/>
              </w:rPr>
              <w:t>6</w:t>
            </w:r>
          </w:p>
        </w:tc>
        <w:tc>
          <w:tcPr>
            <w:tcW w:w="9183" w:type="dxa"/>
            <w:shd w:val="clear" w:color="auto" w:fill="auto"/>
          </w:tcPr>
          <w:p w:rsidR="000D348C" w:rsidRPr="0014652A" w:rsidRDefault="0014652A" w:rsidP="0014652A">
            <w:pPr>
              <w:tabs>
                <w:tab w:val="left" w:pos="2835"/>
              </w:tabs>
              <w:spacing w:line="360" w:lineRule="auto"/>
              <w:rPr>
                <w:b/>
                <w:caps/>
              </w:rPr>
            </w:pPr>
            <w:r w:rsidRPr="0014652A">
              <w:rPr>
                <w:b/>
                <w:caps/>
              </w:rPr>
              <w:t>Financial Implications</w:t>
            </w:r>
          </w:p>
        </w:tc>
      </w:tr>
      <w:tr w:rsidR="0014652A" w:rsidRPr="000D348C" w:rsidTr="000D348C">
        <w:tc>
          <w:tcPr>
            <w:tcW w:w="706" w:type="dxa"/>
            <w:shd w:val="clear" w:color="auto" w:fill="auto"/>
          </w:tcPr>
          <w:p w:rsidR="0014652A" w:rsidRDefault="0014652A" w:rsidP="0014652A">
            <w:pPr>
              <w:spacing w:line="360" w:lineRule="auto"/>
              <w:rPr>
                <w:rFonts w:cs="Arial"/>
                <w:szCs w:val="22"/>
              </w:rPr>
            </w:pPr>
          </w:p>
        </w:tc>
        <w:tc>
          <w:tcPr>
            <w:tcW w:w="9183" w:type="dxa"/>
            <w:shd w:val="clear" w:color="auto" w:fill="auto"/>
          </w:tcPr>
          <w:p w:rsidR="0014652A" w:rsidRDefault="0014652A" w:rsidP="0014652A">
            <w:pPr>
              <w:rPr>
                <w:rFonts w:cs="Arial"/>
                <w:szCs w:val="22"/>
              </w:rPr>
            </w:pPr>
          </w:p>
        </w:tc>
      </w:tr>
      <w:tr w:rsidR="000D348C" w:rsidRPr="000D348C" w:rsidTr="000D348C">
        <w:tc>
          <w:tcPr>
            <w:tcW w:w="706" w:type="dxa"/>
            <w:shd w:val="clear" w:color="auto" w:fill="auto"/>
          </w:tcPr>
          <w:p w:rsidR="000D348C" w:rsidRPr="000D348C" w:rsidRDefault="0014652A" w:rsidP="0014652A">
            <w:pPr>
              <w:spacing w:line="360" w:lineRule="auto"/>
              <w:rPr>
                <w:rFonts w:cs="Arial"/>
                <w:szCs w:val="22"/>
              </w:rPr>
            </w:pPr>
            <w:r>
              <w:rPr>
                <w:rFonts w:cs="Arial"/>
                <w:szCs w:val="22"/>
              </w:rPr>
              <w:t>6.</w:t>
            </w:r>
            <w:r w:rsidR="000D348C" w:rsidRPr="000D348C">
              <w:rPr>
                <w:rFonts w:cs="Arial"/>
                <w:szCs w:val="22"/>
              </w:rPr>
              <w:t>1</w:t>
            </w:r>
          </w:p>
        </w:tc>
        <w:tc>
          <w:tcPr>
            <w:tcW w:w="9183" w:type="dxa"/>
            <w:shd w:val="clear" w:color="auto" w:fill="auto"/>
          </w:tcPr>
          <w:p w:rsidR="0014652A" w:rsidRPr="000D348C" w:rsidRDefault="0014652A" w:rsidP="0014652A">
            <w:pPr>
              <w:rPr>
                <w:rFonts w:cs="Arial"/>
                <w:szCs w:val="22"/>
              </w:rPr>
            </w:pPr>
            <w:r>
              <w:rPr>
                <w:rFonts w:cs="Arial"/>
                <w:szCs w:val="22"/>
              </w:rPr>
              <w:t xml:space="preserve">There are </w:t>
            </w:r>
            <w:r w:rsidRPr="000D348C">
              <w:rPr>
                <w:rFonts w:cs="Arial"/>
                <w:szCs w:val="22"/>
              </w:rPr>
              <w:t xml:space="preserve">no financial implications in this report as expenditure is contained within existing budgets.  </w:t>
            </w:r>
          </w:p>
          <w:p w:rsidR="000D348C" w:rsidRPr="000D348C" w:rsidRDefault="000D348C" w:rsidP="000D348C">
            <w:pPr>
              <w:rPr>
                <w:rFonts w:cs="Arial"/>
                <w:b/>
                <w:szCs w:val="22"/>
              </w:rPr>
            </w:pPr>
          </w:p>
        </w:tc>
      </w:tr>
      <w:tr w:rsidR="0014652A" w:rsidRPr="000D348C" w:rsidTr="000D348C">
        <w:tc>
          <w:tcPr>
            <w:tcW w:w="706" w:type="dxa"/>
            <w:shd w:val="clear" w:color="auto" w:fill="auto"/>
          </w:tcPr>
          <w:p w:rsidR="0014652A" w:rsidRDefault="0014652A" w:rsidP="000D348C">
            <w:pPr>
              <w:spacing w:line="360" w:lineRule="auto"/>
              <w:rPr>
                <w:rFonts w:cs="Arial"/>
                <w:szCs w:val="22"/>
              </w:rPr>
            </w:pPr>
          </w:p>
        </w:tc>
        <w:tc>
          <w:tcPr>
            <w:tcW w:w="9183" w:type="dxa"/>
            <w:shd w:val="clear" w:color="auto" w:fill="auto"/>
          </w:tcPr>
          <w:p w:rsidR="0014652A" w:rsidRPr="0014652A" w:rsidRDefault="0014652A" w:rsidP="000D348C">
            <w:pPr>
              <w:rPr>
                <w:b/>
                <w:caps/>
              </w:rPr>
            </w:pPr>
          </w:p>
        </w:tc>
      </w:tr>
      <w:tr w:rsidR="000D348C" w:rsidRPr="000D348C" w:rsidTr="000D348C">
        <w:tc>
          <w:tcPr>
            <w:tcW w:w="706" w:type="dxa"/>
            <w:shd w:val="clear" w:color="auto" w:fill="auto"/>
          </w:tcPr>
          <w:p w:rsidR="000D348C" w:rsidRPr="000D348C" w:rsidRDefault="0014652A" w:rsidP="000D348C">
            <w:pPr>
              <w:spacing w:line="360" w:lineRule="auto"/>
              <w:rPr>
                <w:rFonts w:cs="Arial"/>
                <w:szCs w:val="22"/>
              </w:rPr>
            </w:pPr>
            <w:r>
              <w:rPr>
                <w:rFonts w:cs="Arial"/>
                <w:szCs w:val="22"/>
              </w:rPr>
              <w:t>7</w:t>
            </w:r>
          </w:p>
        </w:tc>
        <w:tc>
          <w:tcPr>
            <w:tcW w:w="9183" w:type="dxa"/>
            <w:shd w:val="clear" w:color="auto" w:fill="auto"/>
          </w:tcPr>
          <w:p w:rsidR="000D348C" w:rsidRPr="0014652A" w:rsidRDefault="0014652A" w:rsidP="000D348C">
            <w:pPr>
              <w:rPr>
                <w:rFonts w:cs="Arial"/>
                <w:b/>
                <w:caps/>
                <w:szCs w:val="22"/>
              </w:rPr>
            </w:pPr>
            <w:r w:rsidRPr="0014652A">
              <w:rPr>
                <w:b/>
                <w:caps/>
              </w:rPr>
              <w:t>Risk Management Implications</w:t>
            </w:r>
          </w:p>
        </w:tc>
      </w:tr>
      <w:tr w:rsidR="0014652A" w:rsidRPr="000D348C" w:rsidTr="000D348C">
        <w:tc>
          <w:tcPr>
            <w:tcW w:w="706" w:type="dxa"/>
            <w:shd w:val="clear" w:color="auto" w:fill="auto"/>
          </w:tcPr>
          <w:p w:rsidR="0014652A" w:rsidRDefault="0014652A" w:rsidP="0014652A">
            <w:pPr>
              <w:spacing w:line="360" w:lineRule="auto"/>
              <w:rPr>
                <w:rFonts w:cs="Arial"/>
                <w:szCs w:val="22"/>
              </w:rPr>
            </w:pPr>
          </w:p>
        </w:tc>
        <w:tc>
          <w:tcPr>
            <w:tcW w:w="9183" w:type="dxa"/>
            <w:shd w:val="clear" w:color="auto" w:fill="auto"/>
          </w:tcPr>
          <w:p w:rsidR="0014652A" w:rsidRPr="000D348C" w:rsidRDefault="0014652A" w:rsidP="000D348C">
            <w:pPr>
              <w:rPr>
                <w:rFonts w:cs="Arial"/>
                <w:szCs w:val="22"/>
              </w:rPr>
            </w:pPr>
          </w:p>
        </w:tc>
      </w:tr>
      <w:tr w:rsidR="000D348C" w:rsidRPr="000D348C" w:rsidTr="000D348C">
        <w:tc>
          <w:tcPr>
            <w:tcW w:w="706" w:type="dxa"/>
            <w:shd w:val="clear" w:color="auto" w:fill="auto"/>
          </w:tcPr>
          <w:p w:rsidR="000D348C" w:rsidRPr="000D348C" w:rsidRDefault="0014652A" w:rsidP="0014652A">
            <w:pPr>
              <w:spacing w:line="360" w:lineRule="auto"/>
              <w:rPr>
                <w:rFonts w:cs="Arial"/>
                <w:szCs w:val="22"/>
              </w:rPr>
            </w:pPr>
            <w:r>
              <w:rPr>
                <w:rFonts w:cs="Arial"/>
                <w:szCs w:val="22"/>
              </w:rPr>
              <w:t>7</w:t>
            </w:r>
            <w:r w:rsidR="000D348C" w:rsidRPr="000D348C">
              <w:rPr>
                <w:rFonts w:cs="Arial"/>
                <w:szCs w:val="22"/>
              </w:rPr>
              <w:t>.1</w:t>
            </w:r>
          </w:p>
        </w:tc>
        <w:tc>
          <w:tcPr>
            <w:tcW w:w="9183" w:type="dxa"/>
            <w:shd w:val="clear" w:color="auto" w:fill="auto"/>
          </w:tcPr>
          <w:p w:rsidR="000D348C" w:rsidRPr="000D348C" w:rsidRDefault="000D348C" w:rsidP="000D348C">
            <w:pPr>
              <w:rPr>
                <w:rFonts w:cs="Arial"/>
                <w:szCs w:val="22"/>
              </w:rPr>
            </w:pPr>
            <w:r w:rsidRPr="000D348C">
              <w:rPr>
                <w:rFonts w:cs="Arial"/>
                <w:szCs w:val="22"/>
              </w:rPr>
              <w:t>There are no risks associated with Members noting this report</w:t>
            </w:r>
          </w:p>
        </w:tc>
      </w:tr>
    </w:tbl>
    <w:p w:rsidR="000D348C" w:rsidRPr="000D348C" w:rsidRDefault="000D348C" w:rsidP="000D348C">
      <w:pPr>
        <w:rPr>
          <w:rFonts w:cs="Arial"/>
          <w:szCs w:val="22"/>
        </w:rPr>
      </w:pPr>
    </w:p>
    <w:tbl>
      <w:tblPr>
        <w:tblW w:w="9889" w:type="dxa"/>
        <w:tblLook w:val="01E0" w:firstRow="1" w:lastRow="1" w:firstColumn="1" w:lastColumn="1" w:noHBand="0" w:noVBand="0"/>
      </w:tblPr>
      <w:tblGrid>
        <w:gridCol w:w="675"/>
        <w:gridCol w:w="9214"/>
      </w:tblGrid>
      <w:tr w:rsidR="000D348C" w:rsidRPr="000D348C" w:rsidTr="0014652A">
        <w:tc>
          <w:tcPr>
            <w:tcW w:w="675" w:type="dxa"/>
            <w:shd w:val="clear" w:color="auto" w:fill="auto"/>
          </w:tcPr>
          <w:p w:rsidR="000D348C" w:rsidRPr="000D348C" w:rsidRDefault="0014652A" w:rsidP="0014652A">
            <w:pPr>
              <w:spacing w:line="360" w:lineRule="auto"/>
              <w:rPr>
                <w:rFonts w:cs="Arial"/>
                <w:szCs w:val="22"/>
              </w:rPr>
            </w:pPr>
            <w:r>
              <w:rPr>
                <w:rFonts w:cs="Arial"/>
                <w:szCs w:val="22"/>
              </w:rPr>
              <w:t>8</w:t>
            </w:r>
          </w:p>
        </w:tc>
        <w:tc>
          <w:tcPr>
            <w:tcW w:w="9214" w:type="dxa"/>
            <w:shd w:val="clear" w:color="auto" w:fill="auto"/>
          </w:tcPr>
          <w:p w:rsidR="000D348C" w:rsidRPr="000D348C" w:rsidRDefault="000D348C" w:rsidP="000D348C">
            <w:pPr>
              <w:spacing w:line="360" w:lineRule="auto"/>
              <w:rPr>
                <w:rFonts w:cs="Arial"/>
                <w:b/>
                <w:szCs w:val="22"/>
              </w:rPr>
            </w:pPr>
            <w:r w:rsidRPr="000D348C">
              <w:rPr>
                <w:rFonts w:cs="Arial"/>
                <w:b/>
                <w:szCs w:val="22"/>
              </w:rPr>
              <w:t xml:space="preserve">RECOMMENDATIONS </w:t>
            </w:r>
          </w:p>
        </w:tc>
      </w:tr>
      <w:tr w:rsidR="0014652A" w:rsidRPr="000D348C" w:rsidTr="0014652A">
        <w:tc>
          <w:tcPr>
            <w:tcW w:w="675" w:type="dxa"/>
            <w:shd w:val="clear" w:color="auto" w:fill="auto"/>
          </w:tcPr>
          <w:p w:rsidR="0014652A" w:rsidRDefault="0014652A" w:rsidP="0014652A">
            <w:pPr>
              <w:spacing w:line="360" w:lineRule="auto"/>
              <w:rPr>
                <w:rFonts w:cs="Arial"/>
                <w:szCs w:val="22"/>
              </w:rPr>
            </w:pPr>
          </w:p>
        </w:tc>
        <w:tc>
          <w:tcPr>
            <w:tcW w:w="9214" w:type="dxa"/>
            <w:shd w:val="clear" w:color="auto" w:fill="auto"/>
          </w:tcPr>
          <w:p w:rsidR="0014652A" w:rsidRPr="000D348C" w:rsidRDefault="0014652A" w:rsidP="000D348C">
            <w:pPr>
              <w:spacing w:line="360" w:lineRule="auto"/>
              <w:rPr>
                <w:rFonts w:cs="Arial"/>
                <w:szCs w:val="22"/>
              </w:rPr>
            </w:pPr>
          </w:p>
        </w:tc>
      </w:tr>
      <w:tr w:rsidR="000D348C" w:rsidRPr="000D348C" w:rsidTr="0014652A">
        <w:tc>
          <w:tcPr>
            <w:tcW w:w="675" w:type="dxa"/>
            <w:shd w:val="clear" w:color="auto" w:fill="auto"/>
          </w:tcPr>
          <w:p w:rsidR="000D348C" w:rsidRPr="000D348C" w:rsidRDefault="0014652A" w:rsidP="0014652A">
            <w:pPr>
              <w:spacing w:line="360" w:lineRule="auto"/>
              <w:rPr>
                <w:rFonts w:cs="Arial"/>
                <w:szCs w:val="22"/>
              </w:rPr>
            </w:pPr>
            <w:r>
              <w:rPr>
                <w:rFonts w:cs="Arial"/>
                <w:szCs w:val="22"/>
              </w:rPr>
              <w:t>8</w:t>
            </w:r>
            <w:r w:rsidR="000D348C" w:rsidRPr="000D348C">
              <w:rPr>
                <w:rFonts w:cs="Arial"/>
                <w:szCs w:val="22"/>
              </w:rPr>
              <w:t>.1</w:t>
            </w:r>
          </w:p>
        </w:tc>
        <w:tc>
          <w:tcPr>
            <w:tcW w:w="9214" w:type="dxa"/>
            <w:shd w:val="clear" w:color="auto" w:fill="auto"/>
          </w:tcPr>
          <w:p w:rsidR="000D348C" w:rsidRPr="000D348C" w:rsidRDefault="000D348C" w:rsidP="000D348C">
            <w:pPr>
              <w:spacing w:line="360" w:lineRule="auto"/>
              <w:rPr>
                <w:rFonts w:cs="Arial"/>
                <w:szCs w:val="22"/>
              </w:rPr>
            </w:pPr>
            <w:r w:rsidRPr="000D348C">
              <w:rPr>
                <w:rFonts w:cs="Arial"/>
                <w:szCs w:val="22"/>
              </w:rPr>
              <w:t xml:space="preserve">To note the contents of this report. </w:t>
            </w:r>
          </w:p>
        </w:tc>
      </w:tr>
    </w:tbl>
    <w:p w:rsidR="000D348C" w:rsidRPr="000D348C" w:rsidRDefault="000D348C" w:rsidP="000D348C">
      <w:pPr>
        <w:rPr>
          <w:rFonts w:cs="Arial"/>
          <w:szCs w:val="22"/>
        </w:rPr>
      </w:pPr>
    </w:p>
    <w:p w:rsidR="0014652A" w:rsidRDefault="0014652A" w:rsidP="000D348C">
      <w:pPr>
        <w:rPr>
          <w:rFonts w:cs="Arial"/>
          <w:szCs w:val="22"/>
          <w:u w:val="single"/>
        </w:rPr>
      </w:pPr>
    </w:p>
    <w:p w:rsidR="00EB4CC4" w:rsidRDefault="00EB4CC4" w:rsidP="000D348C">
      <w:pPr>
        <w:rPr>
          <w:rFonts w:cs="Arial"/>
          <w:szCs w:val="22"/>
          <w:u w:val="single"/>
        </w:rPr>
      </w:pPr>
    </w:p>
    <w:p w:rsidR="00EB4CC4" w:rsidRDefault="00EB4CC4" w:rsidP="000D348C">
      <w:pPr>
        <w:rPr>
          <w:rFonts w:cs="Arial"/>
          <w:szCs w:val="22"/>
          <w:u w:val="single"/>
        </w:rPr>
      </w:pPr>
    </w:p>
    <w:p w:rsidR="00EB4CC4" w:rsidRDefault="00EB4CC4" w:rsidP="000D348C">
      <w:pPr>
        <w:rPr>
          <w:rFonts w:cs="Arial"/>
          <w:szCs w:val="22"/>
          <w:u w:val="single"/>
        </w:rPr>
      </w:pPr>
    </w:p>
    <w:p w:rsidR="00EB4CC4" w:rsidRDefault="00EB4CC4" w:rsidP="000D348C">
      <w:pPr>
        <w:rPr>
          <w:rFonts w:cs="Arial"/>
          <w:szCs w:val="22"/>
          <w:u w:val="single"/>
        </w:rPr>
      </w:pPr>
    </w:p>
    <w:p w:rsidR="00EB4CC4" w:rsidRDefault="00EB4CC4" w:rsidP="000D348C">
      <w:pPr>
        <w:rPr>
          <w:rFonts w:cs="Arial"/>
          <w:szCs w:val="22"/>
          <w:u w:val="single"/>
        </w:rPr>
      </w:pPr>
    </w:p>
    <w:p w:rsidR="00EB4CC4" w:rsidRDefault="00EB4CC4" w:rsidP="000D348C">
      <w:pPr>
        <w:rPr>
          <w:rFonts w:cs="Arial"/>
          <w:szCs w:val="22"/>
          <w:u w:val="single"/>
        </w:rPr>
      </w:pPr>
    </w:p>
    <w:p w:rsidR="00EB4CC4" w:rsidRDefault="00EB4CC4" w:rsidP="000D348C">
      <w:pPr>
        <w:rPr>
          <w:rFonts w:cs="Arial"/>
          <w:szCs w:val="22"/>
          <w:u w:val="single"/>
        </w:rPr>
      </w:pPr>
    </w:p>
    <w:p w:rsidR="0014652A" w:rsidRDefault="0014652A" w:rsidP="000D348C">
      <w:pPr>
        <w:rPr>
          <w:rFonts w:cs="Arial"/>
          <w:szCs w:val="22"/>
          <w:u w:val="single"/>
        </w:rPr>
      </w:pPr>
    </w:p>
    <w:p w:rsidR="000D348C" w:rsidRPr="000D348C" w:rsidRDefault="000D348C" w:rsidP="000D348C">
      <w:pPr>
        <w:rPr>
          <w:rFonts w:cs="Arial"/>
          <w:szCs w:val="22"/>
          <w:u w:val="single"/>
        </w:rPr>
      </w:pPr>
      <w:r w:rsidRPr="000D348C">
        <w:rPr>
          <w:rFonts w:cs="Arial"/>
          <w:szCs w:val="22"/>
          <w:u w:val="single"/>
        </w:rPr>
        <w:t>Appendices</w:t>
      </w:r>
    </w:p>
    <w:p w:rsidR="000D348C" w:rsidRPr="000D348C" w:rsidRDefault="000D348C" w:rsidP="000D348C">
      <w:pPr>
        <w:rPr>
          <w:rFonts w:cs="Arial"/>
          <w:szCs w:val="22"/>
          <w:u w:val="single"/>
        </w:rPr>
      </w:pPr>
    </w:p>
    <w:p w:rsidR="000D348C" w:rsidRPr="000D348C" w:rsidRDefault="000D348C" w:rsidP="000D348C">
      <w:pPr>
        <w:rPr>
          <w:rFonts w:cs="Arial"/>
          <w:szCs w:val="22"/>
        </w:rPr>
      </w:pPr>
      <w:r w:rsidRPr="000D348C">
        <w:rPr>
          <w:rFonts w:cs="Arial"/>
          <w:szCs w:val="22"/>
        </w:rPr>
        <w:t xml:space="preserve">None </w:t>
      </w:r>
    </w:p>
    <w:p w:rsidR="000D348C" w:rsidRPr="000D348C" w:rsidRDefault="000D348C" w:rsidP="000D348C">
      <w:pPr>
        <w:rPr>
          <w:rFonts w:cs="Arial"/>
          <w:szCs w:val="22"/>
          <w:u w:val="single"/>
        </w:rPr>
      </w:pPr>
    </w:p>
    <w:p w:rsidR="000D348C" w:rsidRPr="000D348C" w:rsidRDefault="000D348C" w:rsidP="000D348C">
      <w:pPr>
        <w:rPr>
          <w:rFonts w:cs="Arial"/>
          <w:szCs w:val="22"/>
          <w:u w:val="single"/>
        </w:rPr>
      </w:pPr>
      <w:r w:rsidRPr="000D348C">
        <w:rPr>
          <w:rFonts w:cs="Arial"/>
          <w:szCs w:val="22"/>
          <w:u w:val="single"/>
        </w:rPr>
        <w:t>Background Papers</w:t>
      </w:r>
    </w:p>
    <w:p w:rsidR="000D348C" w:rsidRPr="000D348C" w:rsidRDefault="000D348C" w:rsidP="000D348C">
      <w:pPr>
        <w:rPr>
          <w:rFonts w:cs="Arial"/>
          <w:szCs w:val="22"/>
          <w:u w:val="single"/>
        </w:rPr>
      </w:pPr>
    </w:p>
    <w:p w:rsidR="000D348C" w:rsidRPr="000D348C" w:rsidRDefault="000D348C" w:rsidP="000D348C">
      <w:pPr>
        <w:rPr>
          <w:rFonts w:cs="Arial"/>
          <w:szCs w:val="22"/>
        </w:rPr>
      </w:pPr>
      <w:r w:rsidRPr="000D348C">
        <w:rPr>
          <w:rFonts w:cs="Arial"/>
          <w:szCs w:val="22"/>
        </w:rPr>
        <w:t>The following background papers were used in the preparation of this report.  If you wish to inspect or take copies of the background papers, please contact the officer named on the front page of the report:</w:t>
      </w:r>
    </w:p>
    <w:p w:rsidR="000D348C" w:rsidRPr="000D348C" w:rsidRDefault="000D348C" w:rsidP="000D348C">
      <w:pPr>
        <w:ind w:left="-993" w:firstLine="993"/>
        <w:rPr>
          <w:rFonts w:cs="Arial"/>
          <w:szCs w:val="22"/>
        </w:rPr>
      </w:pPr>
    </w:p>
    <w:p w:rsidR="000D348C" w:rsidRPr="000D348C" w:rsidRDefault="000D348C" w:rsidP="000D348C">
      <w:pPr>
        <w:ind w:left="-993" w:firstLine="993"/>
        <w:rPr>
          <w:rFonts w:cs="Arial"/>
          <w:szCs w:val="22"/>
        </w:rPr>
      </w:pPr>
      <w:r w:rsidRPr="000D348C">
        <w:rPr>
          <w:rFonts w:cs="Arial"/>
          <w:szCs w:val="22"/>
        </w:rPr>
        <w:t>2016-19 Fighting Fraud Locally.</w:t>
      </w:r>
    </w:p>
    <w:p w:rsidR="000D348C" w:rsidRPr="000D348C" w:rsidRDefault="000D348C" w:rsidP="000D348C">
      <w:pPr>
        <w:rPr>
          <w:rFonts w:cs="Arial"/>
          <w:i/>
          <w:szCs w:val="22"/>
        </w:rPr>
      </w:pPr>
    </w:p>
    <w:p w:rsidR="000D348C" w:rsidRPr="000D348C" w:rsidRDefault="000D348C" w:rsidP="000D348C">
      <w:pPr>
        <w:rPr>
          <w:rFonts w:cs="Arial"/>
          <w:szCs w:val="22"/>
          <w:u w:val="single"/>
        </w:rPr>
      </w:pPr>
      <w:r w:rsidRPr="000D348C">
        <w:rPr>
          <w:rFonts w:cs="Arial"/>
          <w:szCs w:val="22"/>
          <w:u w:val="single"/>
        </w:rPr>
        <w:t>File Reference</w:t>
      </w:r>
    </w:p>
    <w:p w:rsidR="000D348C" w:rsidRPr="000D348C" w:rsidRDefault="000D348C" w:rsidP="000D348C">
      <w:pPr>
        <w:rPr>
          <w:rFonts w:cs="Arial"/>
          <w:szCs w:val="22"/>
          <w:u w:val="single"/>
        </w:rPr>
      </w:pPr>
    </w:p>
    <w:p w:rsidR="000D348C" w:rsidRPr="000D348C" w:rsidRDefault="000D348C" w:rsidP="000D348C">
      <w:pPr>
        <w:rPr>
          <w:rFonts w:cs="Arial"/>
          <w:szCs w:val="22"/>
        </w:rPr>
      </w:pPr>
      <w:r w:rsidRPr="000D348C">
        <w:rPr>
          <w:rFonts w:cs="Arial"/>
          <w:szCs w:val="22"/>
        </w:rPr>
        <w:t>None</w:t>
      </w:r>
    </w:p>
    <w:p w:rsidR="000D348C" w:rsidRPr="00EB4CC4" w:rsidRDefault="000D348C">
      <w:pPr>
        <w:ind w:left="1267" w:hanging="1267"/>
        <w:rPr>
          <w:rFonts w:cs="Arial"/>
        </w:rPr>
      </w:pPr>
    </w:p>
    <w:p w:rsidR="00CC16E5" w:rsidRPr="00EB4CC4" w:rsidRDefault="00CC16E5" w:rsidP="00A20960">
      <w:pPr>
        <w:keepNext/>
        <w:ind w:left="1267" w:hanging="1267"/>
        <w:rPr>
          <w:rFonts w:cs="Arial"/>
        </w:rPr>
      </w:pPr>
    </w:p>
    <w:p w:rsidR="000D348C" w:rsidRPr="00EB4CC4" w:rsidRDefault="000D348C" w:rsidP="000D348C">
      <w:pPr>
        <w:spacing w:line="360" w:lineRule="auto"/>
        <w:rPr>
          <w:rFonts w:cs="Arial"/>
          <w:u w:val="single"/>
        </w:rPr>
      </w:pPr>
      <w:r w:rsidRPr="00EB4CC4">
        <w:rPr>
          <w:rFonts w:cs="Arial"/>
          <w:u w:val="single"/>
        </w:rPr>
        <w:t>Contact Officer:</w:t>
      </w:r>
    </w:p>
    <w:p w:rsidR="000D348C" w:rsidRPr="00EB4CC4" w:rsidRDefault="000D348C" w:rsidP="000D348C">
      <w:pPr>
        <w:rPr>
          <w:rFonts w:cs="Arial"/>
          <w:i/>
        </w:rPr>
      </w:pPr>
      <w:r w:rsidRPr="00EB4CC4">
        <w:rPr>
          <w:rFonts w:cs="Arial"/>
        </w:rPr>
        <w:t xml:space="preserve">For further </w:t>
      </w:r>
      <w:smartTag w:uri="urn:schemas-microsoft-com:office:smarttags" w:element="PersonName">
        <w:r w:rsidRPr="00EB4CC4">
          <w:rPr>
            <w:rFonts w:cs="Arial"/>
          </w:rPr>
          <w:t>info</w:t>
        </w:r>
      </w:smartTag>
      <w:r w:rsidRPr="00EB4CC4">
        <w:rPr>
          <w:rFonts w:cs="Arial"/>
        </w:rPr>
        <w:t xml:space="preserve">rmation on this report please contact: </w:t>
      </w:r>
      <w:smartTag w:uri="urn:schemas-microsoft-com:office:smarttags" w:element="PersonName">
        <w:r w:rsidRPr="00EB4CC4">
          <w:rPr>
            <w:rFonts w:cs="Arial"/>
          </w:rPr>
          <w:t>Garry Turner</w:t>
        </w:r>
      </w:smartTag>
      <w:r w:rsidRPr="00EB4CC4">
        <w:rPr>
          <w:rFonts w:cs="Arial"/>
        </w:rPr>
        <w:t>, Fraud Manager</w:t>
      </w:r>
    </w:p>
    <w:p w:rsidR="000D348C" w:rsidRPr="00EB4CC4" w:rsidRDefault="000D348C" w:rsidP="000D348C">
      <w:pPr>
        <w:tabs>
          <w:tab w:val="left" w:pos="2835"/>
        </w:tabs>
        <w:rPr>
          <w:rFonts w:cs="Arial"/>
          <w:i/>
        </w:rPr>
      </w:pPr>
      <w:r w:rsidRPr="00EB4CC4">
        <w:rPr>
          <w:rFonts w:cs="Arial"/>
        </w:rPr>
        <w:t>telephone extension 727190; email: garry.turner@threerivers.gov.uk</w:t>
      </w:r>
    </w:p>
    <w:p w:rsidR="000D348C" w:rsidRPr="00EB4CC4" w:rsidRDefault="000D348C" w:rsidP="000D348C">
      <w:pPr>
        <w:tabs>
          <w:tab w:val="left" w:pos="2835"/>
        </w:tabs>
        <w:rPr>
          <w:rFonts w:cs="Arial"/>
        </w:rPr>
      </w:pPr>
    </w:p>
    <w:p w:rsidR="00CC16E5" w:rsidRPr="00EB4CC4" w:rsidRDefault="000D348C" w:rsidP="00EB4CC4">
      <w:pPr>
        <w:keepNext/>
        <w:ind w:left="1267" w:hanging="1267"/>
        <w:rPr>
          <w:rFonts w:cs="Arial"/>
        </w:rPr>
      </w:pPr>
      <w:r w:rsidRPr="00EB4CC4">
        <w:rPr>
          <w:rFonts w:cs="Arial"/>
          <w:b/>
        </w:rPr>
        <w:t>Report approved by:</w:t>
      </w:r>
      <w:r w:rsidRPr="00EB4CC4">
        <w:rPr>
          <w:rFonts w:cs="Arial"/>
        </w:rPr>
        <w:t xml:space="preserve"> Bob Watson, Head of Finance (Shared Services)</w:t>
      </w:r>
      <w:r w:rsidR="00CC16E5" w:rsidRPr="00EB4CC4">
        <w:rPr>
          <w:rFonts w:cs="Arial"/>
        </w:rPr>
        <w:fldChar w:fldCharType="begin"/>
      </w:r>
      <w:r w:rsidR="00CC16E5" w:rsidRPr="00EB4CC4">
        <w:rPr>
          <w:rFonts w:cs="Arial"/>
        </w:rPr>
        <w:instrText xml:space="preserve">  </w:instrText>
      </w:r>
      <w:r w:rsidR="00CC16E5" w:rsidRPr="00EB4CC4">
        <w:rPr>
          <w:rFonts w:cs="Arial"/>
        </w:rPr>
        <w:fldChar w:fldCharType="end"/>
      </w:r>
    </w:p>
    <w:sectPr w:rsidR="00CC16E5" w:rsidRPr="00EB4CC4" w:rsidSect="00EB4CC4">
      <w:pgSz w:w="11909" w:h="16834" w:code="9"/>
      <w:pgMar w:top="720" w:right="1412" w:bottom="403"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2A" w:rsidRDefault="0014652A">
      <w:r>
        <w:separator/>
      </w:r>
    </w:p>
  </w:endnote>
  <w:endnote w:type="continuationSeparator" w:id="0">
    <w:p w:rsidR="0014652A" w:rsidRDefault="0014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2A" w:rsidRDefault="0014652A">
      <w:r>
        <w:separator/>
      </w:r>
    </w:p>
  </w:footnote>
  <w:footnote w:type="continuationSeparator" w:id="0">
    <w:p w:rsidR="0014652A" w:rsidRDefault="0014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A45D5"/>
    <w:multiLevelType w:val="multilevel"/>
    <w:tmpl w:val="70EC669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96B34F8"/>
    <w:multiLevelType w:val="multilevel"/>
    <w:tmpl w:val="BB3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277EA"/>
    <w:multiLevelType w:val="hybridMultilevel"/>
    <w:tmpl w:val="8932CD06"/>
    <w:lvl w:ilvl="0" w:tplc="0EECEC80">
      <w:start w:val="10"/>
      <w:numFmt w:val="bullet"/>
      <w:lvlText w:val=""/>
      <w:lvlJc w:val="left"/>
      <w:pPr>
        <w:tabs>
          <w:tab w:val="num" w:pos="1620"/>
        </w:tabs>
        <w:ind w:left="1620" w:hanging="12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814E4"/>
    <w:multiLevelType w:val="multilevel"/>
    <w:tmpl w:val="70EC6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8"/>
    <w:rsid w:val="0001039D"/>
    <w:rsid w:val="000357CA"/>
    <w:rsid w:val="00051029"/>
    <w:rsid w:val="000710A6"/>
    <w:rsid w:val="00072A82"/>
    <w:rsid w:val="00077014"/>
    <w:rsid w:val="00090D40"/>
    <w:rsid w:val="000D20A0"/>
    <w:rsid w:val="000D348C"/>
    <w:rsid w:val="000D4B99"/>
    <w:rsid w:val="000D6911"/>
    <w:rsid w:val="00101D7B"/>
    <w:rsid w:val="00107D1F"/>
    <w:rsid w:val="00114717"/>
    <w:rsid w:val="00114CBA"/>
    <w:rsid w:val="0011781C"/>
    <w:rsid w:val="0014652A"/>
    <w:rsid w:val="00155D7C"/>
    <w:rsid w:val="00161E78"/>
    <w:rsid w:val="001847B0"/>
    <w:rsid w:val="001A4068"/>
    <w:rsid w:val="001A7082"/>
    <w:rsid w:val="001D40C7"/>
    <w:rsid w:val="001E3CF1"/>
    <w:rsid w:val="001E4F87"/>
    <w:rsid w:val="002107F8"/>
    <w:rsid w:val="00232AD3"/>
    <w:rsid w:val="00245FB9"/>
    <w:rsid w:val="0024608D"/>
    <w:rsid w:val="00257F86"/>
    <w:rsid w:val="0026558A"/>
    <w:rsid w:val="00281C37"/>
    <w:rsid w:val="00282B36"/>
    <w:rsid w:val="00282C6C"/>
    <w:rsid w:val="002944E3"/>
    <w:rsid w:val="00295EC2"/>
    <w:rsid w:val="002B0612"/>
    <w:rsid w:val="002B513E"/>
    <w:rsid w:val="002B6CBA"/>
    <w:rsid w:val="002D5875"/>
    <w:rsid w:val="002D69A9"/>
    <w:rsid w:val="002F1C35"/>
    <w:rsid w:val="002F7BC3"/>
    <w:rsid w:val="00311C81"/>
    <w:rsid w:val="0031719A"/>
    <w:rsid w:val="00323833"/>
    <w:rsid w:val="00327008"/>
    <w:rsid w:val="00331D0A"/>
    <w:rsid w:val="00351060"/>
    <w:rsid w:val="00365ADD"/>
    <w:rsid w:val="003749E5"/>
    <w:rsid w:val="00382CD3"/>
    <w:rsid w:val="00393BFD"/>
    <w:rsid w:val="003B3544"/>
    <w:rsid w:val="003C76D4"/>
    <w:rsid w:val="003D64B4"/>
    <w:rsid w:val="003E41CA"/>
    <w:rsid w:val="003E5B39"/>
    <w:rsid w:val="003F0170"/>
    <w:rsid w:val="003F540E"/>
    <w:rsid w:val="00404059"/>
    <w:rsid w:val="00407A8A"/>
    <w:rsid w:val="004228D5"/>
    <w:rsid w:val="00427F59"/>
    <w:rsid w:val="004301A7"/>
    <w:rsid w:val="004356BA"/>
    <w:rsid w:val="00436095"/>
    <w:rsid w:val="0045057B"/>
    <w:rsid w:val="004848DD"/>
    <w:rsid w:val="00484A53"/>
    <w:rsid w:val="00495E7B"/>
    <w:rsid w:val="004A390F"/>
    <w:rsid w:val="004C431B"/>
    <w:rsid w:val="004D2846"/>
    <w:rsid w:val="004E39DB"/>
    <w:rsid w:val="004F2F3C"/>
    <w:rsid w:val="0051147B"/>
    <w:rsid w:val="00516AFD"/>
    <w:rsid w:val="00536953"/>
    <w:rsid w:val="00536B81"/>
    <w:rsid w:val="00562E62"/>
    <w:rsid w:val="005651D9"/>
    <w:rsid w:val="00566553"/>
    <w:rsid w:val="00566554"/>
    <w:rsid w:val="00570F96"/>
    <w:rsid w:val="00571154"/>
    <w:rsid w:val="0057635F"/>
    <w:rsid w:val="005A2FA4"/>
    <w:rsid w:val="005B1F5C"/>
    <w:rsid w:val="005C7FEA"/>
    <w:rsid w:val="005E087B"/>
    <w:rsid w:val="005E5A74"/>
    <w:rsid w:val="00600596"/>
    <w:rsid w:val="006023E3"/>
    <w:rsid w:val="00613316"/>
    <w:rsid w:val="0064394A"/>
    <w:rsid w:val="0069529D"/>
    <w:rsid w:val="006A7B67"/>
    <w:rsid w:val="006D45A5"/>
    <w:rsid w:val="006D4C70"/>
    <w:rsid w:val="006D69EB"/>
    <w:rsid w:val="006E4787"/>
    <w:rsid w:val="006F2B4E"/>
    <w:rsid w:val="007016DA"/>
    <w:rsid w:val="0070536D"/>
    <w:rsid w:val="00723221"/>
    <w:rsid w:val="00725802"/>
    <w:rsid w:val="0073123A"/>
    <w:rsid w:val="007321B3"/>
    <w:rsid w:val="00734739"/>
    <w:rsid w:val="007378A4"/>
    <w:rsid w:val="00740CA5"/>
    <w:rsid w:val="00741C35"/>
    <w:rsid w:val="00747389"/>
    <w:rsid w:val="007474C3"/>
    <w:rsid w:val="00751BB9"/>
    <w:rsid w:val="00753CE4"/>
    <w:rsid w:val="00753E1B"/>
    <w:rsid w:val="00760136"/>
    <w:rsid w:val="00762C4D"/>
    <w:rsid w:val="007804CF"/>
    <w:rsid w:val="0078449A"/>
    <w:rsid w:val="0079280D"/>
    <w:rsid w:val="00793C12"/>
    <w:rsid w:val="00795A9B"/>
    <w:rsid w:val="007B7292"/>
    <w:rsid w:val="007D1FFF"/>
    <w:rsid w:val="007D28F4"/>
    <w:rsid w:val="007D369D"/>
    <w:rsid w:val="007D5741"/>
    <w:rsid w:val="007E3C32"/>
    <w:rsid w:val="007E7CB3"/>
    <w:rsid w:val="007F69AD"/>
    <w:rsid w:val="007F7E2A"/>
    <w:rsid w:val="008035B2"/>
    <w:rsid w:val="00810B7E"/>
    <w:rsid w:val="008531C1"/>
    <w:rsid w:val="00855990"/>
    <w:rsid w:val="00857CA1"/>
    <w:rsid w:val="00857CDE"/>
    <w:rsid w:val="00860D2A"/>
    <w:rsid w:val="00864235"/>
    <w:rsid w:val="00864C7F"/>
    <w:rsid w:val="00871349"/>
    <w:rsid w:val="008723B7"/>
    <w:rsid w:val="00872E4A"/>
    <w:rsid w:val="00885CF3"/>
    <w:rsid w:val="00892916"/>
    <w:rsid w:val="008A14B4"/>
    <w:rsid w:val="008A41A7"/>
    <w:rsid w:val="008A4323"/>
    <w:rsid w:val="008B717A"/>
    <w:rsid w:val="008D2678"/>
    <w:rsid w:val="008D40EB"/>
    <w:rsid w:val="008E17F5"/>
    <w:rsid w:val="009176D3"/>
    <w:rsid w:val="009268B0"/>
    <w:rsid w:val="00940A0A"/>
    <w:rsid w:val="009424C0"/>
    <w:rsid w:val="009445E5"/>
    <w:rsid w:val="00955BD0"/>
    <w:rsid w:val="009604B3"/>
    <w:rsid w:val="00962F5D"/>
    <w:rsid w:val="0096525A"/>
    <w:rsid w:val="009731F6"/>
    <w:rsid w:val="0097656A"/>
    <w:rsid w:val="00996255"/>
    <w:rsid w:val="009B56ED"/>
    <w:rsid w:val="009F2C3E"/>
    <w:rsid w:val="00A0131C"/>
    <w:rsid w:val="00A07E50"/>
    <w:rsid w:val="00A146F6"/>
    <w:rsid w:val="00A20960"/>
    <w:rsid w:val="00A22939"/>
    <w:rsid w:val="00A302AE"/>
    <w:rsid w:val="00A3798E"/>
    <w:rsid w:val="00A42CAC"/>
    <w:rsid w:val="00A71D22"/>
    <w:rsid w:val="00A7398B"/>
    <w:rsid w:val="00A75AFE"/>
    <w:rsid w:val="00A85174"/>
    <w:rsid w:val="00A922E0"/>
    <w:rsid w:val="00AA7D48"/>
    <w:rsid w:val="00AC2BE9"/>
    <w:rsid w:val="00AC3AB8"/>
    <w:rsid w:val="00AD7CDF"/>
    <w:rsid w:val="00AE5251"/>
    <w:rsid w:val="00AF17DC"/>
    <w:rsid w:val="00B17F0A"/>
    <w:rsid w:val="00B2027E"/>
    <w:rsid w:val="00B228B1"/>
    <w:rsid w:val="00B27DFC"/>
    <w:rsid w:val="00B33BFB"/>
    <w:rsid w:val="00B3792C"/>
    <w:rsid w:val="00B42EB4"/>
    <w:rsid w:val="00B439BD"/>
    <w:rsid w:val="00B43C75"/>
    <w:rsid w:val="00B44C5F"/>
    <w:rsid w:val="00B56FBE"/>
    <w:rsid w:val="00B57C12"/>
    <w:rsid w:val="00B74564"/>
    <w:rsid w:val="00B7461B"/>
    <w:rsid w:val="00BB0025"/>
    <w:rsid w:val="00BB7105"/>
    <w:rsid w:val="00BC2D43"/>
    <w:rsid w:val="00BD2217"/>
    <w:rsid w:val="00BD584E"/>
    <w:rsid w:val="00BE2305"/>
    <w:rsid w:val="00C13126"/>
    <w:rsid w:val="00C17F08"/>
    <w:rsid w:val="00C258F7"/>
    <w:rsid w:val="00C26192"/>
    <w:rsid w:val="00C30793"/>
    <w:rsid w:val="00C36359"/>
    <w:rsid w:val="00C5170B"/>
    <w:rsid w:val="00C814DB"/>
    <w:rsid w:val="00C854C8"/>
    <w:rsid w:val="00CA64A1"/>
    <w:rsid w:val="00CC16E5"/>
    <w:rsid w:val="00CC285C"/>
    <w:rsid w:val="00CC2F84"/>
    <w:rsid w:val="00CD7353"/>
    <w:rsid w:val="00CE0694"/>
    <w:rsid w:val="00CE15FA"/>
    <w:rsid w:val="00CE415B"/>
    <w:rsid w:val="00CE64F9"/>
    <w:rsid w:val="00CF56BA"/>
    <w:rsid w:val="00D13FCB"/>
    <w:rsid w:val="00D253E2"/>
    <w:rsid w:val="00D27EBA"/>
    <w:rsid w:val="00D46785"/>
    <w:rsid w:val="00D537F4"/>
    <w:rsid w:val="00D5550D"/>
    <w:rsid w:val="00D7356D"/>
    <w:rsid w:val="00D808AA"/>
    <w:rsid w:val="00D93D5C"/>
    <w:rsid w:val="00DC2984"/>
    <w:rsid w:val="00DC3595"/>
    <w:rsid w:val="00DE55D8"/>
    <w:rsid w:val="00DF0C54"/>
    <w:rsid w:val="00E225B7"/>
    <w:rsid w:val="00E275BB"/>
    <w:rsid w:val="00E27967"/>
    <w:rsid w:val="00E31775"/>
    <w:rsid w:val="00E31A0B"/>
    <w:rsid w:val="00E3583A"/>
    <w:rsid w:val="00E55D35"/>
    <w:rsid w:val="00E562BA"/>
    <w:rsid w:val="00E754EE"/>
    <w:rsid w:val="00E777DC"/>
    <w:rsid w:val="00E8630C"/>
    <w:rsid w:val="00E875A5"/>
    <w:rsid w:val="00EA092C"/>
    <w:rsid w:val="00EA0F6F"/>
    <w:rsid w:val="00EA46C8"/>
    <w:rsid w:val="00EA6181"/>
    <w:rsid w:val="00EA6779"/>
    <w:rsid w:val="00EB39A0"/>
    <w:rsid w:val="00EB44CF"/>
    <w:rsid w:val="00EB4CC4"/>
    <w:rsid w:val="00EC29C9"/>
    <w:rsid w:val="00EC6CB0"/>
    <w:rsid w:val="00ED08D8"/>
    <w:rsid w:val="00ED7686"/>
    <w:rsid w:val="00EE7937"/>
    <w:rsid w:val="00EE7B91"/>
    <w:rsid w:val="00EF1B52"/>
    <w:rsid w:val="00F01C01"/>
    <w:rsid w:val="00F14A9C"/>
    <w:rsid w:val="00F16851"/>
    <w:rsid w:val="00F20914"/>
    <w:rsid w:val="00F223DA"/>
    <w:rsid w:val="00F35878"/>
    <w:rsid w:val="00F456E2"/>
    <w:rsid w:val="00F60F7B"/>
    <w:rsid w:val="00F65C76"/>
    <w:rsid w:val="00F70E26"/>
    <w:rsid w:val="00F72C39"/>
    <w:rsid w:val="00F825F8"/>
    <w:rsid w:val="00F8298A"/>
    <w:rsid w:val="00F9168A"/>
    <w:rsid w:val="00FA0AAD"/>
    <w:rsid w:val="00FC3DD7"/>
    <w:rsid w:val="00FC5398"/>
    <w:rsid w:val="00FC6F84"/>
    <w:rsid w:val="00FD56DE"/>
    <w:rsid w:val="00FF31A7"/>
    <w:rsid w:val="00FF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5:docId w15:val="{485C30B4-7DDF-488B-B4D5-D8E8490C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 w:type="character" w:styleId="FollowedHyperlink">
    <w:name w:val="FollowedHyperlink"/>
    <w:basedOn w:val="DefaultParagraphFont"/>
    <w:rsid w:val="000D34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pfa.org/services/counter-fraud-centre/fighting-fraud-and-corruption-loc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Report: Audit Committee 13.06.13: part i - (13) budgetary risks</vt:lpstr>
    </vt:vector>
  </TitlesOfParts>
  <Company>Pre-installed Company</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(13) budgetary risks</dc:title>
  <dc:creator>Three Rivers DC</dc:creator>
  <cp:lastModifiedBy>Phil King</cp:lastModifiedBy>
  <cp:revision>3</cp:revision>
  <cp:lastPrinted>2016-03-11T11:03:00Z</cp:lastPrinted>
  <dcterms:created xsi:type="dcterms:W3CDTF">2019-06-25T10:24:00Z</dcterms:created>
  <dcterms:modified xsi:type="dcterms:W3CDTF">2019-06-25T10:25:00Z</dcterms:modified>
</cp:coreProperties>
</file>