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20" w:rsidRPr="00C549D3" w:rsidRDefault="006D4020" w:rsidP="006D4020">
      <w:pPr>
        <w:tabs>
          <w:tab w:val="left" w:pos="0"/>
        </w:tabs>
        <w:rPr>
          <w:rFonts w:cs="Arial"/>
          <w:b/>
          <w:sz w:val="22"/>
          <w:szCs w:val="22"/>
        </w:rPr>
      </w:pPr>
      <w:bookmarkStart w:id="0" w:name="_GoBack"/>
      <w:bookmarkEnd w:id="0"/>
      <w:r w:rsidRPr="00C549D3">
        <w:rPr>
          <w:rFonts w:cs="Arial"/>
          <w:b/>
          <w:sz w:val="22"/>
          <w:szCs w:val="22"/>
        </w:rPr>
        <w:t xml:space="preserve">ANNUAL REPORT ON THE TREASURY MANAGEMENT SERVICE </w:t>
      </w:r>
      <w:r w:rsidR="009567CC">
        <w:rPr>
          <w:rFonts w:cs="Arial"/>
          <w:b/>
          <w:sz w:val="22"/>
          <w:szCs w:val="22"/>
        </w:rPr>
        <w:t>20</w:t>
      </w:r>
      <w:r w:rsidR="00C549D3" w:rsidRPr="00C549D3">
        <w:rPr>
          <w:rFonts w:cs="Arial"/>
          <w:b/>
          <w:sz w:val="22"/>
          <w:szCs w:val="22"/>
        </w:rPr>
        <w:t>16</w:t>
      </w:r>
      <w:r w:rsidR="009567CC">
        <w:rPr>
          <w:rFonts w:cs="Arial"/>
          <w:b/>
          <w:sz w:val="22"/>
          <w:szCs w:val="22"/>
        </w:rPr>
        <w:t>/17</w:t>
      </w:r>
      <w:r w:rsidRPr="00C549D3">
        <w:rPr>
          <w:rFonts w:cs="Arial"/>
          <w:b/>
          <w:sz w:val="22"/>
          <w:szCs w:val="22"/>
        </w:rPr>
        <w:t xml:space="preserve">         </w:t>
      </w:r>
    </w:p>
    <w:p w:rsidR="006D4020" w:rsidRPr="00C549D3" w:rsidRDefault="006D4020" w:rsidP="006D4020">
      <w:pPr>
        <w:rPr>
          <w:rFonts w:cs="Arial"/>
          <w:b/>
          <w:sz w:val="22"/>
          <w:szCs w:val="22"/>
        </w:rPr>
      </w:pPr>
      <w:r w:rsidRPr="00C549D3">
        <w:rPr>
          <w:rFonts w:cs="Arial"/>
          <w:b/>
          <w:sz w:val="22"/>
          <w:szCs w:val="22"/>
        </w:rPr>
        <w:t>(INCORPORATING OUTTURN PRUDENTIAL INDICATORS)</w:t>
      </w:r>
    </w:p>
    <w:p w:rsidR="006D4020" w:rsidRPr="00C549D3" w:rsidRDefault="006D4020" w:rsidP="006D4020">
      <w:pPr>
        <w:rPr>
          <w:rFonts w:cs="Arial"/>
          <w:b/>
          <w:sz w:val="22"/>
          <w:szCs w:val="22"/>
        </w:rPr>
      </w:pPr>
    </w:p>
    <w:p w:rsidR="006D4020" w:rsidRPr="00C549D3" w:rsidRDefault="006D4020" w:rsidP="006D4020">
      <w:pPr>
        <w:numPr>
          <w:ilvl w:val="0"/>
          <w:numId w:val="2"/>
        </w:numPr>
        <w:spacing w:after="240"/>
        <w:jc w:val="both"/>
        <w:outlineLvl w:val="1"/>
        <w:rPr>
          <w:rFonts w:cs="Arial"/>
          <w:b/>
          <w:sz w:val="22"/>
          <w:szCs w:val="22"/>
        </w:rPr>
      </w:pPr>
      <w:r w:rsidRPr="00C549D3">
        <w:rPr>
          <w:rFonts w:cs="Arial"/>
          <w:b/>
          <w:sz w:val="22"/>
          <w:szCs w:val="22"/>
        </w:rPr>
        <w:t xml:space="preserve">The Council’s Capital Activity During </w:t>
      </w:r>
      <w:r w:rsidR="009567CC">
        <w:rPr>
          <w:rFonts w:cs="Arial"/>
          <w:b/>
          <w:sz w:val="22"/>
          <w:szCs w:val="22"/>
        </w:rPr>
        <w:t>20</w:t>
      </w:r>
      <w:r w:rsidR="00B15E7A" w:rsidRPr="00C549D3">
        <w:rPr>
          <w:rFonts w:cs="Arial"/>
          <w:b/>
          <w:sz w:val="22"/>
          <w:szCs w:val="22"/>
        </w:rPr>
        <w:t>1</w:t>
      </w:r>
      <w:r w:rsidR="00C549D3" w:rsidRPr="00C549D3">
        <w:rPr>
          <w:rFonts w:cs="Arial"/>
          <w:b/>
          <w:sz w:val="22"/>
          <w:szCs w:val="22"/>
        </w:rPr>
        <w:t>6</w:t>
      </w:r>
      <w:r w:rsidR="009567CC">
        <w:rPr>
          <w:rFonts w:cs="Arial"/>
          <w:b/>
          <w:sz w:val="22"/>
          <w:szCs w:val="22"/>
        </w:rPr>
        <w:t>/17</w:t>
      </w:r>
    </w:p>
    <w:p w:rsidR="006D4020" w:rsidRPr="00C549D3" w:rsidRDefault="006D4020" w:rsidP="00E77681">
      <w:pPr>
        <w:pStyle w:val="BodyText"/>
        <w:tabs>
          <w:tab w:val="left" w:pos="360"/>
        </w:tabs>
        <w:spacing w:before="60" w:after="60"/>
        <w:ind w:left="360"/>
        <w:jc w:val="both"/>
        <w:rPr>
          <w:rFonts w:cs="Arial"/>
          <w:szCs w:val="22"/>
        </w:rPr>
      </w:pPr>
      <w:r w:rsidRPr="00C549D3">
        <w:rPr>
          <w:rFonts w:cs="Arial"/>
          <w:szCs w:val="22"/>
        </w:rPr>
        <w:t>The Council undertakes capital expenditure on long-term assets.  These activities may either be:</w:t>
      </w:r>
    </w:p>
    <w:p w:rsidR="006D4020" w:rsidRPr="00C549D3" w:rsidRDefault="006D4020" w:rsidP="006D4020">
      <w:pPr>
        <w:pStyle w:val="BodyText"/>
        <w:numPr>
          <w:ilvl w:val="0"/>
          <w:numId w:val="1"/>
        </w:numPr>
        <w:tabs>
          <w:tab w:val="clear" w:pos="1440"/>
          <w:tab w:val="left" w:pos="284"/>
        </w:tabs>
        <w:spacing w:before="60" w:after="60"/>
        <w:ind w:left="709" w:hanging="425"/>
        <w:jc w:val="both"/>
        <w:rPr>
          <w:rFonts w:cs="Arial"/>
          <w:szCs w:val="22"/>
        </w:rPr>
      </w:pPr>
      <w:r w:rsidRPr="00C549D3">
        <w:rPr>
          <w:rFonts w:cs="Arial"/>
          <w:szCs w:val="22"/>
        </w:rPr>
        <w:t>Financed immediately through the application of capital or revenue resources (capital receipts, capital grants, revenue contributions etc.), which has no resultant impact on the Council’s borrowing need; or</w:t>
      </w:r>
    </w:p>
    <w:p w:rsidR="006D4020" w:rsidRPr="00C549D3" w:rsidRDefault="006D4020" w:rsidP="006D4020">
      <w:pPr>
        <w:pStyle w:val="BodyText"/>
        <w:numPr>
          <w:ilvl w:val="0"/>
          <w:numId w:val="1"/>
        </w:numPr>
        <w:tabs>
          <w:tab w:val="clear" w:pos="1440"/>
          <w:tab w:val="left" w:pos="284"/>
        </w:tabs>
        <w:spacing w:before="60" w:after="60"/>
        <w:ind w:left="709" w:hanging="425"/>
        <w:jc w:val="both"/>
        <w:rPr>
          <w:rFonts w:cs="Arial"/>
          <w:szCs w:val="22"/>
        </w:rPr>
      </w:pPr>
      <w:r w:rsidRPr="00C549D3">
        <w:rPr>
          <w:rFonts w:cs="Arial"/>
          <w:szCs w:val="22"/>
        </w:rPr>
        <w:t xml:space="preserve">If insufficient financing is available, or a decision is taken not to apply resources, the capital expenditure will give rise to a borrowing need. </w:t>
      </w:r>
    </w:p>
    <w:p w:rsidR="006D4020" w:rsidRPr="00C549D3" w:rsidRDefault="006D4020" w:rsidP="006D4020">
      <w:pPr>
        <w:pStyle w:val="BodyText"/>
        <w:numPr>
          <w:ilvl w:val="0"/>
          <w:numId w:val="1"/>
        </w:numPr>
        <w:tabs>
          <w:tab w:val="clear" w:pos="1440"/>
          <w:tab w:val="left" w:pos="284"/>
        </w:tabs>
        <w:spacing w:before="60" w:after="60"/>
        <w:ind w:left="709" w:hanging="425"/>
        <w:jc w:val="both"/>
        <w:rPr>
          <w:rFonts w:cs="Arial"/>
          <w:szCs w:val="22"/>
        </w:rPr>
      </w:pPr>
      <w:r w:rsidRPr="00C549D3">
        <w:rPr>
          <w:rFonts w:cs="Arial"/>
          <w:szCs w:val="22"/>
        </w:rPr>
        <w:t xml:space="preserve">The Council did not borrow during </w:t>
      </w:r>
      <w:r w:rsidR="009567CC">
        <w:rPr>
          <w:rFonts w:cs="Arial"/>
          <w:szCs w:val="22"/>
        </w:rPr>
        <w:t>20</w:t>
      </w:r>
      <w:r w:rsidR="00B15E7A" w:rsidRPr="00C549D3">
        <w:rPr>
          <w:rFonts w:cs="Arial"/>
          <w:szCs w:val="22"/>
        </w:rPr>
        <w:t>1</w:t>
      </w:r>
      <w:r w:rsidR="00C549D3">
        <w:rPr>
          <w:rFonts w:cs="Arial"/>
          <w:szCs w:val="22"/>
        </w:rPr>
        <w:t>6</w:t>
      </w:r>
      <w:r w:rsidR="009567CC">
        <w:rPr>
          <w:rFonts w:cs="Arial"/>
          <w:szCs w:val="22"/>
        </w:rPr>
        <w:t>/17.</w:t>
      </w:r>
    </w:p>
    <w:p w:rsidR="006D4020" w:rsidRPr="005B60C0" w:rsidRDefault="006D4020" w:rsidP="006D4020">
      <w:pPr>
        <w:pStyle w:val="BodyText"/>
        <w:tabs>
          <w:tab w:val="left" w:pos="360"/>
        </w:tabs>
        <w:jc w:val="both"/>
        <w:rPr>
          <w:rFonts w:cs="Arial"/>
          <w:szCs w:val="22"/>
        </w:rPr>
      </w:pPr>
    </w:p>
    <w:p w:rsidR="006D4020" w:rsidRPr="00C549D3" w:rsidRDefault="006D4020" w:rsidP="006D4020">
      <w:pPr>
        <w:pStyle w:val="BodyText"/>
        <w:spacing w:before="60" w:after="60"/>
        <w:ind w:left="360" w:hanging="360"/>
        <w:jc w:val="both"/>
        <w:rPr>
          <w:rFonts w:cs="Arial"/>
          <w:b/>
          <w:szCs w:val="22"/>
        </w:rPr>
      </w:pPr>
      <w:r w:rsidRPr="00C549D3">
        <w:rPr>
          <w:rFonts w:cs="Arial"/>
          <w:b/>
          <w:szCs w:val="22"/>
        </w:rPr>
        <w:t>2.</w:t>
      </w:r>
      <w:r w:rsidRPr="00C549D3">
        <w:rPr>
          <w:rFonts w:cs="Arial"/>
          <w:b/>
          <w:szCs w:val="22"/>
        </w:rPr>
        <w:tab/>
        <w:t>Reporting of the Required Prudential and Treasury Indicators</w:t>
      </w:r>
    </w:p>
    <w:p w:rsidR="006D4020" w:rsidRPr="00C549D3" w:rsidRDefault="006D4020" w:rsidP="006D4020">
      <w:pPr>
        <w:pStyle w:val="BodyText"/>
        <w:numPr>
          <w:ilvl w:val="0"/>
          <w:numId w:val="1"/>
        </w:numPr>
        <w:tabs>
          <w:tab w:val="clear" w:pos="1440"/>
          <w:tab w:val="left" w:pos="284"/>
        </w:tabs>
        <w:spacing w:before="60" w:after="60"/>
        <w:ind w:left="709" w:hanging="425"/>
        <w:jc w:val="both"/>
        <w:rPr>
          <w:rFonts w:cs="Arial"/>
          <w:szCs w:val="22"/>
        </w:rPr>
      </w:pPr>
      <w:r w:rsidRPr="00C549D3">
        <w:rPr>
          <w:rFonts w:cs="Arial"/>
          <w:szCs w:val="22"/>
        </w:rPr>
        <w:t xml:space="preserve">During </w:t>
      </w:r>
      <w:r w:rsidR="009567CC">
        <w:rPr>
          <w:rFonts w:cs="Arial"/>
          <w:szCs w:val="22"/>
        </w:rPr>
        <w:t>20</w:t>
      </w:r>
      <w:r w:rsidR="00B15E7A" w:rsidRPr="00C549D3">
        <w:rPr>
          <w:rFonts w:cs="Arial"/>
          <w:szCs w:val="22"/>
        </w:rPr>
        <w:t>1</w:t>
      </w:r>
      <w:r w:rsidR="00C549D3" w:rsidRPr="00C549D3">
        <w:rPr>
          <w:rFonts w:cs="Arial"/>
          <w:szCs w:val="22"/>
        </w:rPr>
        <w:t>6</w:t>
      </w:r>
      <w:r w:rsidR="009567CC">
        <w:rPr>
          <w:rFonts w:cs="Arial"/>
          <w:szCs w:val="22"/>
        </w:rPr>
        <w:t>/17</w:t>
      </w:r>
      <w:r w:rsidRPr="00C549D3">
        <w:rPr>
          <w:rFonts w:cs="Arial"/>
          <w:szCs w:val="22"/>
        </w:rPr>
        <w:t>, the Council complied with its legislative and regulatory requirements.  The key actual prudential and treasury indicators detailing the impact of capital expenditure activities during the year, with comparators, are as follows:</w:t>
      </w:r>
    </w:p>
    <w:p w:rsidR="006D4020" w:rsidRPr="00C549D3" w:rsidRDefault="006D4020" w:rsidP="006D4020">
      <w:pPr>
        <w:pStyle w:val="BodyText"/>
        <w:ind w:left="720"/>
        <w:jc w:val="both"/>
        <w:rPr>
          <w:rFonts w:cs="Arial"/>
          <w:color w:val="3366FF"/>
          <w:szCs w:val="22"/>
        </w:rPr>
      </w:pPr>
    </w:p>
    <w:tbl>
      <w:tblPr>
        <w:tblW w:w="8100" w:type="dxa"/>
        <w:tblInd w:w="468" w:type="dxa"/>
        <w:tblLook w:val="01E0" w:firstRow="1" w:lastRow="1" w:firstColumn="1" w:lastColumn="1" w:noHBand="0" w:noVBand="0"/>
      </w:tblPr>
      <w:tblGrid>
        <w:gridCol w:w="4680"/>
        <w:gridCol w:w="1620"/>
        <w:gridCol w:w="1800"/>
      </w:tblGrid>
      <w:tr w:rsidR="006D4020" w:rsidRPr="00C549D3" w:rsidTr="00B96299">
        <w:trPr>
          <w:tblHeader/>
        </w:trPr>
        <w:tc>
          <w:tcPr>
            <w:tcW w:w="4680" w:type="dxa"/>
            <w:tcBorders>
              <w:top w:val="single" w:sz="4" w:space="0" w:color="A1C6CF"/>
              <w:left w:val="single" w:sz="4" w:space="0" w:color="A1C6CF"/>
              <w:bottom w:val="single" w:sz="4" w:space="0" w:color="A1C6CF"/>
              <w:right w:val="single" w:sz="4" w:space="0" w:color="FFFFFF"/>
            </w:tcBorders>
            <w:shd w:val="clear" w:color="auto" w:fill="A1C6CF"/>
            <w:vAlign w:val="bottom"/>
          </w:tcPr>
          <w:p w:rsidR="006D4020" w:rsidRPr="005B60C0" w:rsidRDefault="006D4020" w:rsidP="00DB077B">
            <w:pPr>
              <w:pStyle w:val="BodyText"/>
              <w:ind w:left="240" w:hanging="240"/>
              <w:jc w:val="center"/>
              <w:rPr>
                <w:rFonts w:cs="Arial"/>
                <w:b/>
                <w:sz w:val="20"/>
              </w:rPr>
            </w:pPr>
            <w:r w:rsidRPr="005B60C0">
              <w:rPr>
                <w:rFonts w:cs="Arial"/>
                <w:b/>
                <w:sz w:val="20"/>
              </w:rPr>
              <w:t>Actual Prudential and Treasury Indicators</w:t>
            </w:r>
          </w:p>
        </w:tc>
        <w:tc>
          <w:tcPr>
            <w:tcW w:w="1620" w:type="dxa"/>
            <w:tcBorders>
              <w:top w:val="single" w:sz="4" w:space="0" w:color="A1C6CF"/>
              <w:left w:val="single" w:sz="4" w:space="0" w:color="FFFFFF"/>
              <w:bottom w:val="single" w:sz="4" w:space="0" w:color="A1C6CF"/>
              <w:right w:val="single" w:sz="4" w:space="0" w:color="FFFFFF"/>
            </w:tcBorders>
            <w:shd w:val="clear" w:color="auto" w:fill="A1C6CF"/>
            <w:vAlign w:val="bottom"/>
          </w:tcPr>
          <w:p w:rsidR="006D4020" w:rsidRPr="005B60C0" w:rsidRDefault="009567CC" w:rsidP="00DB077B">
            <w:pPr>
              <w:pStyle w:val="BodyText"/>
              <w:ind w:left="240" w:hanging="240"/>
              <w:jc w:val="center"/>
              <w:rPr>
                <w:rFonts w:cs="Arial"/>
                <w:b/>
                <w:sz w:val="20"/>
              </w:rPr>
            </w:pPr>
            <w:r>
              <w:rPr>
                <w:rFonts w:cs="Arial"/>
                <w:b/>
                <w:sz w:val="20"/>
              </w:rPr>
              <w:t>20</w:t>
            </w:r>
            <w:r w:rsidR="00B15E7A" w:rsidRPr="005B60C0">
              <w:rPr>
                <w:rFonts w:cs="Arial"/>
                <w:b/>
                <w:sz w:val="20"/>
              </w:rPr>
              <w:t>1</w:t>
            </w:r>
            <w:r w:rsidR="00C549D3" w:rsidRPr="005B60C0">
              <w:rPr>
                <w:rFonts w:cs="Arial"/>
                <w:b/>
                <w:sz w:val="20"/>
              </w:rPr>
              <w:t>5</w:t>
            </w:r>
            <w:r>
              <w:rPr>
                <w:rFonts w:cs="Arial"/>
                <w:b/>
                <w:sz w:val="20"/>
              </w:rPr>
              <w:t>/16</w:t>
            </w:r>
          </w:p>
          <w:p w:rsidR="006D4020" w:rsidRDefault="006D4020" w:rsidP="00DB077B">
            <w:pPr>
              <w:pStyle w:val="BodyText"/>
              <w:ind w:left="240" w:hanging="240"/>
              <w:jc w:val="center"/>
              <w:rPr>
                <w:rFonts w:cs="Arial"/>
                <w:b/>
                <w:sz w:val="20"/>
              </w:rPr>
            </w:pPr>
            <w:r w:rsidRPr="005B60C0">
              <w:rPr>
                <w:rFonts w:cs="Arial"/>
                <w:b/>
                <w:sz w:val="20"/>
              </w:rPr>
              <w:t>Actual</w:t>
            </w:r>
          </w:p>
          <w:p w:rsidR="00604F7D" w:rsidRPr="005B60C0" w:rsidRDefault="00604F7D" w:rsidP="00DB077B">
            <w:pPr>
              <w:pStyle w:val="BodyText"/>
              <w:ind w:left="240" w:hanging="240"/>
              <w:jc w:val="center"/>
              <w:rPr>
                <w:rFonts w:cs="Arial"/>
                <w:b/>
                <w:sz w:val="20"/>
              </w:rPr>
            </w:pPr>
            <w:r>
              <w:rPr>
                <w:rFonts w:cs="Arial"/>
                <w:b/>
                <w:sz w:val="20"/>
              </w:rPr>
              <w:t>£</w:t>
            </w:r>
          </w:p>
        </w:tc>
        <w:tc>
          <w:tcPr>
            <w:tcW w:w="1800" w:type="dxa"/>
            <w:tcBorders>
              <w:top w:val="single" w:sz="4" w:space="0" w:color="A1C6CF"/>
              <w:left w:val="single" w:sz="4" w:space="0" w:color="FFFFFF"/>
              <w:bottom w:val="single" w:sz="4" w:space="0" w:color="A1C6CF"/>
              <w:right w:val="single" w:sz="4" w:space="0" w:color="FFFFFF"/>
            </w:tcBorders>
            <w:shd w:val="clear" w:color="auto" w:fill="A1C6CF"/>
            <w:vAlign w:val="bottom"/>
          </w:tcPr>
          <w:p w:rsidR="006D4020" w:rsidRPr="005B60C0" w:rsidRDefault="00B15E7A" w:rsidP="00DB077B">
            <w:pPr>
              <w:pStyle w:val="BodyText"/>
              <w:ind w:left="240" w:hanging="240"/>
              <w:jc w:val="center"/>
              <w:rPr>
                <w:rFonts w:cs="Arial"/>
                <w:b/>
                <w:sz w:val="20"/>
              </w:rPr>
            </w:pPr>
            <w:r w:rsidRPr="005B60C0">
              <w:rPr>
                <w:rFonts w:cs="Arial"/>
                <w:b/>
                <w:sz w:val="20"/>
              </w:rPr>
              <w:t>201</w:t>
            </w:r>
            <w:r w:rsidR="00C549D3" w:rsidRPr="005B60C0">
              <w:rPr>
                <w:rFonts w:cs="Arial"/>
                <w:b/>
                <w:sz w:val="20"/>
              </w:rPr>
              <w:t>6</w:t>
            </w:r>
            <w:r w:rsidR="009567CC">
              <w:rPr>
                <w:rFonts w:cs="Arial"/>
                <w:b/>
                <w:sz w:val="20"/>
              </w:rPr>
              <w:t>/17</w:t>
            </w:r>
          </w:p>
          <w:p w:rsidR="006D4020" w:rsidRDefault="006D4020" w:rsidP="00DB077B">
            <w:pPr>
              <w:pStyle w:val="BodyText"/>
              <w:ind w:left="240" w:hanging="240"/>
              <w:jc w:val="center"/>
              <w:rPr>
                <w:rFonts w:cs="Arial"/>
                <w:b/>
                <w:sz w:val="20"/>
              </w:rPr>
            </w:pPr>
            <w:r w:rsidRPr="005B60C0">
              <w:rPr>
                <w:rFonts w:cs="Arial"/>
                <w:b/>
                <w:sz w:val="20"/>
              </w:rPr>
              <w:t>Actual</w:t>
            </w:r>
          </w:p>
          <w:p w:rsidR="00604F7D" w:rsidRPr="00C549D3" w:rsidRDefault="00604F7D" w:rsidP="00DB077B">
            <w:pPr>
              <w:pStyle w:val="BodyText"/>
              <w:ind w:left="240" w:hanging="240"/>
              <w:jc w:val="center"/>
              <w:rPr>
                <w:rFonts w:cs="Arial"/>
                <w:b/>
                <w:color w:val="3366FF"/>
                <w:sz w:val="20"/>
              </w:rPr>
            </w:pPr>
            <w:r>
              <w:rPr>
                <w:rFonts w:cs="Arial"/>
                <w:b/>
                <w:sz w:val="20"/>
              </w:rPr>
              <w:t>£</w:t>
            </w:r>
          </w:p>
        </w:tc>
      </w:tr>
      <w:tr w:rsidR="005B60C0" w:rsidRPr="00C549D3" w:rsidTr="00B96299">
        <w:trPr>
          <w:trHeight w:val="422"/>
        </w:trPr>
        <w:tc>
          <w:tcPr>
            <w:tcW w:w="468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DB077B">
            <w:pPr>
              <w:pStyle w:val="BodyText"/>
              <w:ind w:left="240" w:hanging="240"/>
              <w:rPr>
                <w:rFonts w:cs="Arial"/>
                <w:sz w:val="20"/>
              </w:rPr>
            </w:pPr>
            <w:r w:rsidRPr="005B60C0">
              <w:rPr>
                <w:rFonts w:cs="Arial"/>
                <w:sz w:val="20"/>
              </w:rPr>
              <w:t>Actual Capital Expenditure</w:t>
            </w:r>
          </w:p>
        </w:tc>
        <w:tc>
          <w:tcPr>
            <w:tcW w:w="162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9567CC" w:rsidP="003B2FD3">
            <w:pPr>
              <w:pStyle w:val="BodyText"/>
              <w:ind w:left="240" w:hanging="240"/>
              <w:jc w:val="right"/>
              <w:rPr>
                <w:rFonts w:cs="Arial"/>
                <w:sz w:val="20"/>
                <w:highlight w:val="green"/>
              </w:rPr>
            </w:pPr>
            <w:r>
              <w:rPr>
                <w:rFonts w:cs="Arial"/>
                <w:sz w:val="20"/>
              </w:rPr>
              <w:t>3.67</w:t>
            </w:r>
            <w:r w:rsidR="005B60C0" w:rsidRPr="005B60C0">
              <w:rPr>
                <w:rFonts w:cs="Arial"/>
                <w:sz w:val="20"/>
              </w:rPr>
              <w:t>5m</w:t>
            </w:r>
          </w:p>
        </w:tc>
        <w:tc>
          <w:tcPr>
            <w:tcW w:w="1800" w:type="dxa"/>
            <w:tcBorders>
              <w:top w:val="single" w:sz="4" w:space="0" w:color="A1C6CF"/>
              <w:left w:val="single" w:sz="4" w:space="0" w:color="A1C6CF"/>
              <w:bottom w:val="single" w:sz="4" w:space="0" w:color="A1C6CF"/>
              <w:right w:val="single" w:sz="4" w:space="0" w:color="A1C6CF"/>
            </w:tcBorders>
            <w:vAlign w:val="center"/>
          </w:tcPr>
          <w:p w:rsidR="005B60C0" w:rsidRPr="00604F7D" w:rsidRDefault="001F5386" w:rsidP="00DB077B">
            <w:pPr>
              <w:pStyle w:val="BodyText"/>
              <w:ind w:left="240" w:hanging="240"/>
              <w:jc w:val="right"/>
              <w:rPr>
                <w:rFonts w:cs="Arial"/>
                <w:sz w:val="20"/>
                <w:highlight w:val="green"/>
              </w:rPr>
            </w:pPr>
            <w:r>
              <w:rPr>
                <w:rFonts w:cs="Arial"/>
                <w:sz w:val="20"/>
              </w:rPr>
              <w:t>7.922</w:t>
            </w:r>
            <w:r w:rsidR="00F94B16" w:rsidRPr="00604F7D">
              <w:rPr>
                <w:rFonts w:cs="Arial"/>
                <w:sz w:val="20"/>
              </w:rPr>
              <w:t>m</w:t>
            </w:r>
          </w:p>
        </w:tc>
      </w:tr>
      <w:tr w:rsidR="005B60C0" w:rsidRPr="00C549D3" w:rsidTr="00B96299">
        <w:trPr>
          <w:trHeight w:val="568"/>
        </w:trPr>
        <w:tc>
          <w:tcPr>
            <w:tcW w:w="468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DB077B">
            <w:pPr>
              <w:pStyle w:val="BodyText"/>
              <w:ind w:left="240" w:hanging="240"/>
              <w:rPr>
                <w:rFonts w:cs="Arial"/>
                <w:sz w:val="20"/>
              </w:rPr>
            </w:pPr>
            <w:r w:rsidRPr="005B60C0">
              <w:rPr>
                <w:rFonts w:cs="Arial"/>
                <w:sz w:val="20"/>
              </w:rPr>
              <w:t>Total Capital Financing Requirement:</w:t>
            </w:r>
          </w:p>
        </w:tc>
        <w:tc>
          <w:tcPr>
            <w:tcW w:w="162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CA5573">
            <w:pPr>
              <w:pStyle w:val="BodyText"/>
              <w:ind w:left="240" w:hanging="240"/>
              <w:jc w:val="right"/>
              <w:rPr>
                <w:rFonts w:cs="Arial"/>
                <w:sz w:val="20"/>
                <w:highlight w:val="green"/>
              </w:rPr>
            </w:pPr>
          </w:p>
          <w:p w:rsidR="005B60C0" w:rsidRPr="005B60C0" w:rsidRDefault="005B60C0" w:rsidP="00CA5573">
            <w:pPr>
              <w:pStyle w:val="BodyText"/>
              <w:ind w:left="240" w:hanging="240"/>
              <w:jc w:val="right"/>
              <w:rPr>
                <w:rFonts w:cs="Arial"/>
                <w:sz w:val="20"/>
                <w:highlight w:val="green"/>
              </w:rPr>
            </w:pPr>
            <w:r w:rsidRPr="005B60C0">
              <w:rPr>
                <w:rFonts w:cs="Arial"/>
                <w:sz w:val="20"/>
              </w:rPr>
              <w:t>Nil</w:t>
            </w:r>
          </w:p>
        </w:tc>
        <w:tc>
          <w:tcPr>
            <w:tcW w:w="1800" w:type="dxa"/>
            <w:tcBorders>
              <w:top w:val="single" w:sz="4" w:space="0" w:color="A1C6CF"/>
              <w:left w:val="single" w:sz="4" w:space="0" w:color="A1C6CF"/>
              <w:bottom w:val="single" w:sz="4" w:space="0" w:color="A1C6CF"/>
              <w:right w:val="single" w:sz="4" w:space="0" w:color="A1C6CF"/>
            </w:tcBorders>
            <w:vAlign w:val="center"/>
          </w:tcPr>
          <w:p w:rsidR="005B60C0" w:rsidRPr="00604F7D" w:rsidRDefault="005B60C0" w:rsidP="00CA5573">
            <w:pPr>
              <w:pStyle w:val="BodyText"/>
              <w:ind w:left="240" w:hanging="240"/>
              <w:jc w:val="right"/>
              <w:rPr>
                <w:rFonts w:cs="Arial"/>
                <w:sz w:val="20"/>
                <w:highlight w:val="green"/>
              </w:rPr>
            </w:pPr>
          </w:p>
          <w:p w:rsidR="005B60C0" w:rsidRPr="00604F7D" w:rsidRDefault="005B60C0" w:rsidP="00CA5573">
            <w:pPr>
              <w:pStyle w:val="BodyText"/>
              <w:ind w:left="240" w:hanging="240"/>
              <w:jc w:val="right"/>
              <w:rPr>
                <w:rFonts w:cs="Arial"/>
                <w:sz w:val="20"/>
                <w:highlight w:val="green"/>
              </w:rPr>
            </w:pPr>
            <w:r w:rsidRPr="00604F7D">
              <w:rPr>
                <w:rFonts w:cs="Arial"/>
                <w:sz w:val="20"/>
              </w:rPr>
              <w:t>Nil</w:t>
            </w:r>
          </w:p>
        </w:tc>
      </w:tr>
      <w:tr w:rsidR="005B60C0" w:rsidRPr="00C549D3" w:rsidTr="00B96299">
        <w:trPr>
          <w:trHeight w:val="410"/>
        </w:trPr>
        <w:tc>
          <w:tcPr>
            <w:tcW w:w="468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DB077B">
            <w:pPr>
              <w:pStyle w:val="BodyText"/>
              <w:ind w:left="240" w:hanging="240"/>
              <w:rPr>
                <w:rFonts w:cs="Arial"/>
                <w:sz w:val="20"/>
              </w:rPr>
            </w:pPr>
            <w:r w:rsidRPr="005B60C0">
              <w:rPr>
                <w:rFonts w:cs="Arial"/>
                <w:sz w:val="20"/>
              </w:rPr>
              <w:t>External Debt</w:t>
            </w:r>
          </w:p>
        </w:tc>
        <w:tc>
          <w:tcPr>
            <w:tcW w:w="162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CA5573">
            <w:pPr>
              <w:pStyle w:val="BodyText"/>
              <w:ind w:left="240" w:hanging="240"/>
              <w:jc w:val="right"/>
              <w:rPr>
                <w:rFonts w:cs="Arial"/>
                <w:sz w:val="20"/>
              </w:rPr>
            </w:pPr>
            <w:r w:rsidRPr="005B60C0">
              <w:rPr>
                <w:rFonts w:cs="Arial"/>
                <w:sz w:val="20"/>
              </w:rPr>
              <w:t>Nil</w:t>
            </w:r>
          </w:p>
        </w:tc>
        <w:tc>
          <w:tcPr>
            <w:tcW w:w="1800" w:type="dxa"/>
            <w:tcBorders>
              <w:top w:val="single" w:sz="4" w:space="0" w:color="A1C6CF"/>
              <w:left w:val="single" w:sz="4" w:space="0" w:color="A1C6CF"/>
              <w:bottom w:val="single" w:sz="4" w:space="0" w:color="A1C6CF"/>
              <w:right w:val="single" w:sz="4" w:space="0" w:color="A1C6CF"/>
            </w:tcBorders>
            <w:vAlign w:val="center"/>
          </w:tcPr>
          <w:p w:rsidR="005B60C0" w:rsidRPr="00604F7D" w:rsidRDefault="005B60C0" w:rsidP="00CA5573">
            <w:pPr>
              <w:pStyle w:val="BodyText"/>
              <w:ind w:left="240" w:hanging="240"/>
              <w:jc w:val="right"/>
              <w:rPr>
                <w:rFonts w:cs="Arial"/>
                <w:sz w:val="20"/>
              </w:rPr>
            </w:pPr>
            <w:r w:rsidRPr="00604F7D">
              <w:rPr>
                <w:rFonts w:cs="Arial"/>
                <w:sz w:val="20"/>
              </w:rPr>
              <w:t>Nil</w:t>
            </w:r>
          </w:p>
        </w:tc>
      </w:tr>
      <w:tr w:rsidR="005B60C0" w:rsidRPr="00C549D3" w:rsidTr="00B96299">
        <w:trPr>
          <w:trHeight w:val="412"/>
        </w:trPr>
        <w:tc>
          <w:tcPr>
            <w:tcW w:w="468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DB077B">
            <w:pPr>
              <w:pStyle w:val="BodyText"/>
              <w:tabs>
                <w:tab w:val="center" w:pos="4153"/>
                <w:tab w:val="right" w:pos="8306"/>
              </w:tabs>
              <w:ind w:hanging="240"/>
              <w:rPr>
                <w:rFonts w:cs="Arial"/>
                <w:sz w:val="20"/>
              </w:rPr>
            </w:pPr>
            <w:r w:rsidRPr="005B60C0">
              <w:rPr>
                <w:rFonts w:cs="Arial"/>
                <w:sz w:val="20"/>
              </w:rPr>
              <w:t xml:space="preserve">    Investments – Under 1 Year</w:t>
            </w:r>
          </w:p>
        </w:tc>
        <w:tc>
          <w:tcPr>
            <w:tcW w:w="1620" w:type="dxa"/>
            <w:tcBorders>
              <w:top w:val="single" w:sz="4" w:space="0" w:color="A1C6CF"/>
              <w:left w:val="single" w:sz="4" w:space="0" w:color="A1C6CF"/>
              <w:bottom w:val="single" w:sz="4" w:space="0" w:color="A1C6CF"/>
              <w:right w:val="single" w:sz="4" w:space="0" w:color="A1C6CF"/>
            </w:tcBorders>
            <w:vAlign w:val="center"/>
          </w:tcPr>
          <w:p w:rsidR="005B60C0" w:rsidRPr="005B60C0" w:rsidRDefault="009567CC" w:rsidP="003B2FD3">
            <w:pPr>
              <w:pStyle w:val="BodyText"/>
              <w:ind w:hanging="240"/>
              <w:jc w:val="right"/>
              <w:rPr>
                <w:rFonts w:cs="Arial"/>
                <w:sz w:val="20"/>
              </w:rPr>
            </w:pPr>
            <w:r>
              <w:rPr>
                <w:rFonts w:cs="Arial"/>
                <w:sz w:val="20"/>
              </w:rPr>
              <w:t>24.568</w:t>
            </w:r>
            <w:r w:rsidR="005B60C0" w:rsidRPr="005B60C0">
              <w:rPr>
                <w:rFonts w:cs="Arial"/>
                <w:sz w:val="20"/>
              </w:rPr>
              <w:t>m</w:t>
            </w:r>
          </w:p>
        </w:tc>
        <w:tc>
          <w:tcPr>
            <w:tcW w:w="1800" w:type="dxa"/>
            <w:tcBorders>
              <w:top w:val="single" w:sz="4" w:space="0" w:color="A1C6CF"/>
              <w:left w:val="single" w:sz="4" w:space="0" w:color="A1C6CF"/>
              <w:bottom w:val="single" w:sz="4" w:space="0" w:color="A1C6CF"/>
              <w:right w:val="single" w:sz="4" w:space="0" w:color="A1C6CF"/>
            </w:tcBorders>
            <w:vAlign w:val="center"/>
          </w:tcPr>
          <w:p w:rsidR="005B60C0" w:rsidRPr="00CA5573" w:rsidRDefault="00695729" w:rsidP="00CA5573">
            <w:pPr>
              <w:pStyle w:val="BodyText"/>
              <w:ind w:hanging="240"/>
              <w:jc w:val="right"/>
              <w:rPr>
                <w:rFonts w:cs="Arial"/>
                <w:sz w:val="20"/>
              </w:rPr>
            </w:pPr>
            <w:r>
              <w:rPr>
                <w:rFonts w:cs="Arial"/>
                <w:sz w:val="20"/>
              </w:rPr>
              <w:t>20,036</w:t>
            </w:r>
            <w:r w:rsidR="00F94B16" w:rsidRPr="00CA5573">
              <w:rPr>
                <w:rFonts w:cs="Arial"/>
                <w:sz w:val="20"/>
              </w:rPr>
              <w:t>m</w:t>
            </w:r>
          </w:p>
        </w:tc>
      </w:tr>
    </w:tbl>
    <w:p w:rsidR="005B60C0" w:rsidRDefault="005B60C0" w:rsidP="006D4020">
      <w:pPr>
        <w:pStyle w:val="BodyText"/>
        <w:tabs>
          <w:tab w:val="left" w:pos="360"/>
        </w:tabs>
        <w:spacing w:before="60" w:after="240"/>
        <w:ind w:left="360"/>
        <w:jc w:val="both"/>
        <w:rPr>
          <w:rFonts w:cs="Arial"/>
          <w:szCs w:val="22"/>
        </w:rPr>
      </w:pPr>
    </w:p>
    <w:p w:rsidR="006D4020" w:rsidRPr="00C549D3" w:rsidRDefault="006D4020" w:rsidP="006D4020">
      <w:pPr>
        <w:pStyle w:val="BodyText"/>
        <w:tabs>
          <w:tab w:val="left" w:pos="360"/>
        </w:tabs>
        <w:spacing w:before="60" w:after="240"/>
        <w:ind w:left="360"/>
        <w:jc w:val="both"/>
        <w:rPr>
          <w:rFonts w:cs="Arial"/>
          <w:color w:val="3366FF"/>
          <w:szCs w:val="22"/>
        </w:rPr>
      </w:pPr>
      <w:r w:rsidRPr="005B60C0">
        <w:rPr>
          <w:rFonts w:cs="Arial"/>
          <w:szCs w:val="22"/>
        </w:rPr>
        <w:t>The actual capital expenditure forms one of the required prudential indicators.  The table below shows the actual capital expenditure and how this was financed</w:t>
      </w:r>
      <w:r w:rsidRPr="00C549D3">
        <w:rPr>
          <w:rFonts w:cs="Arial"/>
          <w:color w:val="3366FF"/>
          <w:szCs w:val="22"/>
        </w:rPr>
        <w:t>.</w:t>
      </w:r>
    </w:p>
    <w:tbl>
      <w:tblPr>
        <w:tblW w:w="476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363"/>
        <w:gridCol w:w="1361"/>
        <w:gridCol w:w="1361"/>
        <w:gridCol w:w="1356"/>
      </w:tblGrid>
      <w:tr w:rsidR="006D4020" w:rsidRPr="00C549D3" w:rsidTr="005B60C0">
        <w:tc>
          <w:tcPr>
            <w:tcW w:w="1646" w:type="pct"/>
            <w:tcBorders>
              <w:top w:val="single" w:sz="4" w:space="0" w:color="A1C6CF"/>
              <w:left w:val="single" w:sz="4" w:space="0" w:color="A1C6CF"/>
              <w:bottom w:val="single" w:sz="4" w:space="0" w:color="A1C6CF"/>
              <w:right w:val="single" w:sz="4" w:space="0" w:color="FFFFFF"/>
            </w:tcBorders>
            <w:shd w:val="clear" w:color="auto" w:fill="A1C6CF"/>
            <w:vAlign w:val="center"/>
          </w:tcPr>
          <w:p w:rsidR="006D4020" w:rsidRPr="005B60C0" w:rsidRDefault="006D4020" w:rsidP="00DB077B">
            <w:pPr>
              <w:pStyle w:val="BodyText"/>
              <w:rPr>
                <w:rFonts w:cs="Arial"/>
                <w:b/>
                <w:sz w:val="20"/>
              </w:rPr>
            </w:pPr>
            <w:r w:rsidRPr="005B60C0">
              <w:rPr>
                <w:rFonts w:cs="Arial"/>
                <w:b/>
                <w:sz w:val="20"/>
              </w:rPr>
              <w:t>Actual Capital Expenditure and Financing</w:t>
            </w:r>
          </w:p>
        </w:tc>
        <w:tc>
          <w:tcPr>
            <w:tcW w:w="840" w:type="pct"/>
            <w:tcBorders>
              <w:top w:val="single" w:sz="4" w:space="0" w:color="A1C6CF"/>
              <w:left w:val="single" w:sz="4" w:space="0" w:color="FFFFFF"/>
              <w:bottom w:val="single" w:sz="4" w:space="0" w:color="A1C6CF"/>
              <w:right w:val="single" w:sz="4" w:space="0" w:color="FFFFFF"/>
            </w:tcBorders>
            <w:shd w:val="clear" w:color="auto" w:fill="A1C6CF"/>
            <w:vAlign w:val="center"/>
          </w:tcPr>
          <w:p w:rsidR="006D4020" w:rsidRPr="005B60C0" w:rsidRDefault="004579C2" w:rsidP="00DB077B">
            <w:pPr>
              <w:pStyle w:val="BodyText"/>
              <w:jc w:val="center"/>
              <w:rPr>
                <w:rFonts w:cs="Arial"/>
                <w:b/>
                <w:bCs/>
                <w:sz w:val="20"/>
              </w:rPr>
            </w:pPr>
            <w:r>
              <w:rPr>
                <w:rFonts w:cs="Arial"/>
                <w:b/>
                <w:bCs/>
                <w:sz w:val="20"/>
              </w:rPr>
              <w:t>20</w:t>
            </w:r>
            <w:r w:rsidR="005B60C0" w:rsidRPr="005B60C0">
              <w:rPr>
                <w:rFonts w:cs="Arial"/>
                <w:b/>
                <w:bCs/>
                <w:sz w:val="20"/>
              </w:rPr>
              <w:t>15</w:t>
            </w:r>
            <w:r>
              <w:rPr>
                <w:rFonts w:cs="Arial"/>
                <w:b/>
                <w:bCs/>
                <w:sz w:val="20"/>
              </w:rPr>
              <w:t>/16</w:t>
            </w:r>
          </w:p>
          <w:p w:rsidR="006D4020" w:rsidRPr="005B60C0" w:rsidRDefault="006D4020" w:rsidP="00DB077B">
            <w:pPr>
              <w:pStyle w:val="BodyText"/>
              <w:jc w:val="center"/>
              <w:rPr>
                <w:rFonts w:cs="Arial"/>
                <w:b/>
                <w:bCs/>
                <w:sz w:val="20"/>
              </w:rPr>
            </w:pPr>
            <w:r w:rsidRPr="005B60C0">
              <w:rPr>
                <w:rFonts w:cs="Arial"/>
                <w:b/>
                <w:bCs/>
                <w:sz w:val="20"/>
              </w:rPr>
              <w:t xml:space="preserve">Actual         </w:t>
            </w:r>
          </w:p>
          <w:p w:rsidR="006D4020" w:rsidRPr="005B60C0" w:rsidRDefault="006D4020" w:rsidP="00CA5573">
            <w:pPr>
              <w:pStyle w:val="BodyText"/>
              <w:jc w:val="center"/>
              <w:rPr>
                <w:rFonts w:cs="Arial"/>
                <w:b/>
                <w:bCs/>
                <w:sz w:val="20"/>
              </w:rPr>
            </w:pPr>
            <w:r w:rsidRPr="005B60C0">
              <w:rPr>
                <w:rFonts w:cs="Arial"/>
                <w:b/>
                <w:bCs/>
                <w:sz w:val="20"/>
              </w:rPr>
              <w:t xml:space="preserve"> </w:t>
            </w:r>
            <w:r w:rsidRPr="005B60C0">
              <w:rPr>
                <w:rFonts w:cs="Arial"/>
                <w:b/>
                <w:sz w:val="20"/>
              </w:rPr>
              <w:t>£</w:t>
            </w:r>
          </w:p>
        </w:tc>
        <w:tc>
          <w:tcPr>
            <w:tcW w:w="839" w:type="pct"/>
            <w:tcBorders>
              <w:top w:val="single" w:sz="4" w:space="0" w:color="A1C6CF"/>
              <w:left w:val="single" w:sz="4" w:space="0" w:color="FFFFFF"/>
              <w:bottom w:val="single" w:sz="4" w:space="0" w:color="A1C6CF"/>
              <w:right w:val="single" w:sz="4" w:space="0" w:color="FFFFFF"/>
            </w:tcBorders>
            <w:shd w:val="clear" w:color="auto" w:fill="A1C6CF"/>
          </w:tcPr>
          <w:p w:rsidR="006D4020" w:rsidRPr="005B60C0" w:rsidRDefault="004579C2" w:rsidP="00DB077B">
            <w:pPr>
              <w:pStyle w:val="BodyText"/>
              <w:jc w:val="center"/>
              <w:rPr>
                <w:rFonts w:cs="Arial"/>
                <w:b/>
                <w:bCs/>
                <w:sz w:val="20"/>
              </w:rPr>
            </w:pPr>
            <w:r>
              <w:rPr>
                <w:rFonts w:cs="Arial"/>
                <w:b/>
                <w:bCs/>
                <w:sz w:val="20"/>
              </w:rPr>
              <w:t>20</w:t>
            </w:r>
            <w:r w:rsidR="005B60C0" w:rsidRPr="005B60C0">
              <w:rPr>
                <w:rFonts w:cs="Arial"/>
                <w:b/>
                <w:bCs/>
                <w:sz w:val="20"/>
              </w:rPr>
              <w:t>16</w:t>
            </w:r>
            <w:r>
              <w:rPr>
                <w:rFonts w:cs="Arial"/>
                <w:b/>
                <w:bCs/>
                <w:sz w:val="20"/>
              </w:rPr>
              <w:t>/17</w:t>
            </w:r>
          </w:p>
          <w:p w:rsidR="006D4020" w:rsidRPr="005B60C0" w:rsidRDefault="006D4020" w:rsidP="00DB077B">
            <w:pPr>
              <w:pStyle w:val="BodyText"/>
              <w:jc w:val="center"/>
              <w:rPr>
                <w:rFonts w:cs="Arial"/>
                <w:b/>
                <w:bCs/>
                <w:sz w:val="20"/>
              </w:rPr>
            </w:pPr>
            <w:r w:rsidRPr="005B60C0">
              <w:rPr>
                <w:rFonts w:cs="Arial"/>
                <w:b/>
                <w:bCs/>
                <w:sz w:val="20"/>
              </w:rPr>
              <w:t>Original</w:t>
            </w:r>
          </w:p>
          <w:p w:rsidR="006D4020" w:rsidRPr="005B60C0" w:rsidRDefault="00BC3943" w:rsidP="00DB077B">
            <w:pPr>
              <w:pStyle w:val="BodyText"/>
              <w:jc w:val="center"/>
              <w:rPr>
                <w:rFonts w:cs="Arial"/>
                <w:b/>
                <w:bCs/>
                <w:sz w:val="20"/>
              </w:rPr>
            </w:pPr>
            <w:r w:rsidRPr="005B60C0">
              <w:rPr>
                <w:rFonts w:cs="Arial"/>
                <w:b/>
                <w:bCs/>
                <w:sz w:val="20"/>
              </w:rPr>
              <w:t>Budget</w:t>
            </w:r>
          </w:p>
          <w:p w:rsidR="006D4020" w:rsidRPr="005B60C0" w:rsidRDefault="006D4020" w:rsidP="00CA5573">
            <w:pPr>
              <w:pStyle w:val="BodyText"/>
              <w:jc w:val="center"/>
              <w:rPr>
                <w:rFonts w:cs="Arial"/>
                <w:b/>
                <w:bCs/>
                <w:sz w:val="20"/>
              </w:rPr>
            </w:pPr>
            <w:r w:rsidRPr="005B60C0">
              <w:rPr>
                <w:rFonts w:cs="Arial"/>
                <w:b/>
                <w:bCs/>
                <w:sz w:val="20"/>
              </w:rPr>
              <w:t>£</w:t>
            </w:r>
          </w:p>
        </w:tc>
        <w:tc>
          <w:tcPr>
            <w:tcW w:w="839" w:type="pct"/>
            <w:tcBorders>
              <w:top w:val="single" w:sz="4" w:space="0" w:color="A1C6CF"/>
              <w:left w:val="single" w:sz="4" w:space="0" w:color="FFFFFF"/>
              <w:bottom w:val="single" w:sz="4" w:space="0" w:color="A1C6CF"/>
              <w:right w:val="single" w:sz="4" w:space="0" w:color="FFFFFF"/>
            </w:tcBorders>
            <w:shd w:val="clear" w:color="auto" w:fill="A1C6CF"/>
            <w:vAlign w:val="center"/>
          </w:tcPr>
          <w:p w:rsidR="006D4020" w:rsidRPr="005B60C0" w:rsidRDefault="004579C2" w:rsidP="00DB077B">
            <w:pPr>
              <w:pStyle w:val="BodyText"/>
              <w:jc w:val="center"/>
              <w:rPr>
                <w:rFonts w:cs="Arial"/>
                <w:b/>
                <w:bCs/>
                <w:sz w:val="20"/>
              </w:rPr>
            </w:pPr>
            <w:r>
              <w:rPr>
                <w:rFonts w:cs="Arial"/>
                <w:b/>
                <w:bCs/>
                <w:sz w:val="20"/>
              </w:rPr>
              <w:t>20</w:t>
            </w:r>
            <w:r w:rsidR="005B60C0" w:rsidRPr="005B60C0">
              <w:rPr>
                <w:rFonts w:cs="Arial"/>
                <w:b/>
                <w:bCs/>
                <w:sz w:val="20"/>
              </w:rPr>
              <w:t>16</w:t>
            </w:r>
            <w:r>
              <w:rPr>
                <w:rFonts w:cs="Arial"/>
                <w:b/>
                <w:bCs/>
                <w:sz w:val="20"/>
              </w:rPr>
              <w:t>/17</w:t>
            </w:r>
          </w:p>
          <w:p w:rsidR="006D4020" w:rsidRPr="005B60C0" w:rsidRDefault="006D4020" w:rsidP="00DB077B">
            <w:pPr>
              <w:pStyle w:val="BodyText"/>
              <w:jc w:val="center"/>
              <w:rPr>
                <w:rFonts w:cs="Arial"/>
                <w:b/>
                <w:bCs/>
                <w:sz w:val="20"/>
              </w:rPr>
            </w:pPr>
            <w:r w:rsidRPr="005B60C0">
              <w:rPr>
                <w:rFonts w:cs="Arial"/>
                <w:b/>
                <w:bCs/>
                <w:sz w:val="20"/>
              </w:rPr>
              <w:t>Latest</w:t>
            </w:r>
          </w:p>
          <w:p w:rsidR="006D4020" w:rsidRPr="005B60C0" w:rsidRDefault="00BC3943" w:rsidP="00DB077B">
            <w:pPr>
              <w:pStyle w:val="BodyText"/>
              <w:jc w:val="center"/>
              <w:rPr>
                <w:rFonts w:cs="Arial"/>
                <w:b/>
                <w:bCs/>
                <w:sz w:val="20"/>
              </w:rPr>
            </w:pPr>
            <w:r w:rsidRPr="005B60C0">
              <w:rPr>
                <w:rFonts w:cs="Arial"/>
                <w:b/>
                <w:bCs/>
                <w:sz w:val="20"/>
              </w:rPr>
              <w:t>Budget</w:t>
            </w:r>
            <w:r w:rsidR="006D4020" w:rsidRPr="005B60C0">
              <w:rPr>
                <w:rFonts w:cs="Arial"/>
                <w:b/>
                <w:bCs/>
                <w:sz w:val="20"/>
              </w:rPr>
              <w:t xml:space="preserve">     </w:t>
            </w:r>
          </w:p>
          <w:p w:rsidR="006D4020" w:rsidRPr="005B60C0" w:rsidRDefault="006D4020" w:rsidP="00CA5573">
            <w:pPr>
              <w:pStyle w:val="BodyText"/>
              <w:jc w:val="center"/>
              <w:rPr>
                <w:rFonts w:cs="Arial"/>
                <w:b/>
                <w:bCs/>
                <w:sz w:val="20"/>
              </w:rPr>
            </w:pPr>
            <w:r w:rsidRPr="005B60C0">
              <w:rPr>
                <w:rFonts w:cs="Arial"/>
                <w:b/>
                <w:sz w:val="20"/>
              </w:rPr>
              <w:t>£</w:t>
            </w:r>
          </w:p>
        </w:tc>
        <w:tc>
          <w:tcPr>
            <w:tcW w:w="837" w:type="pct"/>
            <w:tcBorders>
              <w:top w:val="single" w:sz="4" w:space="0" w:color="A1C6CF"/>
              <w:left w:val="single" w:sz="4" w:space="0" w:color="FFFFFF"/>
              <w:bottom w:val="single" w:sz="4" w:space="0" w:color="A1C6CF"/>
              <w:right w:val="single" w:sz="4" w:space="0" w:color="A1C6CF"/>
            </w:tcBorders>
            <w:shd w:val="clear" w:color="auto" w:fill="A1C6CF"/>
            <w:vAlign w:val="center"/>
          </w:tcPr>
          <w:p w:rsidR="006D4020" w:rsidRPr="005B60C0" w:rsidRDefault="004579C2" w:rsidP="00DB077B">
            <w:pPr>
              <w:pStyle w:val="BodyText"/>
              <w:jc w:val="center"/>
              <w:rPr>
                <w:rFonts w:cs="Arial"/>
                <w:b/>
                <w:bCs/>
                <w:sz w:val="20"/>
              </w:rPr>
            </w:pPr>
            <w:r>
              <w:rPr>
                <w:rFonts w:cs="Arial"/>
                <w:b/>
                <w:bCs/>
                <w:sz w:val="20"/>
              </w:rPr>
              <w:t>20</w:t>
            </w:r>
            <w:r w:rsidR="00B15E7A" w:rsidRPr="005B60C0">
              <w:rPr>
                <w:rFonts w:cs="Arial"/>
                <w:b/>
                <w:bCs/>
                <w:sz w:val="20"/>
              </w:rPr>
              <w:t>1</w:t>
            </w:r>
            <w:r w:rsidR="005B60C0" w:rsidRPr="005B60C0">
              <w:rPr>
                <w:rFonts w:cs="Arial"/>
                <w:b/>
                <w:bCs/>
                <w:sz w:val="20"/>
              </w:rPr>
              <w:t>6</w:t>
            </w:r>
            <w:r>
              <w:rPr>
                <w:rFonts w:cs="Arial"/>
                <w:b/>
                <w:bCs/>
                <w:sz w:val="20"/>
              </w:rPr>
              <w:t>/17</w:t>
            </w:r>
          </w:p>
          <w:p w:rsidR="006D4020" w:rsidRPr="005B60C0" w:rsidRDefault="006D4020" w:rsidP="00DB077B">
            <w:pPr>
              <w:pStyle w:val="BodyText"/>
              <w:jc w:val="center"/>
              <w:rPr>
                <w:rFonts w:cs="Arial"/>
                <w:b/>
                <w:bCs/>
                <w:sz w:val="20"/>
              </w:rPr>
            </w:pPr>
            <w:r w:rsidRPr="005B60C0">
              <w:rPr>
                <w:rFonts w:cs="Arial"/>
                <w:b/>
                <w:bCs/>
                <w:sz w:val="20"/>
              </w:rPr>
              <w:t xml:space="preserve">Actual         </w:t>
            </w:r>
          </w:p>
          <w:p w:rsidR="006D4020" w:rsidRPr="005B60C0" w:rsidRDefault="006D4020" w:rsidP="00CA5573">
            <w:pPr>
              <w:pStyle w:val="BodyText"/>
              <w:jc w:val="center"/>
              <w:rPr>
                <w:rFonts w:cs="Arial"/>
                <w:b/>
                <w:bCs/>
                <w:sz w:val="20"/>
              </w:rPr>
            </w:pPr>
            <w:r w:rsidRPr="005B60C0">
              <w:rPr>
                <w:rFonts w:cs="Arial"/>
                <w:b/>
                <w:sz w:val="20"/>
              </w:rPr>
              <w:t>£</w:t>
            </w:r>
          </w:p>
        </w:tc>
      </w:tr>
      <w:tr w:rsidR="006D402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6D4020" w:rsidRPr="005B60C0" w:rsidRDefault="006D4020" w:rsidP="00DB077B">
            <w:pPr>
              <w:rPr>
                <w:rFonts w:cs="Arial"/>
                <w:sz w:val="20"/>
              </w:rPr>
            </w:pPr>
            <w:r w:rsidRPr="005B60C0">
              <w:rPr>
                <w:rFonts w:cs="Arial"/>
                <w:sz w:val="20"/>
              </w:rPr>
              <w:t>Capital Expenditure</w:t>
            </w:r>
          </w:p>
        </w:tc>
        <w:tc>
          <w:tcPr>
            <w:tcW w:w="840" w:type="pct"/>
            <w:tcBorders>
              <w:top w:val="single" w:sz="4" w:space="0" w:color="A1C6CF"/>
              <w:left w:val="single" w:sz="4" w:space="0" w:color="A1C6CF"/>
              <w:bottom w:val="single" w:sz="4" w:space="0" w:color="A1C6CF"/>
              <w:right w:val="single" w:sz="4" w:space="0" w:color="A1C6CF"/>
            </w:tcBorders>
            <w:vAlign w:val="center"/>
          </w:tcPr>
          <w:p w:rsidR="006D4020" w:rsidRPr="005B60C0" w:rsidRDefault="004579C2" w:rsidP="00887698">
            <w:pPr>
              <w:pStyle w:val="BodyText"/>
              <w:jc w:val="right"/>
              <w:rPr>
                <w:rFonts w:cs="Arial"/>
                <w:sz w:val="20"/>
                <w:highlight w:val="green"/>
              </w:rPr>
            </w:pPr>
            <w:r>
              <w:rPr>
                <w:rFonts w:cs="Arial"/>
                <w:sz w:val="20"/>
              </w:rPr>
              <w:t>3.675</w:t>
            </w:r>
            <w:r w:rsidR="00887698">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6D4020" w:rsidRPr="005B60C0" w:rsidRDefault="001F5386" w:rsidP="00DB077B">
            <w:pPr>
              <w:pStyle w:val="BodyText"/>
              <w:jc w:val="right"/>
              <w:rPr>
                <w:rFonts w:cs="Arial"/>
                <w:sz w:val="20"/>
              </w:rPr>
            </w:pPr>
            <w:r>
              <w:rPr>
                <w:rFonts w:cs="Arial"/>
                <w:sz w:val="20"/>
              </w:rPr>
              <w:t>8.716</w:t>
            </w:r>
            <w:r w:rsidR="00887698">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6D4020" w:rsidRPr="00604F7D" w:rsidRDefault="001F5386" w:rsidP="00C54371">
            <w:pPr>
              <w:pStyle w:val="BodyText"/>
              <w:jc w:val="right"/>
              <w:rPr>
                <w:rFonts w:cs="Arial"/>
                <w:sz w:val="20"/>
                <w:highlight w:val="green"/>
              </w:rPr>
            </w:pPr>
            <w:r>
              <w:rPr>
                <w:rFonts w:cs="Arial"/>
                <w:sz w:val="20"/>
              </w:rPr>
              <w:t>10.427</w:t>
            </w:r>
            <w:r w:rsidR="00887698" w:rsidRPr="00604F7D">
              <w:rPr>
                <w:rFonts w:cs="Arial"/>
                <w:sz w:val="20"/>
              </w:rPr>
              <w:t>m</w:t>
            </w:r>
          </w:p>
        </w:tc>
        <w:tc>
          <w:tcPr>
            <w:tcW w:w="837" w:type="pct"/>
            <w:tcBorders>
              <w:top w:val="single" w:sz="4" w:space="0" w:color="A1C6CF"/>
              <w:left w:val="single" w:sz="4" w:space="0" w:color="A1C6CF"/>
              <w:bottom w:val="single" w:sz="4" w:space="0" w:color="A1C6CF"/>
              <w:right w:val="single" w:sz="4" w:space="0" w:color="A1C6CF"/>
            </w:tcBorders>
            <w:vAlign w:val="center"/>
          </w:tcPr>
          <w:p w:rsidR="006D4020" w:rsidRPr="00604F7D" w:rsidRDefault="001F5386" w:rsidP="00DB077B">
            <w:pPr>
              <w:pStyle w:val="BodyText"/>
              <w:jc w:val="right"/>
              <w:rPr>
                <w:rFonts w:cs="Arial"/>
                <w:sz w:val="20"/>
                <w:highlight w:val="green"/>
              </w:rPr>
            </w:pPr>
            <w:r>
              <w:rPr>
                <w:rFonts w:cs="Arial"/>
                <w:sz w:val="20"/>
              </w:rPr>
              <w:t>7.922</w:t>
            </w:r>
            <w:r w:rsidR="00887698" w:rsidRPr="00604F7D">
              <w:rPr>
                <w:rFonts w:cs="Arial"/>
                <w:sz w:val="20"/>
              </w:rPr>
              <w:t>m</w:t>
            </w:r>
          </w:p>
        </w:tc>
      </w:tr>
      <w:tr w:rsidR="006D402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5B60C0" w:rsidRDefault="006D4020" w:rsidP="00DB077B">
            <w:pPr>
              <w:rPr>
                <w:rFonts w:cs="Arial"/>
                <w:b/>
                <w:sz w:val="20"/>
              </w:rPr>
            </w:pPr>
            <w:r w:rsidRPr="005B60C0">
              <w:rPr>
                <w:rFonts w:cs="Arial"/>
                <w:b/>
                <w:sz w:val="20"/>
              </w:rPr>
              <w:t>Total Capital Expenditure</w:t>
            </w:r>
          </w:p>
        </w:tc>
        <w:tc>
          <w:tcPr>
            <w:tcW w:w="840"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C549D3" w:rsidRDefault="006D4020" w:rsidP="00DB077B">
            <w:pPr>
              <w:pStyle w:val="BodyText"/>
              <w:jc w:val="right"/>
              <w:rPr>
                <w:rFonts w:cs="Arial"/>
                <w:b/>
                <w:color w:val="3366FF"/>
                <w:sz w:val="20"/>
              </w:rPr>
            </w:pPr>
          </w:p>
        </w:tc>
        <w:tc>
          <w:tcPr>
            <w:tcW w:w="839"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C549D3" w:rsidRDefault="006D4020" w:rsidP="00DB077B">
            <w:pPr>
              <w:pStyle w:val="BodyText"/>
              <w:jc w:val="right"/>
              <w:rPr>
                <w:rFonts w:cs="Arial"/>
                <w:b/>
                <w:color w:val="3366FF"/>
                <w:sz w:val="20"/>
              </w:rPr>
            </w:pPr>
          </w:p>
        </w:tc>
        <w:tc>
          <w:tcPr>
            <w:tcW w:w="839"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C549D3" w:rsidRDefault="006D4020" w:rsidP="00DB077B">
            <w:pPr>
              <w:pStyle w:val="BodyText"/>
              <w:jc w:val="right"/>
              <w:rPr>
                <w:rFonts w:cs="Arial"/>
                <w:b/>
                <w:color w:val="3366FF"/>
                <w:sz w:val="20"/>
              </w:rPr>
            </w:pPr>
          </w:p>
        </w:tc>
        <w:tc>
          <w:tcPr>
            <w:tcW w:w="837"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C549D3" w:rsidRDefault="006D4020" w:rsidP="00DB077B">
            <w:pPr>
              <w:pStyle w:val="BodyText"/>
              <w:jc w:val="right"/>
              <w:rPr>
                <w:rFonts w:cs="Arial"/>
                <w:b/>
                <w:color w:val="3366FF"/>
                <w:sz w:val="20"/>
              </w:rPr>
            </w:pPr>
          </w:p>
        </w:tc>
      </w:tr>
      <w:tr w:rsidR="006D402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6D4020" w:rsidRPr="005B60C0" w:rsidRDefault="006D4020" w:rsidP="00DB077B">
            <w:pPr>
              <w:rPr>
                <w:rFonts w:cs="Arial"/>
                <w:sz w:val="20"/>
              </w:rPr>
            </w:pPr>
            <w:r w:rsidRPr="005B60C0">
              <w:rPr>
                <w:rFonts w:cs="Arial"/>
                <w:sz w:val="20"/>
              </w:rPr>
              <w:t>Resourced by:</w:t>
            </w:r>
          </w:p>
        </w:tc>
        <w:tc>
          <w:tcPr>
            <w:tcW w:w="840" w:type="pct"/>
            <w:tcBorders>
              <w:top w:val="single" w:sz="4" w:space="0" w:color="A1C6CF"/>
              <w:left w:val="single" w:sz="4" w:space="0" w:color="A1C6CF"/>
              <w:bottom w:val="single" w:sz="4" w:space="0" w:color="A1C6CF"/>
              <w:right w:val="single" w:sz="4" w:space="0" w:color="A1C6CF"/>
            </w:tcBorders>
            <w:vAlign w:val="center"/>
          </w:tcPr>
          <w:p w:rsidR="006D4020" w:rsidRPr="00C549D3" w:rsidRDefault="006D4020" w:rsidP="00DB077B">
            <w:pPr>
              <w:pStyle w:val="BodyText"/>
              <w:jc w:val="right"/>
              <w:rPr>
                <w:rFonts w:cs="Arial"/>
                <w:color w:val="3366FF"/>
                <w:sz w:val="20"/>
              </w:rPr>
            </w:pPr>
          </w:p>
        </w:tc>
        <w:tc>
          <w:tcPr>
            <w:tcW w:w="839" w:type="pct"/>
            <w:tcBorders>
              <w:top w:val="single" w:sz="4" w:space="0" w:color="A1C6CF"/>
              <w:left w:val="single" w:sz="4" w:space="0" w:color="A1C6CF"/>
              <w:bottom w:val="single" w:sz="4" w:space="0" w:color="A1C6CF"/>
              <w:right w:val="single" w:sz="4" w:space="0" w:color="A1C6CF"/>
            </w:tcBorders>
            <w:vAlign w:val="center"/>
          </w:tcPr>
          <w:p w:rsidR="006D4020" w:rsidRPr="00C549D3" w:rsidRDefault="006D4020" w:rsidP="00DB077B">
            <w:pPr>
              <w:pStyle w:val="BodyText"/>
              <w:jc w:val="right"/>
              <w:rPr>
                <w:rFonts w:cs="Arial"/>
                <w:color w:val="3366FF"/>
                <w:sz w:val="20"/>
              </w:rPr>
            </w:pPr>
          </w:p>
        </w:tc>
        <w:tc>
          <w:tcPr>
            <w:tcW w:w="839" w:type="pct"/>
            <w:tcBorders>
              <w:top w:val="single" w:sz="4" w:space="0" w:color="A1C6CF"/>
              <w:left w:val="single" w:sz="4" w:space="0" w:color="A1C6CF"/>
              <w:bottom w:val="single" w:sz="4" w:space="0" w:color="A1C6CF"/>
              <w:right w:val="single" w:sz="4" w:space="0" w:color="A1C6CF"/>
            </w:tcBorders>
            <w:vAlign w:val="center"/>
          </w:tcPr>
          <w:p w:rsidR="006D4020" w:rsidRPr="00C549D3" w:rsidRDefault="006D4020" w:rsidP="00DB077B">
            <w:pPr>
              <w:pStyle w:val="BodyText"/>
              <w:jc w:val="right"/>
              <w:rPr>
                <w:rFonts w:cs="Arial"/>
                <w:color w:val="3366FF"/>
                <w:sz w:val="20"/>
              </w:rPr>
            </w:pPr>
          </w:p>
        </w:tc>
        <w:tc>
          <w:tcPr>
            <w:tcW w:w="837" w:type="pct"/>
            <w:tcBorders>
              <w:top w:val="single" w:sz="4" w:space="0" w:color="A1C6CF"/>
              <w:left w:val="single" w:sz="4" w:space="0" w:color="A1C6CF"/>
              <w:bottom w:val="single" w:sz="4" w:space="0" w:color="A1C6CF"/>
              <w:right w:val="single" w:sz="4" w:space="0" w:color="A1C6CF"/>
            </w:tcBorders>
            <w:vAlign w:val="center"/>
          </w:tcPr>
          <w:p w:rsidR="006D4020" w:rsidRPr="00C549D3" w:rsidRDefault="006D4020" w:rsidP="00DB077B">
            <w:pPr>
              <w:pStyle w:val="BodyText"/>
              <w:jc w:val="right"/>
              <w:rPr>
                <w:rFonts w:cs="Arial"/>
                <w:color w:val="3366FF"/>
                <w:sz w:val="20"/>
              </w:rPr>
            </w:pPr>
          </w:p>
        </w:tc>
      </w:tr>
      <w:tr w:rsidR="005B60C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6D4020">
            <w:pPr>
              <w:numPr>
                <w:ilvl w:val="0"/>
                <w:numId w:val="3"/>
              </w:numPr>
              <w:tabs>
                <w:tab w:val="clear" w:pos="1440"/>
              </w:tabs>
              <w:ind w:left="360"/>
              <w:rPr>
                <w:rFonts w:cs="Arial"/>
                <w:sz w:val="20"/>
              </w:rPr>
            </w:pPr>
            <w:r w:rsidRPr="005B60C0">
              <w:rPr>
                <w:rFonts w:cs="Arial"/>
                <w:sz w:val="20"/>
              </w:rPr>
              <w:t>Capital Receipts</w:t>
            </w:r>
          </w:p>
        </w:tc>
        <w:tc>
          <w:tcPr>
            <w:tcW w:w="840"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4579C2" w:rsidP="003B2FD3">
            <w:pPr>
              <w:pStyle w:val="BodyText"/>
              <w:jc w:val="right"/>
              <w:rPr>
                <w:rFonts w:cs="Arial"/>
                <w:sz w:val="20"/>
              </w:rPr>
            </w:pPr>
            <w:r>
              <w:rPr>
                <w:rFonts w:cs="Arial"/>
                <w:sz w:val="20"/>
              </w:rPr>
              <w:t>3.056</w:t>
            </w:r>
            <w:r w:rsidR="00887698">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1F5386" w:rsidP="00DB077B">
            <w:pPr>
              <w:pStyle w:val="BodyText"/>
              <w:jc w:val="right"/>
              <w:rPr>
                <w:rFonts w:cs="Arial"/>
                <w:sz w:val="20"/>
              </w:rPr>
            </w:pPr>
            <w:r>
              <w:rPr>
                <w:rFonts w:cs="Arial"/>
                <w:sz w:val="20"/>
              </w:rPr>
              <w:t>6.136</w:t>
            </w:r>
            <w:r w:rsidR="00C54371" w:rsidRPr="00604F7D">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DB077B">
            <w:pPr>
              <w:pStyle w:val="BodyText"/>
              <w:jc w:val="right"/>
              <w:rPr>
                <w:rFonts w:cs="Arial"/>
                <w:sz w:val="20"/>
              </w:rPr>
            </w:pPr>
            <w:r>
              <w:rPr>
                <w:rFonts w:cs="Arial"/>
                <w:sz w:val="20"/>
              </w:rPr>
              <w:t>5.253</w:t>
            </w:r>
            <w:r w:rsidR="00C54371" w:rsidRPr="00604F7D">
              <w:rPr>
                <w:rFonts w:cs="Arial"/>
                <w:sz w:val="20"/>
              </w:rPr>
              <w:t>m</w:t>
            </w:r>
          </w:p>
        </w:tc>
        <w:tc>
          <w:tcPr>
            <w:tcW w:w="837"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FD2F46">
            <w:pPr>
              <w:pStyle w:val="BodyText"/>
              <w:jc w:val="right"/>
              <w:rPr>
                <w:rFonts w:cs="Arial"/>
                <w:sz w:val="20"/>
              </w:rPr>
            </w:pPr>
            <w:r>
              <w:rPr>
                <w:rFonts w:cs="Arial"/>
                <w:sz w:val="20"/>
              </w:rPr>
              <w:t>3.453</w:t>
            </w:r>
            <w:r w:rsidR="00887698" w:rsidRPr="00604F7D">
              <w:rPr>
                <w:rFonts w:cs="Arial"/>
                <w:sz w:val="20"/>
              </w:rPr>
              <w:t>m</w:t>
            </w:r>
          </w:p>
        </w:tc>
      </w:tr>
      <w:tr w:rsidR="005B60C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6D4020">
            <w:pPr>
              <w:numPr>
                <w:ilvl w:val="0"/>
                <w:numId w:val="3"/>
              </w:numPr>
              <w:tabs>
                <w:tab w:val="clear" w:pos="1440"/>
              </w:tabs>
              <w:ind w:left="360"/>
              <w:rPr>
                <w:rFonts w:cs="Arial"/>
                <w:sz w:val="20"/>
              </w:rPr>
            </w:pPr>
            <w:r w:rsidRPr="005B60C0">
              <w:rPr>
                <w:rFonts w:cs="Arial"/>
                <w:sz w:val="20"/>
              </w:rPr>
              <w:t>Capital Grants</w:t>
            </w:r>
          </w:p>
        </w:tc>
        <w:tc>
          <w:tcPr>
            <w:tcW w:w="840"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887698" w:rsidP="00887698">
            <w:pPr>
              <w:pStyle w:val="BodyText"/>
              <w:jc w:val="right"/>
              <w:rPr>
                <w:rFonts w:cs="Arial"/>
                <w:sz w:val="20"/>
              </w:rPr>
            </w:pPr>
            <w:r>
              <w:rPr>
                <w:rFonts w:cs="Arial"/>
                <w:sz w:val="20"/>
              </w:rPr>
              <w:t>0.</w:t>
            </w:r>
            <w:r w:rsidR="005B60C0" w:rsidRPr="005B60C0">
              <w:rPr>
                <w:rFonts w:cs="Arial"/>
                <w:sz w:val="20"/>
              </w:rPr>
              <w:t>5</w:t>
            </w:r>
            <w:r w:rsidR="004579C2">
              <w:rPr>
                <w:rFonts w:cs="Arial"/>
                <w:sz w:val="20"/>
              </w:rPr>
              <w:t>96</w:t>
            </w:r>
            <w:r>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1F5386" w:rsidP="00DB077B">
            <w:pPr>
              <w:pStyle w:val="BodyText"/>
              <w:jc w:val="right"/>
              <w:rPr>
                <w:rFonts w:cs="Arial"/>
                <w:sz w:val="20"/>
              </w:rPr>
            </w:pPr>
            <w:r>
              <w:rPr>
                <w:rFonts w:cs="Arial"/>
                <w:sz w:val="20"/>
              </w:rPr>
              <w:t>0.450</w:t>
            </w:r>
            <w:r w:rsidR="00C54371" w:rsidRPr="00604F7D">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DB077B">
            <w:pPr>
              <w:pStyle w:val="BodyText"/>
              <w:jc w:val="right"/>
              <w:rPr>
                <w:rFonts w:cs="Arial"/>
                <w:sz w:val="20"/>
              </w:rPr>
            </w:pPr>
            <w:r>
              <w:rPr>
                <w:rFonts w:cs="Arial"/>
                <w:sz w:val="20"/>
              </w:rPr>
              <w:t>0.591</w:t>
            </w:r>
            <w:r w:rsidR="005F1DC7" w:rsidRPr="00604F7D">
              <w:rPr>
                <w:rFonts w:cs="Arial"/>
                <w:sz w:val="20"/>
              </w:rPr>
              <w:t>m</w:t>
            </w:r>
          </w:p>
        </w:tc>
        <w:tc>
          <w:tcPr>
            <w:tcW w:w="837"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DB077B">
            <w:pPr>
              <w:pStyle w:val="BodyText"/>
              <w:jc w:val="right"/>
              <w:rPr>
                <w:rFonts w:cs="Arial"/>
                <w:sz w:val="20"/>
              </w:rPr>
            </w:pPr>
            <w:r>
              <w:rPr>
                <w:rFonts w:cs="Arial"/>
                <w:sz w:val="20"/>
              </w:rPr>
              <w:t>0.397</w:t>
            </w:r>
            <w:r w:rsidR="00887698" w:rsidRPr="00604F7D">
              <w:rPr>
                <w:rFonts w:cs="Arial"/>
                <w:sz w:val="20"/>
              </w:rPr>
              <w:t>m</w:t>
            </w:r>
          </w:p>
        </w:tc>
      </w:tr>
      <w:tr w:rsidR="001F5386"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1F5386" w:rsidRPr="005B60C0" w:rsidRDefault="001F5386" w:rsidP="006D4020">
            <w:pPr>
              <w:numPr>
                <w:ilvl w:val="0"/>
                <w:numId w:val="3"/>
              </w:numPr>
              <w:tabs>
                <w:tab w:val="clear" w:pos="1440"/>
              </w:tabs>
              <w:ind w:left="360"/>
              <w:rPr>
                <w:rFonts w:cs="Arial"/>
                <w:sz w:val="20"/>
              </w:rPr>
            </w:pPr>
            <w:r>
              <w:rPr>
                <w:rFonts w:cs="Arial"/>
                <w:sz w:val="20"/>
              </w:rPr>
              <w:t>Internal borrowing</w:t>
            </w:r>
          </w:p>
        </w:tc>
        <w:tc>
          <w:tcPr>
            <w:tcW w:w="840" w:type="pct"/>
            <w:tcBorders>
              <w:top w:val="single" w:sz="4" w:space="0" w:color="A1C6CF"/>
              <w:left w:val="single" w:sz="4" w:space="0" w:color="A1C6CF"/>
              <w:bottom w:val="single" w:sz="4" w:space="0" w:color="A1C6CF"/>
              <w:right w:val="single" w:sz="4" w:space="0" w:color="A1C6CF"/>
            </w:tcBorders>
            <w:vAlign w:val="center"/>
          </w:tcPr>
          <w:p w:rsidR="001F5386" w:rsidRDefault="001F5386" w:rsidP="00887698">
            <w:pPr>
              <w:pStyle w:val="BodyText"/>
              <w:jc w:val="right"/>
              <w:rPr>
                <w:rFonts w:cs="Arial"/>
                <w:sz w:val="20"/>
              </w:rPr>
            </w:pPr>
            <w:r>
              <w:rPr>
                <w:rFonts w:cs="Arial"/>
                <w:sz w:val="20"/>
              </w:rPr>
              <w:t>0.000m</w:t>
            </w:r>
          </w:p>
        </w:tc>
        <w:tc>
          <w:tcPr>
            <w:tcW w:w="839" w:type="pct"/>
            <w:tcBorders>
              <w:top w:val="single" w:sz="4" w:space="0" w:color="A1C6CF"/>
              <w:left w:val="single" w:sz="4" w:space="0" w:color="A1C6CF"/>
              <w:bottom w:val="single" w:sz="4" w:space="0" w:color="A1C6CF"/>
              <w:right w:val="single" w:sz="4" w:space="0" w:color="A1C6CF"/>
            </w:tcBorders>
            <w:vAlign w:val="center"/>
          </w:tcPr>
          <w:p w:rsidR="001F5386" w:rsidRDefault="001F5386" w:rsidP="00DB077B">
            <w:pPr>
              <w:pStyle w:val="BodyText"/>
              <w:jc w:val="right"/>
              <w:rPr>
                <w:rFonts w:cs="Arial"/>
                <w:sz w:val="20"/>
              </w:rPr>
            </w:pPr>
            <w:r>
              <w:rPr>
                <w:rFonts w:cs="Arial"/>
                <w:sz w:val="20"/>
              </w:rPr>
              <w:t>2.060m</w:t>
            </w:r>
          </w:p>
        </w:tc>
        <w:tc>
          <w:tcPr>
            <w:tcW w:w="839" w:type="pct"/>
            <w:tcBorders>
              <w:top w:val="single" w:sz="4" w:space="0" w:color="A1C6CF"/>
              <w:left w:val="single" w:sz="4" w:space="0" w:color="A1C6CF"/>
              <w:bottom w:val="single" w:sz="4" w:space="0" w:color="A1C6CF"/>
              <w:right w:val="single" w:sz="4" w:space="0" w:color="A1C6CF"/>
            </w:tcBorders>
            <w:vAlign w:val="center"/>
          </w:tcPr>
          <w:p w:rsidR="001F5386" w:rsidRDefault="00FD2F46" w:rsidP="00DB077B">
            <w:pPr>
              <w:pStyle w:val="BodyText"/>
              <w:jc w:val="right"/>
              <w:rPr>
                <w:rFonts w:cs="Arial"/>
                <w:sz w:val="20"/>
              </w:rPr>
            </w:pPr>
            <w:r>
              <w:rPr>
                <w:rFonts w:cs="Arial"/>
                <w:sz w:val="20"/>
              </w:rPr>
              <w:t>4.515m</w:t>
            </w:r>
          </w:p>
        </w:tc>
        <w:tc>
          <w:tcPr>
            <w:tcW w:w="837" w:type="pct"/>
            <w:tcBorders>
              <w:top w:val="single" w:sz="4" w:space="0" w:color="A1C6CF"/>
              <w:left w:val="single" w:sz="4" w:space="0" w:color="A1C6CF"/>
              <w:bottom w:val="single" w:sz="4" w:space="0" w:color="A1C6CF"/>
              <w:right w:val="single" w:sz="4" w:space="0" w:color="A1C6CF"/>
            </w:tcBorders>
            <w:vAlign w:val="center"/>
          </w:tcPr>
          <w:p w:rsidR="001F5386" w:rsidRDefault="00FD2F46" w:rsidP="00DB077B">
            <w:pPr>
              <w:pStyle w:val="BodyText"/>
              <w:jc w:val="right"/>
              <w:rPr>
                <w:rFonts w:cs="Arial"/>
                <w:sz w:val="20"/>
              </w:rPr>
            </w:pPr>
            <w:r>
              <w:rPr>
                <w:rFonts w:cs="Arial"/>
                <w:sz w:val="20"/>
              </w:rPr>
              <w:t>4.004m</w:t>
            </w:r>
          </w:p>
        </w:tc>
      </w:tr>
      <w:tr w:rsidR="005B60C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5B60C0" w:rsidP="006D4020">
            <w:pPr>
              <w:numPr>
                <w:ilvl w:val="0"/>
                <w:numId w:val="3"/>
              </w:numPr>
              <w:tabs>
                <w:tab w:val="clear" w:pos="1440"/>
              </w:tabs>
              <w:ind w:left="360"/>
              <w:rPr>
                <w:rFonts w:cs="Arial"/>
                <w:sz w:val="20"/>
              </w:rPr>
            </w:pPr>
            <w:r w:rsidRPr="005B60C0">
              <w:rPr>
                <w:rFonts w:cs="Arial"/>
                <w:sz w:val="20"/>
              </w:rPr>
              <w:t>Reserves – S106</w:t>
            </w:r>
          </w:p>
        </w:tc>
        <w:tc>
          <w:tcPr>
            <w:tcW w:w="840" w:type="pct"/>
            <w:tcBorders>
              <w:top w:val="single" w:sz="4" w:space="0" w:color="A1C6CF"/>
              <w:left w:val="single" w:sz="4" w:space="0" w:color="A1C6CF"/>
              <w:bottom w:val="single" w:sz="4" w:space="0" w:color="A1C6CF"/>
              <w:right w:val="single" w:sz="4" w:space="0" w:color="A1C6CF"/>
            </w:tcBorders>
            <w:vAlign w:val="center"/>
          </w:tcPr>
          <w:p w:rsidR="005B60C0" w:rsidRPr="005B60C0" w:rsidRDefault="004579C2" w:rsidP="003B2FD3">
            <w:pPr>
              <w:pStyle w:val="BodyText"/>
              <w:jc w:val="right"/>
              <w:rPr>
                <w:rFonts w:cs="Arial"/>
                <w:sz w:val="20"/>
              </w:rPr>
            </w:pPr>
            <w:r>
              <w:rPr>
                <w:rFonts w:cs="Arial"/>
                <w:sz w:val="20"/>
              </w:rPr>
              <w:t>0.023</w:t>
            </w:r>
            <w:r w:rsidR="00887698">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4579C2" w:rsidP="00FD2F46">
            <w:pPr>
              <w:pStyle w:val="BodyText"/>
              <w:jc w:val="right"/>
              <w:rPr>
                <w:rFonts w:cs="Arial"/>
                <w:sz w:val="20"/>
              </w:rPr>
            </w:pPr>
            <w:r>
              <w:rPr>
                <w:rFonts w:cs="Arial"/>
                <w:sz w:val="20"/>
              </w:rPr>
              <w:t xml:space="preserve">  </w:t>
            </w:r>
            <w:r w:rsidR="001F5386">
              <w:rPr>
                <w:rFonts w:cs="Arial"/>
                <w:sz w:val="20"/>
              </w:rPr>
              <w:t>0.070</w:t>
            </w:r>
            <w:r w:rsidR="00C54371" w:rsidRPr="00604F7D">
              <w:rPr>
                <w:rFonts w:cs="Arial"/>
                <w:sz w:val="20"/>
              </w:rPr>
              <w:t>m</w:t>
            </w:r>
          </w:p>
        </w:tc>
        <w:tc>
          <w:tcPr>
            <w:tcW w:w="839"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FD2F46">
            <w:pPr>
              <w:pStyle w:val="BodyText"/>
              <w:jc w:val="right"/>
              <w:rPr>
                <w:rFonts w:cs="Arial"/>
                <w:sz w:val="20"/>
              </w:rPr>
            </w:pPr>
            <w:r>
              <w:rPr>
                <w:rFonts w:cs="Arial"/>
                <w:sz w:val="20"/>
              </w:rPr>
              <w:t>0.068</w:t>
            </w:r>
            <w:r w:rsidR="005F1DC7" w:rsidRPr="00604F7D">
              <w:rPr>
                <w:rFonts w:cs="Arial"/>
                <w:sz w:val="20"/>
              </w:rPr>
              <w:t>m</w:t>
            </w:r>
          </w:p>
        </w:tc>
        <w:tc>
          <w:tcPr>
            <w:tcW w:w="837" w:type="pct"/>
            <w:tcBorders>
              <w:top w:val="single" w:sz="4" w:space="0" w:color="A1C6CF"/>
              <w:left w:val="single" w:sz="4" w:space="0" w:color="A1C6CF"/>
              <w:bottom w:val="single" w:sz="4" w:space="0" w:color="A1C6CF"/>
              <w:right w:val="single" w:sz="4" w:space="0" w:color="A1C6CF"/>
            </w:tcBorders>
            <w:vAlign w:val="center"/>
          </w:tcPr>
          <w:p w:rsidR="005B60C0" w:rsidRPr="00604F7D" w:rsidRDefault="00FD2F46" w:rsidP="00FD2F46">
            <w:pPr>
              <w:pStyle w:val="BodyText"/>
              <w:jc w:val="right"/>
              <w:rPr>
                <w:rFonts w:cs="Arial"/>
                <w:sz w:val="20"/>
              </w:rPr>
            </w:pPr>
            <w:r>
              <w:rPr>
                <w:rFonts w:cs="Arial"/>
                <w:sz w:val="20"/>
              </w:rPr>
              <w:t>0.068m</w:t>
            </w:r>
          </w:p>
        </w:tc>
      </w:tr>
      <w:tr w:rsidR="006D4020" w:rsidRPr="00C549D3" w:rsidTr="005B60C0">
        <w:trPr>
          <w:trHeight w:val="360"/>
        </w:trPr>
        <w:tc>
          <w:tcPr>
            <w:tcW w:w="1646"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5B60C0" w:rsidRDefault="006D4020" w:rsidP="00DB077B">
            <w:pPr>
              <w:rPr>
                <w:rFonts w:cs="Arial"/>
                <w:b/>
                <w:sz w:val="20"/>
              </w:rPr>
            </w:pPr>
            <w:r w:rsidRPr="005B60C0">
              <w:rPr>
                <w:rFonts w:cs="Arial"/>
                <w:b/>
                <w:sz w:val="20"/>
              </w:rPr>
              <w:t xml:space="preserve">Unfinanced Capital Expenditure </w:t>
            </w:r>
          </w:p>
        </w:tc>
        <w:tc>
          <w:tcPr>
            <w:tcW w:w="840"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5B60C0" w:rsidRDefault="006D4020" w:rsidP="00DB077B">
            <w:pPr>
              <w:pStyle w:val="BodyText"/>
              <w:jc w:val="right"/>
              <w:rPr>
                <w:rFonts w:cs="Arial"/>
                <w:b/>
                <w:sz w:val="20"/>
              </w:rPr>
            </w:pPr>
            <w:r w:rsidRPr="005B60C0">
              <w:rPr>
                <w:rFonts w:cs="Arial"/>
                <w:b/>
                <w:sz w:val="20"/>
              </w:rPr>
              <w:t>0</w:t>
            </w:r>
          </w:p>
        </w:tc>
        <w:tc>
          <w:tcPr>
            <w:tcW w:w="839"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604F7D" w:rsidRDefault="006D4020" w:rsidP="00DB077B">
            <w:pPr>
              <w:pStyle w:val="BodyText"/>
              <w:jc w:val="right"/>
              <w:rPr>
                <w:rFonts w:cs="Arial"/>
                <w:b/>
                <w:sz w:val="20"/>
              </w:rPr>
            </w:pPr>
            <w:r w:rsidRPr="00604F7D">
              <w:rPr>
                <w:rFonts w:cs="Arial"/>
                <w:b/>
                <w:sz w:val="20"/>
              </w:rPr>
              <w:t>0</w:t>
            </w:r>
          </w:p>
        </w:tc>
        <w:tc>
          <w:tcPr>
            <w:tcW w:w="839"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604F7D" w:rsidRDefault="006D4020" w:rsidP="00DB077B">
            <w:pPr>
              <w:pStyle w:val="BodyText"/>
              <w:jc w:val="right"/>
              <w:rPr>
                <w:rFonts w:cs="Arial"/>
                <w:b/>
                <w:sz w:val="20"/>
              </w:rPr>
            </w:pPr>
            <w:r w:rsidRPr="00604F7D">
              <w:rPr>
                <w:rFonts w:cs="Arial"/>
                <w:b/>
                <w:sz w:val="20"/>
              </w:rPr>
              <w:t>0</w:t>
            </w:r>
          </w:p>
        </w:tc>
        <w:tc>
          <w:tcPr>
            <w:tcW w:w="837" w:type="pct"/>
            <w:tcBorders>
              <w:top w:val="single" w:sz="4" w:space="0" w:color="A1C6CF"/>
              <w:left w:val="single" w:sz="4" w:space="0" w:color="A1C6CF"/>
              <w:bottom w:val="single" w:sz="4" w:space="0" w:color="A1C6CF"/>
              <w:right w:val="single" w:sz="4" w:space="0" w:color="A1C6CF"/>
            </w:tcBorders>
            <w:shd w:val="clear" w:color="auto" w:fill="DEEBEE"/>
            <w:vAlign w:val="center"/>
          </w:tcPr>
          <w:p w:rsidR="006D4020" w:rsidRPr="00604F7D" w:rsidRDefault="006D4020" w:rsidP="00DB077B">
            <w:pPr>
              <w:pStyle w:val="BodyText"/>
              <w:jc w:val="right"/>
              <w:rPr>
                <w:rFonts w:cs="Arial"/>
                <w:b/>
                <w:sz w:val="20"/>
              </w:rPr>
            </w:pPr>
            <w:r w:rsidRPr="00604F7D">
              <w:rPr>
                <w:rFonts w:cs="Arial"/>
                <w:b/>
                <w:sz w:val="20"/>
              </w:rPr>
              <w:t>0</w:t>
            </w:r>
          </w:p>
        </w:tc>
      </w:tr>
    </w:tbl>
    <w:p w:rsidR="006D4020" w:rsidRPr="00C549D3" w:rsidRDefault="006D4020" w:rsidP="006D4020">
      <w:pPr>
        <w:spacing w:after="240"/>
        <w:jc w:val="both"/>
        <w:outlineLvl w:val="0"/>
        <w:rPr>
          <w:rFonts w:cs="Arial"/>
          <w:color w:val="3366FF"/>
          <w:szCs w:val="22"/>
        </w:rPr>
      </w:pPr>
    </w:p>
    <w:p w:rsidR="00BC3943" w:rsidRPr="005B60C0" w:rsidRDefault="00BC3943" w:rsidP="006D4020">
      <w:pPr>
        <w:spacing w:after="240"/>
        <w:jc w:val="both"/>
        <w:outlineLvl w:val="0"/>
        <w:rPr>
          <w:rFonts w:cs="Arial"/>
          <w:szCs w:val="22"/>
        </w:rPr>
      </w:pPr>
    </w:p>
    <w:p w:rsidR="006D4020" w:rsidRPr="005B60C0" w:rsidRDefault="006D4020" w:rsidP="006D4020">
      <w:pPr>
        <w:pStyle w:val="BodyText"/>
        <w:tabs>
          <w:tab w:val="left" w:pos="360"/>
        </w:tabs>
        <w:spacing w:before="60" w:after="60"/>
        <w:ind w:left="360" w:hanging="360"/>
        <w:jc w:val="both"/>
        <w:rPr>
          <w:rFonts w:cs="Arial"/>
          <w:b/>
          <w:szCs w:val="22"/>
        </w:rPr>
      </w:pPr>
      <w:r w:rsidRPr="005B60C0">
        <w:rPr>
          <w:rFonts w:cs="Arial"/>
          <w:b/>
          <w:szCs w:val="22"/>
        </w:rPr>
        <w:t>3.</w:t>
      </w:r>
      <w:r w:rsidRPr="005B60C0">
        <w:rPr>
          <w:rFonts w:cs="Arial"/>
          <w:b/>
          <w:szCs w:val="22"/>
        </w:rPr>
        <w:tab/>
        <w:t>Impact of This Activity on the Council’s Underlying Indebtedness (the Capital Financing Requirement)</w:t>
      </w:r>
    </w:p>
    <w:p w:rsidR="006D4020" w:rsidRPr="00C549D3" w:rsidRDefault="006D4020" w:rsidP="006D4020">
      <w:pPr>
        <w:pStyle w:val="BodyText"/>
        <w:ind w:left="360"/>
        <w:jc w:val="both"/>
        <w:rPr>
          <w:rFonts w:cs="Arial"/>
          <w:color w:val="3366FF"/>
          <w:szCs w:val="22"/>
        </w:rPr>
      </w:pPr>
    </w:p>
    <w:p w:rsidR="006D4020" w:rsidRPr="005B60C0" w:rsidRDefault="006D4020" w:rsidP="006D4020">
      <w:pPr>
        <w:pStyle w:val="BodyText"/>
        <w:ind w:left="360"/>
        <w:jc w:val="both"/>
        <w:rPr>
          <w:rFonts w:cs="Arial"/>
          <w:szCs w:val="22"/>
        </w:rPr>
      </w:pPr>
      <w:r w:rsidRPr="005B60C0">
        <w:rPr>
          <w:rFonts w:cs="Arial"/>
          <w:szCs w:val="22"/>
        </w:rPr>
        <w:t xml:space="preserve">The Council’s underlying need to borrow for capital expenditure is termed the Capital Financing Requirement (CFR).  This figure is a gauge of the Council’s debt position.  The CFR results from the capital activity of the Council and what resources have been used to pay for the capital spend.  It represents the </w:t>
      </w:r>
      <w:r w:rsidR="00927613">
        <w:rPr>
          <w:rFonts w:cs="Arial"/>
          <w:szCs w:val="22"/>
        </w:rPr>
        <w:t>20</w:t>
      </w:r>
      <w:r w:rsidR="005B60C0" w:rsidRPr="005B60C0">
        <w:rPr>
          <w:rFonts w:cs="Arial"/>
          <w:szCs w:val="22"/>
        </w:rPr>
        <w:t>16</w:t>
      </w:r>
      <w:r w:rsidR="00927613">
        <w:rPr>
          <w:rFonts w:cs="Arial"/>
          <w:szCs w:val="22"/>
        </w:rPr>
        <w:t>/17</w:t>
      </w:r>
      <w:r w:rsidRPr="005B60C0">
        <w:rPr>
          <w:rFonts w:cs="Arial"/>
          <w:szCs w:val="22"/>
        </w:rPr>
        <w:t xml:space="preserve"> unfinanced capital expenditure (see above table), and prior years’ net or unfinanced capital expenditure which has not yet been paid for by revenue or other resources.  </w:t>
      </w:r>
    </w:p>
    <w:p w:rsidR="006D4020" w:rsidRPr="00C549D3" w:rsidRDefault="006D4020" w:rsidP="006D4020">
      <w:pPr>
        <w:pStyle w:val="BodyText"/>
        <w:ind w:left="360"/>
        <w:jc w:val="both"/>
        <w:rPr>
          <w:rFonts w:cs="Arial"/>
          <w:color w:val="3366FF"/>
          <w:szCs w:val="22"/>
        </w:rPr>
      </w:pPr>
    </w:p>
    <w:p w:rsidR="006D4020" w:rsidRPr="001340FA" w:rsidRDefault="006D4020" w:rsidP="006D4020">
      <w:pPr>
        <w:pStyle w:val="BodyText"/>
        <w:ind w:left="360"/>
        <w:jc w:val="both"/>
        <w:rPr>
          <w:rFonts w:cs="Arial"/>
          <w:szCs w:val="22"/>
        </w:rPr>
      </w:pPr>
      <w:r w:rsidRPr="001340FA">
        <w:rPr>
          <w:rFonts w:cs="Arial"/>
          <w:szCs w:val="22"/>
        </w:rPr>
        <w:t xml:space="preserve">The Council’s CFR for the year was zero. </w:t>
      </w:r>
    </w:p>
    <w:p w:rsidR="006D4020" w:rsidRPr="00C549D3" w:rsidRDefault="006D4020" w:rsidP="006D4020">
      <w:pPr>
        <w:pStyle w:val="BodyText"/>
        <w:jc w:val="both"/>
        <w:rPr>
          <w:rFonts w:cs="Arial"/>
          <w:color w:val="3366FF"/>
          <w:szCs w:val="22"/>
        </w:rPr>
      </w:pPr>
    </w:p>
    <w:p w:rsidR="006D4020" w:rsidRPr="008466AC" w:rsidRDefault="006D4020" w:rsidP="006D4020">
      <w:pPr>
        <w:pStyle w:val="BodyText"/>
        <w:ind w:left="360"/>
        <w:jc w:val="both"/>
        <w:rPr>
          <w:rFonts w:cs="Arial"/>
          <w:bCs/>
          <w:szCs w:val="22"/>
        </w:rPr>
      </w:pPr>
      <w:r w:rsidRPr="008466AC">
        <w:rPr>
          <w:rFonts w:cs="Arial"/>
          <w:bCs/>
          <w:szCs w:val="22"/>
        </w:rPr>
        <w:t>The borrowing activity is constrained by prudential indicators for borrowing and the CFR, and by the authorised limit.</w:t>
      </w:r>
    </w:p>
    <w:p w:rsidR="006D4020" w:rsidRPr="00C549D3" w:rsidRDefault="006D4020" w:rsidP="006D4020">
      <w:pPr>
        <w:pStyle w:val="BodyText"/>
        <w:ind w:left="360"/>
        <w:jc w:val="both"/>
        <w:rPr>
          <w:rFonts w:cs="Arial"/>
          <w:bCs/>
          <w:color w:val="3366FF"/>
          <w:szCs w:val="22"/>
        </w:rPr>
      </w:pPr>
    </w:p>
    <w:p w:rsidR="006D4020" w:rsidRPr="005B60C0" w:rsidRDefault="006D4020" w:rsidP="006D4020">
      <w:pPr>
        <w:pStyle w:val="BodyText"/>
        <w:ind w:left="360"/>
        <w:jc w:val="both"/>
        <w:rPr>
          <w:rFonts w:cs="Arial"/>
          <w:szCs w:val="22"/>
        </w:rPr>
      </w:pPr>
      <w:r w:rsidRPr="005B60C0">
        <w:rPr>
          <w:rFonts w:cs="Arial"/>
          <w:b/>
          <w:szCs w:val="22"/>
        </w:rPr>
        <w:t>The authorised limit</w:t>
      </w:r>
      <w:r w:rsidRPr="005B60C0">
        <w:rPr>
          <w:rFonts w:cs="Arial"/>
          <w:szCs w:val="22"/>
        </w:rPr>
        <w:t xml:space="preserve"> - the authorised limit is the “affordable borrowing limit” required by section 3 of the Local Government Act 2003.  The Council does not have the power to borrow above this level.  The table below demonstrates that during </w:t>
      </w:r>
      <w:r w:rsidR="00927613">
        <w:rPr>
          <w:rFonts w:cs="Arial"/>
          <w:szCs w:val="22"/>
        </w:rPr>
        <w:t>20</w:t>
      </w:r>
      <w:r w:rsidR="00EE0821" w:rsidRPr="005B60C0">
        <w:rPr>
          <w:rFonts w:cs="Arial"/>
          <w:szCs w:val="22"/>
        </w:rPr>
        <w:t>1</w:t>
      </w:r>
      <w:r w:rsidR="005B60C0">
        <w:rPr>
          <w:rFonts w:cs="Arial"/>
          <w:szCs w:val="22"/>
        </w:rPr>
        <w:t>6</w:t>
      </w:r>
      <w:r w:rsidR="00927613">
        <w:rPr>
          <w:rFonts w:cs="Arial"/>
          <w:szCs w:val="22"/>
        </w:rPr>
        <w:t>/17</w:t>
      </w:r>
      <w:r w:rsidRPr="005B60C0">
        <w:rPr>
          <w:rFonts w:cs="Arial"/>
          <w:szCs w:val="22"/>
        </w:rPr>
        <w:t xml:space="preserve"> the Council has maintained gross borrowing within its authorised limit. </w:t>
      </w:r>
    </w:p>
    <w:p w:rsidR="006D4020" w:rsidRPr="00C549D3" w:rsidRDefault="006D4020" w:rsidP="006D4020">
      <w:pPr>
        <w:pStyle w:val="BodyText"/>
        <w:jc w:val="both"/>
        <w:rPr>
          <w:rFonts w:cs="Arial"/>
          <w:color w:val="3366FF"/>
          <w:szCs w:val="22"/>
        </w:rPr>
      </w:pPr>
    </w:p>
    <w:p w:rsidR="006D4020" w:rsidRPr="005B60C0" w:rsidRDefault="006D4020" w:rsidP="006D4020">
      <w:pPr>
        <w:pStyle w:val="BodyText"/>
        <w:ind w:left="360"/>
        <w:jc w:val="both"/>
        <w:rPr>
          <w:rFonts w:cs="Arial"/>
          <w:b/>
          <w:szCs w:val="22"/>
        </w:rPr>
      </w:pPr>
      <w:r w:rsidRPr="005B60C0">
        <w:rPr>
          <w:rFonts w:cs="Arial"/>
          <w:b/>
          <w:szCs w:val="22"/>
        </w:rPr>
        <w:t>The operational boundary</w:t>
      </w:r>
      <w:r w:rsidRPr="005B60C0">
        <w:rPr>
          <w:rFonts w:cs="Arial"/>
          <w:szCs w:val="22"/>
        </w:rPr>
        <w:t xml:space="preserve"> – the operational boundary is the expected borrowing position of the Council during the year.  Periods where the actual position is either below or over the boundary is acceptable subject to the authorised limit not being breached.</w:t>
      </w:r>
      <w:r w:rsidRPr="005B60C0">
        <w:rPr>
          <w:rFonts w:cs="Arial"/>
          <w:b/>
          <w:szCs w:val="22"/>
        </w:rPr>
        <w:t xml:space="preserve"> </w:t>
      </w:r>
    </w:p>
    <w:p w:rsidR="006D4020" w:rsidRPr="00C549D3" w:rsidRDefault="006D4020" w:rsidP="006D4020">
      <w:pPr>
        <w:pStyle w:val="BodyText"/>
        <w:ind w:left="360"/>
        <w:jc w:val="both"/>
        <w:rPr>
          <w:rFonts w:cs="Arial"/>
          <w:color w:val="3366FF"/>
          <w:szCs w:val="22"/>
        </w:rPr>
      </w:pPr>
    </w:p>
    <w:p w:rsidR="006D4020" w:rsidRPr="005B60C0" w:rsidRDefault="006D4020" w:rsidP="006D4020">
      <w:pPr>
        <w:pStyle w:val="BodyText"/>
        <w:ind w:left="360"/>
        <w:jc w:val="both"/>
        <w:rPr>
          <w:rFonts w:cs="Arial"/>
          <w:szCs w:val="22"/>
        </w:rPr>
      </w:pPr>
      <w:r w:rsidRPr="005B60C0">
        <w:rPr>
          <w:rFonts w:cs="Arial"/>
          <w:b/>
          <w:szCs w:val="22"/>
        </w:rPr>
        <w:t>Actual financing costs as a proportion of net revenue stream</w:t>
      </w:r>
      <w:r w:rsidRPr="005B60C0">
        <w:rPr>
          <w:rFonts w:cs="Arial"/>
          <w:szCs w:val="22"/>
        </w:rPr>
        <w:t xml:space="preserve"> - this indicator identifies the trend in the cost of capital (borrowing and other long term obligation costs net of investment income) against the net revenue stream.</w:t>
      </w:r>
    </w:p>
    <w:p w:rsidR="006D4020" w:rsidRPr="005B60C0" w:rsidRDefault="006D4020" w:rsidP="006D4020">
      <w:pPr>
        <w:pStyle w:val="BodyText"/>
        <w:jc w:val="both"/>
        <w:rPr>
          <w:rFonts w:cs="Arial"/>
          <w:szCs w:val="22"/>
        </w:rPr>
      </w:pPr>
    </w:p>
    <w:tbl>
      <w:tblPr>
        <w:tblW w:w="7984" w:type="dxa"/>
        <w:jc w:val="center"/>
        <w:tblInd w:w="1300" w:type="dxa"/>
        <w:tblBorders>
          <w:top w:val="single" w:sz="4" w:space="0" w:color="A1C6CF"/>
          <w:left w:val="single" w:sz="4" w:space="0" w:color="A1C6CF"/>
          <w:bottom w:val="single" w:sz="4" w:space="0" w:color="A1C6CF"/>
          <w:right w:val="single" w:sz="4" w:space="0" w:color="A1C6CF"/>
          <w:insideH w:val="single" w:sz="4" w:space="0" w:color="A1C6CF"/>
          <w:insideV w:val="single" w:sz="4" w:space="0" w:color="A1C6CF"/>
        </w:tblBorders>
        <w:tblLook w:val="0000" w:firstRow="0" w:lastRow="0" w:firstColumn="0" w:lastColumn="0" w:noHBand="0" w:noVBand="0"/>
      </w:tblPr>
      <w:tblGrid>
        <w:gridCol w:w="4114"/>
        <w:gridCol w:w="2025"/>
        <w:gridCol w:w="1845"/>
      </w:tblGrid>
      <w:tr w:rsidR="006D4020" w:rsidRPr="00C549D3" w:rsidTr="00B96299">
        <w:trPr>
          <w:trHeight w:val="410"/>
          <w:jc w:val="center"/>
        </w:trPr>
        <w:tc>
          <w:tcPr>
            <w:tcW w:w="4114" w:type="dxa"/>
            <w:tcBorders>
              <w:right w:val="single" w:sz="4" w:space="0" w:color="FFFFFF"/>
            </w:tcBorders>
            <w:shd w:val="clear" w:color="auto" w:fill="A1C6CF"/>
            <w:vAlign w:val="center"/>
          </w:tcPr>
          <w:p w:rsidR="006D4020" w:rsidRPr="00617DDB" w:rsidRDefault="006D4020" w:rsidP="00DB077B">
            <w:pPr>
              <w:pStyle w:val="BodyText"/>
              <w:jc w:val="center"/>
              <w:rPr>
                <w:rFonts w:cs="Arial"/>
                <w:b/>
                <w:bCs/>
                <w:sz w:val="20"/>
              </w:rPr>
            </w:pPr>
            <w:r w:rsidRPr="00617DDB">
              <w:rPr>
                <w:rFonts w:cs="Arial"/>
                <w:b/>
                <w:bCs/>
                <w:sz w:val="20"/>
              </w:rPr>
              <w:t xml:space="preserve">Gross Borrowing Within Authorised Limit </w:t>
            </w:r>
          </w:p>
        </w:tc>
        <w:tc>
          <w:tcPr>
            <w:tcW w:w="2025" w:type="dxa"/>
            <w:tcBorders>
              <w:left w:val="single" w:sz="4" w:space="0" w:color="FFFFFF"/>
              <w:right w:val="single" w:sz="4" w:space="0" w:color="FFFFFF"/>
            </w:tcBorders>
            <w:shd w:val="clear" w:color="auto" w:fill="A1C6CF"/>
            <w:vAlign w:val="center"/>
          </w:tcPr>
          <w:p w:rsidR="006D4020" w:rsidRPr="00617DDB" w:rsidRDefault="00927613" w:rsidP="00DB077B">
            <w:pPr>
              <w:pStyle w:val="BodyText"/>
              <w:jc w:val="center"/>
              <w:rPr>
                <w:rFonts w:cs="Arial"/>
                <w:b/>
                <w:bCs/>
                <w:sz w:val="20"/>
              </w:rPr>
            </w:pPr>
            <w:r>
              <w:rPr>
                <w:rFonts w:cs="Arial"/>
                <w:b/>
                <w:bCs/>
                <w:sz w:val="20"/>
              </w:rPr>
              <w:t>20</w:t>
            </w:r>
            <w:r w:rsidR="00617DDB" w:rsidRPr="00617DDB">
              <w:rPr>
                <w:rFonts w:cs="Arial"/>
                <w:b/>
                <w:bCs/>
                <w:sz w:val="20"/>
              </w:rPr>
              <w:t>15</w:t>
            </w:r>
            <w:r>
              <w:rPr>
                <w:rFonts w:cs="Arial"/>
                <w:b/>
                <w:bCs/>
                <w:sz w:val="20"/>
              </w:rPr>
              <w:t>/16</w:t>
            </w:r>
          </w:p>
          <w:p w:rsidR="006D4020" w:rsidRPr="00617DDB" w:rsidRDefault="006D4020" w:rsidP="00DB077B">
            <w:pPr>
              <w:pStyle w:val="BodyText"/>
              <w:jc w:val="center"/>
              <w:rPr>
                <w:rFonts w:cs="Arial"/>
                <w:b/>
                <w:bCs/>
                <w:sz w:val="20"/>
              </w:rPr>
            </w:pPr>
            <w:r w:rsidRPr="00617DDB">
              <w:rPr>
                <w:rFonts w:cs="Arial"/>
                <w:b/>
                <w:bCs/>
                <w:sz w:val="20"/>
              </w:rPr>
              <w:t>Actual</w:t>
            </w:r>
          </w:p>
        </w:tc>
        <w:tc>
          <w:tcPr>
            <w:tcW w:w="1845" w:type="dxa"/>
            <w:tcBorders>
              <w:left w:val="single" w:sz="4" w:space="0" w:color="FFFFFF"/>
            </w:tcBorders>
            <w:shd w:val="clear" w:color="auto" w:fill="A1C6CF"/>
            <w:vAlign w:val="center"/>
          </w:tcPr>
          <w:p w:rsidR="006D4020" w:rsidRPr="002C2C44" w:rsidRDefault="00927613" w:rsidP="00DB077B">
            <w:pPr>
              <w:pStyle w:val="BodyText"/>
              <w:jc w:val="center"/>
              <w:rPr>
                <w:rFonts w:cs="Arial"/>
                <w:b/>
                <w:bCs/>
                <w:sz w:val="20"/>
              </w:rPr>
            </w:pPr>
            <w:r>
              <w:rPr>
                <w:rFonts w:cs="Arial"/>
                <w:b/>
                <w:bCs/>
                <w:sz w:val="20"/>
              </w:rPr>
              <w:t>20</w:t>
            </w:r>
            <w:r w:rsidR="00EE0821" w:rsidRPr="002C2C44">
              <w:rPr>
                <w:rFonts w:cs="Arial"/>
                <w:b/>
                <w:bCs/>
                <w:sz w:val="20"/>
              </w:rPr>
              <w:t>1</w:t>
            </w:r>
            <w:r w:rsidR="00617DDB" w:rsidRPr="002C2C44">
              <w:rPr>
                <w:rFonts w:cs="Arial"/>
                <w:b/>
                <w:bCs/>
                <w:sz w:val="20"/>
              </w:rPr>
              <w:t>6</w:t>
            </w:r>
            <w:r>
              <w:rPr>
                <w:rFonts w:cs="Arial"/>
                <w:b/>
                <w:bCs/>
                <w:sz w:val="20"/>
              </w:rPr>
              <w:t>/17</w:t>
            </w:r>
          </w:p>
          <w:p w:rsidR="006D4020" w:rsidRPr="002C2C44" w:rsidRDefault="006D4020" w:rsidP="00DB077B">
            <w:pPr>
              <w:pStyle w:val="BodyText"/>
              <w:jc w:val="center"/>
              <w:rPr>
                <w:rFonts w:cs="Arial"/>
                <w:b/>
                <w:bCs/>
                <w:sz w:val="20"/>
              </w:rPr>
            </w:pPr>
            <w:r w:rsidRPr="002C2C44">
              <w:rPr>
                <w:rFonts w:cs="Arial"/>
                <w:b/>
                <w:bCs/>
                <w:sz w:val="20"/>
              </w:rPr>
              <w:t>Actual</w:t>
            </w:r>
          </w:p>
        </w:tc>
      </w:tr>
      <w:tr w:rsidR="006D4020" w:rsidRPr="00C549D3" w:rsidTr="00B96299">
        <w:trPr>
          <w:trHeight w:val="345"/>
          <w:jc w:val="center"/>
        </w:trPr>
        <w:tc>
          <w:tcPr>
            <w:tcW w:w="4114" w:type="dxa"/>
            <w:vAlign w:val="center"/>
          </w:tcPr>
          <w:p w:rsidR="006D4020" w:rsidRPr="00617DDB" w:rsidRDefault="006D4020" w:rsidP="00DB077B">
            <w:pPr>
              <w:pStyle w:val="BodyText"/>
              <w:rPr>
                <w:rFonts w:cs="Arial"/>
                <w:sz w:val="20"/>
              </w:rPr>
            </w:pPr>
            <w:r w:rsidRPr="00617DDB">
              <w:rPr>
                <w:rFonts w:cs="Arial"/>
                <w:sz w:val="20"/>
              </w:rPr>
              <w:t>Authorised Limit</w:t>
            </w:r>
          </w:p>
        </w:tc>
        <w:tc>
          <w:tcPr>
            <w:tcW w:w="2025" w:type="dxa"/>
            <w:vAlign w:val="center"/>
          </w:tcPr>
          <w:p w:rsidR="006D4020" w:rsidRPr="00617DDB" w:rsidRDefault="006D4020" w:rsidP="00DB077B">
            <w:pPr>
              <w:pStyle w:val="BodyText"/>
              <w:jc w:val="center"/>
              <w:rPr>
                <w:rFonts w:cs="Arial"/>
                <w:sz w:val="20"/>
              </w:rPr>
            </w:pPr>
            <w:r w:rsidRPr="00617DDB">
              <w:rPr>
                <w:rFonts w:cs="Arial"/>
                <w:sz w:val="20"/>
              </w:rPr>
              <w:t>£</w:t>
            </w:r>
            <w:r w:rsidR="00EE0821" w:rsidRPr="00617DDB">
              <w:rPr>
                <w:rFonts w:cs="Arial"/>
                <w:sz w:val="20"/>
              </w:rPr>
              <w:t>9</w:t>
            </w:r>
            <w:r w:rsidRPr="00617DDB">
              <w:rPr>
                <w:rFonts w:cs="Arial"/>
                <w:sz w:val="20"/>
              </w:rPr>
              <w:t>m</w:t>
            </w:r>
          </w:p>
        </w:tc>
        <w:tc>
          <w:tcPr>
            <w:tcW w:w="1845" w:type="dxa"/>
            <w:vAlign w:val="center"/>
          </w:tcPr>
          <w:p w:rsidR="006D4020" w:rsidRPr="002C2C44" w:rsidRDefault="00834A75" w:rsidP="00DB077B">
            <w:pPr>
              <w:pStyle w:val="BodyText"/>
              <w:jc w:val="center"/>
              <w:rPr>
                <w:rFonts w:cs="Arial"/>
                <w:sz w:val="20"/>
              </w:rPr>
            </w:pPr>
            <w:r>
              <w:rPr>
                <w:rFonts w:cs="Arial"/>
                <w:sz w:val="20"/>
              </w:rPr>
              <w:t>£12</w:t>
            </w:r>
            <w:r w:rsidR="006D4020" w:rsidRPr="002C2C44">
              <w:rPr>
                <w:rFonts w:cs="Arial"/>
                <w:sz w:val="20"/>
              </w:rPr>
              <w:t>m</w:t>
            </w:r>
          </w:p>
        </w:tc>
      </w:tr>
      <w:tr w:rsidR="006D4020" w:rsidRPr="00C549D3" w:rsidTr="00B96299">
        <w:trPr>
          <w:trHeight w:val="345"/>
          <w:jc w:val="center"/>
        </w:trPr>
        <w:tc>
          <w:tcPr>
            <w:tcW w:w="4114" w:type="dxa"/>
            <w:vAlign w:val="center"/>
          </w:tcPr>
          <w:p w:rsidR="006D4020" w:rsidRPr="00617DDB" w:rsidRDefault="006D4020" w:rsidP="00DB077B">
            <w:pPr>
              <w:pStyle w:val="BodyText"/>
              <w:rPr>
                <w:rFonts w:cs="Arial"/>
                <w:sz w:val="20"/>
              </w:rPr>
            </w:pPr>
            <w:r w:rsidRPr="00617DDB">
              <w:rPr>
                <w:rFonts w:cs="Arial"/>
                <w:sz w:val="20"/>
              </w:rPr>
              <w:t>Operational Boundary</w:t>
            </w:r>
          </w:p>
        </w:tc>
        <w:tc>
          <w:tcPr>
            <w:tcW w:w="2025" w:type="dxa"/>
            <w:vAlign w:val="center"/>
          </w:tcPr>
          <w:p w:rsidR="006D4020" w:rsidRPr="00617DDB" w:rsidRDefault="006D4020" w:rsidP="00DB077B">
            <w:pPr>
              <w:pStyle w:val="BodyText"/>
              <w:jc w:val="center"/>
              <w:rPr>
                <w:rFonts w:cs="Arial"/>
                <w:sz w:val="20"/>
              </w:rPr>
            </w:pPr>
            <w:r w:rsidRPr="00617DDB">
              <w:rPr>
                <w:rFonts w:cs="Arial"/>
                <w:sz w:val="20"/>
              </w:rPr>
              <w:t>£</w:t>
            </w:r>
            <w:r w:rsidR="00EE0821" w:rsidRPr="00617DDB">
              <w:rPr>
                <w:rFonts w:cs="Arial"/>
                <w:sz w:val="20"/>
              </w:rPr>
              <w:t>7</w:t>
            </w:r>
            <w:r w:rsidRPr="00617DDB">
              <w:rPr>
                <w:rFonts w:cs="Arial"/>
                <w:sz w:val="20"/>
              </w:rPr>
              <w:t>m</w:t>
            </w:r>
          </w:p>
        </w:tc>
        <w:tc>
          <w:tcPr>
            <w:tcW w:w="1845" w:type="dxa"/>
            <w:vAlign w:val="center"/>
          </w:tcPr>
          <w:p w:rsidR="006D4020" w:rsidRPr="002C2C44" w:rsidRDefault="00834A75" w:rsidP="00DB077B">
            <w:pPr>
              <w:pStyle w:val="BodyText"/>
              <w:jc w:val="center"/>
              <w:rPr>
                <w:rFonts w:cs="Arial"/>
                <w:sz w:val="20"/>
              </w:rPr>
            </w:pPr>
            <w:r>
              <w:rPr>
                <w:rFonts w:cs="Arial"/>
                <w:sz w:val="20"/>
              </w:rPr>
              <w:t>£10</w:t>
            </w:r>
            <w:r w:rsidR="006D4020" w:rsidRPr="002C2C44">
              <w:rPr>
                <w:rFonts w:cs="Arial"/>
                <w:sz w:val="20"/>
              </w:rPr>
              <w:t>m</w:t>
            </w:r>
          </w:p>
        </w:tc>
      </w:tr>
      <w:tr w:rsidR="006D4020" w:rsidRPr="00C549D3" w:rsidTr="00B96299">
        <w:trPr>
          <w:trHeight w:val="345"/>
          <w:jc w:val="center"/>
        </w:trPr>
        <w:tc>
          <w:tcPr>
            <w:tcW w:w="4114" w:type="dxa"/>
            <w:vAlign w:val="center"/>
          </w:tcPr>
          <w:p w:rsidR="006D4020" w:rsidRPr="00617DDB" w:rsidRDefault="006D4020" w:rsidP="00DB077B">
            <w:pPr>
              <w:pStyle w:val="BodyText"/>
              <w:rPr>
                <w:rFonts w:cs="Arial"/>
                <w:sz w:val="20"/>
              </w:rPr>
            </w:pPr>
            <w:r w:rsidRPr="00617DDB">
              <w:rPr>
                <w:rFonts w:cs="Arial"/>
                <w:sz w:val="20"/>
              </w:rPr>
              <w:t xml:space="preserve">Average Gross Borrowing Position </w:t>
            </w:r>
          </w:p>
        </w:tc>
        <w:tc>
          <w:tcPr>
            <w:tcW w:w="2025" w:type="dxa"/>
            <w:vAlign w:val="center"/>
          </w:tcPr>
          <w:p w:rsidR="006D4020" w:rsidRPr="00617DDB" w:rsidRDefault="006D4020" w:rsidP="00DB077B">
            <w:pPr>
              <w:pStyle w:val="BodyText"/>
              <w:jc w:val="center"/>
              <w:rPr>
                <w:rFonts w:cs="Arial"/>
                <w:sz w:val="20"/>
              </w:rPr>
            </w:pPr>
            <w:r w:rsidRPr="00617DDB">
              <w:rPr>
                <w:rFonts w:cs="Arial"/>
                <w:sz w:val="20"/>
              </w:rPr>
              <w:t>Nil</w:t>
            </w:r>
          </w:p>
        </w:tc>
        <w:tc>
          <w:tcPr>
            <w:tcW w:w="1845" w:type="dxa"/>
            <w:vAlign w:val="center"/>
          </w:tcPr>
          <w:p w:rsidR="006D4020" w:rsidRPr="002C2C44" w:rsidRDefault="006D4020" w:rsidP="00DB077B">
            <w:pPr>
              <w:pStyle w:val="BodyText"/>
              <w:jc w:val="center"/>
              <w:rPr>
                <w:rFonts w:cs="Arial"/>
                <w:sz w:val="20"/>
              </w:rPr>
            </w:pPr>
            <w:r w:rsidRPr="002C2C44">
              <w:rPr>
                <w:rFonts w:cs="Arial"/>
                <w:sz w:val="20"/>
              </w:rPr>
              <w:t>Nil</w:t>
            </w:r>
          </w:p>
        </w:tc>
      </w:tr>
      <w:tr w:rsidR="006D4020" w:rsidRPr="00C549D3" w:rsidTr="00B96299">
        <w:trPr>
          <w:trHeight w:val="345"/>
          <w:jc w:val="center"/>
        </w:trPr>
        <w:tc>
          <w:tcPr>
            <w:tcW w:w="4114" w:type="dxa"/>
            <w:tcBorders>
              <w:top w:val="single" w:sz="4" w:space="0" w:color="A1C6CF"/>
              <w:left w:val="single" w:sz="4" w:space="0" w:color="A1C6CF"/>
              <w:bottom w:val="single" w:sz="4" w:space="0" w:color="A1C6CF"/>
              <w:right w:val="single" w:sz="4" w:space="0" w:color="A1C6CF"/>
            </w:tcBorders>
            <w:vAlign w:val="center"/>
          </w:tcPr>
          <w:p w:rsidR="006D4020" w:rsidRPr="00617DDB" w:rsidRDefault="006D4020" w:rsidP="00DB077B">
            <w:pPr>
              <w:pStyle w:val="BodyText"/>
              <w:rPr>
                <w:rFonts w:cs="Arial"/>
                <w:sz w:val="20"/>
              </w:rPr>
            </w:pPr>
            <w:r w:rsidRPr="00617DDB">
              <w:rPr>
                <w:rFonts w:cs="Arial"/>
                <w:sz w:val="20"/>
              </w:rPr>
              <w:t xml:space="preserve">Financing Costs as a Proportion of Net Revenue Stream </w:t>
            </w:r>
            <w:r w:rsidR="006D04D5" w:rsidRPr="00617DDB">
              <w:rPr>
                <w:rFonts w:cs="Arial"/>
                <w:sz w:val="20"/>
              </w:rPr>
              <w:t>(Interest over net cost of services)</w:t>
            </w:r>
          </w:p>
        </w:tc>
        <w:tc>
          <w:tcPr>
            <w:tcW w:w="2025" w:type="dxa"/>
            <w:tcBorders>
              <w:top w:val="single" w:sz="4" w:space="0" w:color="A1C6CF"/>
              <w:left w:val="single" w:sz="4" w:space="0" w:color="A1C6CF"/>
              <w:bottom w:val="single" w:sz="4" w:space="0" w:color="A1C6CF"/>
              <w:right w:val="single" w:sz="4" w:space="0" w:color="A1C6CF"/>
            </w:tcBorders>
            <w:vAlign w:val="center"/>
          </w:tcPr>
          <w:p w:rsidR="006D4020" w:rsidRPr="00617DDB" w:rsidRDefault="006D4020" w:rsidP="00DB077B">
            <w:pPr>
              <w:pStyle w:val="BodyText"/>
              <w:jc w:val="center"/>
              <w:rPr>
                <w:rFonts w:cs="Arial"/>
                <w:sz w:val="20"/>
              </w:rPr>
            </w:pPr>
            <w:r w:rsidRPr="00617DDB">
              <w:rPr>
                <w:rFonts w:cs="Arial"/>
                <w:sz w:val="20"/>
              </w:rPr>
              <w:t>-</w:t>
            </w:r>
            <w:r w:rsidR="00EE0821" w:rsidRPr="00617DDB">
              <w:rPr>
                <w:rFonts w:cs="Arial"/>
                <w:sz w:val="20"/>
              </w:rPr>
              <w:t>1.</w:t>
            </w:r>
            <w:r w:rsidR="00927613">
              <w:rPr>
                <w:rFonts w:cs="Arial"/>
                <w:sz w:val="20"/>
              </w:rPr>
              <w:t>92</w:t>
            </w:r>
            <w:r w:rsidRPr="00617DDB">
              <w:rPr>
                <w:rFonts w:cs="Arial"/>
                <w:sz w:val="20"/>
              </w:rPr>
              <w:t>%</w:t>
            </w:r>
          </w:p>
        </w:tc>
        <w:tc>
          <w:tcPr>
            <w:tcW w:w="1845" w:type="dxa"/>
            <w:tcBorders>
              <w:top w:val="single" w:sz="4" w:space="0" w:color="A1C6CF"/>
              <w:left w:val="single" w:sz="4" w:space="0" w:color="A1C6CF"/>
              <w:bottom w:val="single" w:sz="4" w:space="0" w:color="A1C6CF"/>
              <w:right w:val="single" w:sz="4" w:space="0" w:color="A1C6CF"/>
            </w:tcBorders>
            <w:vAlign w:val="center"/>
          </w:tcPr>
          <w:p w:rsidR="006D4020" w:rsidRPr="001340FA" w:rsidRDefault="00927613" w:rsidP="00B30B75">
            <w:pPr>
              <w:pStyle w:val="BodyText"/>
              <w:jc w:val="center"/>
              <w:rPr>
                <w:rFonts w:cs="Arial"/>
                <w:sz w:val="20"/>
              </w:rPr>
            </w:pPr>
            <w:r>
              <w:rPr>
                <w:rFonts w:cs="Arial"/>
                <w:sz w:val="20"/>
              </w:rPr>
              <w:t>-</w:t>
            </w:r>
            <w:r w:rsidR="00B30B75">
              <w:rPr>
                <w:rFonts w:cs="Arial"/>
                <w:sz w:val="20"/>
              </w:rPr>
              <w:t>1.62</w:t>
            </w:r>
            <w:r w:rsidR="001340FA" w:rsidRPr="001340FA">
              <w:rPr>
                <w:rFonts w:cs="Arial"/>
                <w:sz w:val="20"/>
              </w:rPr>
              <w:t>%</w:t>
            </w:r>
          </w:p>
        </w:tc>
      </w:tr>
    </w:tbl>
    <w:p w:rsidR="006D4020" w:rsidRPr="00C549D3" w:rsidRDefault="006D4020" w:rsidP="006D4020">
      <w:pPr>
        <w:pStyle w:val="BodyText"/>
        <w:ind w:left="357"/>
        <w:jc w:val="both"/>
        <w:rPr>
          <w:rFonts w:cs="Arial"/>
          <w:color w:val="3366FF"/>
          <w:szCs w:val="22"/>
        </w:rPr>
      </w:pPr>
    </w:p>
    <w:p w:rsidR="006D4020" w:rsidRPr="002C2C44" w:rsidRDefault="006D4020" w:rsidP="006D4020">
      <w:pPr>
        <w:tabs>
          <w:tab w:val="left" w:pos="360"/>
        </w:tabs>
        <w:jc w:val="both"/>
        <w:rPr>
          <w:rFonts w:cs="Arial"/>
          <w:b/>
          <w:sz w:val="22"/>
          <w:szCs w:val="22"/>
        </w:rPr>
      </w:pPr>
      <w:r w:rsidRPr="002C2C44">
        <w:rPr>
          <w:rFonts w:cs="Arial"/>
          <w:b/>
          <w:sz w:val="22"/>
          <w:szCs w:val="22"/>
        </w:rPr>
        <w:t>4.</w:t>
      </w:r>
      <w:r w:rsidRPr="002C2C44">
        <w:rPr>
          <w:rFonts w:cs="Arial"/>
          <w:b/>
          <w:sz w:val="22"/>
          <w:szCs w:val="22"/>
        </w:rPr>
        <w:tab/>
        <w:t xml:space="preserve">Overall Treasury Position and the Impact on Investment Balances </w:t>
      </w:r>
    </w:p>
    <w:p w:rsidR="006D4020" w:rsidRPr="002C2C44" w:rsidRDefault="006D4020" w:rsidP="006D4020">
      <w:pPr>
        <w:jc w:val="both"/>
        <w:rPr>
          <w:rFonts w:cs="Arial"/>
          <w:sz w:val="22"/>
          <w:szCs w:val="22"/>
        </w:rPr>
      </w:pPr>
    </w:p>
    <w:p w:rsidR="006D4020" w:rsidRDefault="006D4020" w:rsidP="006D4020">
      <w:pPr>
        <w:ind w:left="360"/>
        <w:jc w:val="both"/>
        <w:rPr>
          <w:rFonts w:cs="Arial"/>
          <w:sz w:val="22"/>
          <w:szCs w:val="22"/>
        </w:rPr>
      </w:pPr>
      <w:r w:rsidRPr="002C2C44">
        <w:rPr>
          <w:rFonts w:cs="Arial"/>
          <w:sz w:val="22"/>
          <w:szCs w:val="22"/>
        </w:rPr>
        <w:t xml:space="preserve">The Council’s debt and investment position is organised by the treasury management service in order to ensure adequate liquidity for revenue and capital activities, security for investments and to manage risks within all treasury management activities. Procedures and controls to achieve these objectives are well established both through Member reporting and through officer activity detailed in the Council’s Treasury Management Practices. At the beginning and the end of </w:t>
      </w:r>
      <w:r w:rsidR="00C50A87">
        <w:rPr>
          <w:rFonts w:cs="Arial"/>
          <w:sz w:val="22"/>
          <w:szCs w:val="22"/>
        </w:rPr>
        <w:t>20</w:t>
      </w:r>
      <w:r w:rsidR="00EE0821" w:rsidRPr="002C2C44">
        <w:rPr>
          <w:rFonts w:cs="Arial"/>
          <w:sz w:val="22"/>
          <w:szCs w:val="22"/>
        </w:rPr>
        <w:t>1</w:t>
      </w:r>
      <w:r w:rsidR="002C2C44" w:rsidRPr="002C2C44">
        <w:rPr>
          <w:rFonts w:cs="Arial"/>
          <w:sz w:val="22"/>
          <w:szCs w:val="22"/>
        </w:rPr>
        <w:t>6</w:t>
      </w:r>
      <w:r w:rsidR="00C50A87">
        <w:rPr>
          <w:rFonts w:cs="Arial"/>
          <w:sz w:val="22"/>
          <w:szCs w:val="22"/>
        </w:rPr>
        <w:t>/17 the Council‘s T</w:t>
      </w:r>
      <w:r w:rsidRPr="002C2C44">
        <w:rPr>
          <w:rFonts w:cs="Arial"/>
          <w:sz w:val="22"/>
          <w:szCs w:val="22"/>
        </w:rPr>
        <w:t>reasury position was as follows:</w:t>
      </w:r>
    </w:p>
    <w:p w:rsidR="001340FA" w:rsidRPr="002C2C44" w:rsidRDefault="001340FA" w:rsidP="006D4020">
      <w:pPr>
        <w:ind w:left="360"/>
        <w:jc w:val="both"/>
        <w:rPr>
          <w:rFonts w:cs="Arial"/>
          <w:sz w:val="22"/>
          <w:szCs w:val="22"/>
        </w:rPr>
      </w:pPr>
    </w:p>
    <w:p w:rsidR="006D4020" w:rsidRPr="002C2C44" w:rsidRDefault="006D4020" w:rsidP="006D4020">
      <w:pPr>
        <w:jc w:val="both"/>
        <w:rPr>
          <w:rFonts w:cs="Arial"/>
          <w:sz w:val="22"/>
          <w:szCs w:val="22"/>
        </w:rPr>
      </w:pPr>
    </w:p>
    <w:tbl>
      <w:tblPr>
        <w:tblpPr w:leftFromText="180" w:rightFromText="180" w:vertAnchor="text" w:horzAnchor="margin" w:tblpXSpec="center" w:tblpY="104"/>
        <w:tblW w:w="8088" w:type="dxa"/>
        <w:tblBorders>
          <w:top w:val="single" w:sz="6" w:space="0" w:color="A1C6CF"/>
          <w:left w:val="single" w:sz="6" w:space="0" w:color="A1C6CF"/>
          <w:bottom w:val="single" w:sz="6" w:space="0" w:color="A1C6CF"/>
          <w:right w:val="single" w:sz="6" w:space="0" w:color="A1C6CF"/>
          <w:insideH w:val="single" w:sz="6" w:space="0" w:color="A1C6CF"/>
          <w:insideV w:val="single" w:sz="6" w:space="0" w:color="A1C6CF"/>
        </w:tblBorders>
        <w:tblLayout w:type="fixed"/>
        <w:tblCellMar>
          <w:left w:w="0" w:type="dxa"/>
          <w:right w:w="0" w:type="dxa"/>
        </w:tblCellMar>
        <w:tblLook w:val="0000" w:firstRow="0" w:lastRow="0" w:firstColumn="0" w:lastColumn="0" w:noHBand="0" w:noVBand="0"/>
      </w:tblPr>
      <w:tblGrid>
        <w:gridCol w:w="3371"/>
        <w:gridCol w:w="1260"/>
        <w:gridCol w:w="900"/>
        <w:gridCol w:w="1260"/>
        <w:gridCol w:w="1297"/>
      </w:tblGrid>
      <w:tr w:rsidR="006D4020" w:rsidRPr="00C549D3" w:rsidTr="00DB077B">
        <w:trPr>
          <w:trHeight w:val="810"/>
        </w:trPr>
        <w:tc>
          <w:tcPr>
            <w:tcW w:w="3371" w:type="dxa"/>
            <w:tcBorders>
              <w:top w:val="single" w:sz="6" w:space="0" w:color="FFFFFF"/>
              <w:left w:val="single" w:sz="6" w:space="0" w:color="FFFFFF"/>
              <w:bottom w:val="single" w:sz="6" w:space="0" w:color="FFFFFF"/>
              <w:right w:val="single" w:sz="6" w:space="0" w:color="FFFFFF"/>
            </w:tcBorders>
            <w:shd w:val="clear" w:color="auto" w:fill="A1C6CF"/>
            <w:vAlign w:val="center"/>
          </w:tcPr>
          <w:p w:rsidR="006D4020" w:rsidRPr="002C2C44" w:rsidRDefault="006D4020" w:rsidP="00DB077B">
            <w:pPr>
              <w:ind w:left="8"/>
              <w:rPr>
                <w:rFonts w:eastAsia="Arial Unicode MS" w:cs="Arial"/>
                <w:b/>
                <w:sz w:val="20"/>
              </w:rPr>
            </w:pPr>
          </w:p>
          <w:p w:rsidR="006D4020" w:rsidRPr="002C2C44" w:rsidRDefault="006D4020" w:rsidP="00DB077B">
            <w:pPr>
              <w:ind w:left="8"/>
              <w:jc w:val="center"/>
              <w:rPr>
                <w:rFonts w:eastAsia="Arial Unicode MS" w:cs="Arial"/>
                <w:b/>
                <w:sz w:val="20"/>
              </w:rPr>
            </w:pPr>
            <w:r w:rsidRPr="002C2C44">
              <w:rPr>
                <w:rFonts w:eastAsia="Arial Unicode MS" w:cs="Arial"/>
                <w:b/>
                <w:sz w:val="20"/>
              </w:rPr>
              <w:t>Treasury Position</w:t>
            </w:r>
          </w:p>
          <w:p w:rsidR="006D4020" w:rsidRPr="002C2C44" w:rsidRDefault="006D4020" w:rsidP="00DB077B">
            <w:pPr>
              <w:ind w:left="8"/>
              <w:rPr>
                <w:rFonts w:eastAsia="Arial Unicode MS" w:cs="Arial"/>
                <w:b/>
                <w:sz w:val="20"/>
              </w:rPr>
            </w:pPr>
          </w:p>
        </w:tc>
        <w:tc>
          <w:tcPr>
            <w:tcW w:w="1260" w:type="dxa"/>
            <w:tcBorders>
              <w:top w:val="single" w:sz="6" w:space="0" w:color="FFFFFF"/>
              <w:left w:val="single" w:sz="6" w:space="0" w:color="FFFFFF"/>
              <w:bottom w:val="single" w:sz="6" w:space="0" w:color="FFFFFF"/>
              <w:right w:val="single" w:sz="6" w:space="0" w:color="FFFFFF"/>
            </w:tcBorders>
            <w:shd w:val="clear" w:color="auto" w:fill="A1C6CF"/>
            <w:vAlign w:val="center"/>
          </w:tcPr>
          <w:p w:rsidR="006D4020" w:rsidRDefault="006D4020" w:rsidP="00DB077B">
            <w:pPr>
              <w:jc w:val="center"/>
              <w:rPr>
                <w:rFonts w:cs="Arial"/>
                <w:b/>
                <w:sz w:val="20"/>
              </w:rPr>
            </w:pPr>
            <w:r w:rsidRPr="002C2C44">
              <w:rPr>
                <w:rFonts w:cs="Arial"/>
                <w:b/>
                <w:sz w:val="20"/>
              </w:rPr>
              <w:t>31 March 20</w:t>
            </w:r>
            <w:r w:rsidR="00EE0821" w:rsidRPr="002C2C44">
              <w:rPr>
                <w:rFonts w:cs="Arial"/>
                <w:b/>
                <w:sz w:val="20"/>
              </w:rPr>
              <w:t>1</w:t>
            </w:r>
            <w:r w:rsidR="0045269A">
              <w:rPr>
                <w:rFonts w:cs="Arial"/>
                <w:b/>
                <w:sz w:val="20"/>
              </w:rPr>
              <w:t>6</w:t>
            </w:r>
            <w:r w:rsidRPr="002C2C44">
              <w:rPr>
                <w:rFonts w:cs="Arial"/>
                <w:b/>
                <w:sz w:val="20"/>
              </w:rPr>
              <w:t xml:space="preserve"> Principal</w:t>
            </w:r>
          </w:p>
          <w:p w:rsidR="00604F7D" w:rsidRPr="002C2C44" w:rsidRDefault="00604F7D" w:rsidP="00DB077B">
            <w:pPr>
              <w:jc w:val="center"/>
              <w:rPr>
                <w:rFonts w:eastAsia="Arial Unicode MS" w:cs="Arial"/>
                <w:b/>
                <w:sz w:val="20"/>
              </w:rPr>
            </w:pPr>
            <w:r>
              <w:rPr>
                <w:rFonts w:cs="Arial"/>
                <w:b/>
                <w:sz w:val="20"/>
              </w:rPr>
              <w:t>£</w:t>
            </w:r>
          </w:p>
        </w:tc>
        <w:tc>
          <w:tcPr>
            <w:tcW w:w="900" w:type="dxa"/>
            <w:tcBorders>
              <w:top w:val="single" w:sz="6" w:space="0" w:color="FFFFFF"/>
              <w:left w:val="single" w:sz="6" w:space="0" w:color="FFFFFF"/>
              <w:bottom w:val="single" w:sz="6" w:space="0" w:color="FFFFFF"/>
              <w:right w:val="single" w:sz="6" w:space="0" w:color="FFFFFF"/>
            </w:tcBorders>
            <w:shd w:val="clear" w:color="auto" w:fill="A1C6CF"/>
            <w:vAlign w:val="center"/>
          </w:tcPr>
          <w:p w:rsidR="006D4020" w:rsidRDefault="006D4020" w:rsidP="00DB077B">
            <w:pPr>
              <w:jc w:val="center"/>
              <w:rPr>
                <w:rFonts w:cs="Arial"/>
                <w:b/>
                <w:sz w:val="20"/>
              </w:rPr>
            </w:pPr>
            <w:r w:rsidRPr="002C2C44">
              <w:rPr>
                <w:rFonts w:cs="Arial"/>
                <w:b/>
                <w:sz w:val="20"/>
              </w:rPr>
              <w:t>Rate/ Return</w:t>
            </w:r>
          </w:p>
          <w:p w:rsidR="00604F7D" w:rsidRPr="002C2C44" w:rsidRDefault="00604F7D" w:rsidP="00DB077B">
            <w:pPr>
              <w:jc w:val="center"/>
              <w:rPr>
                <w:rFonts w:eastAsia="Arial Unicode MS" w:cs="Arial"/>
                <w:b/>
                <w:sz w:val="20"/>
              </w:rPr>
            </w:pPr>
            <w:r>
              <w:rPr>
                <w:rFonts w:cs="Arial"/>
                <w:b/>
                <w:sz w:val="20"/>
              </w:rPr>
              <w:t>%</w:t>
            </w:r>
          </w:p>
        </w:tc>
        <w:tc>
          <w:tcPr>
            <w:tcW w:w="1260" w:type="dxa"/>
            <w:tcBorders>
              <w:top w:val="single" w:sz="6" w:space="0" w:color="FFFFFF"/>
              <w:left w:val="single" w:sz="6" w:space="0" w:color="FFFFFF"/>
              <w:bottom w:val="single" w:sz="6" w:space="0" w:color="FFFFFF"/>
              <w:right w:val="single" w:sz="6" w:space="0" w:color="FFFFFF"/>
            </w:tcBorders>
            <w:shd w:val="clear" w:color="auto" w:fill="A1C6CF"/>
            <w:vAlign w:val="center"/>
          </w:tcPr>
          <w:p w:rsidR="006D4020" w:rsidRDefault="006D4020" w:rsidP="00DB077B">
            <w:pPr>
              <w:jc w:val="center"/>
              <w:rPr>
                <w:rFonts w:cs="Arial"/>
                <w:b/>
                <w:sz w:val="20"/>
              </w:rPr>
            </w:pPr>
            <w:r w:rsidRPr="002C2C44">
              <w:rPr>
                <w:rFonts w:cs="Arial"/>
                <w:b/>
                <w:sz w:val="20"/>
              </w:rPr>
              <w:t>31 March 20</w:t>
            </w:r>
            <w:r w:rsidR="00EE0821" w:rsidRPr="002C2C44">
              <w:rPr>
                <w:rFonts w:cs="Arial"/>
                <w:b/>
                <w:sz w:val="20"/>
              </w:rPr>
              <w:t>1</w:t>
            </w:r>
            <w:r w:rsidR="0045269A">
              <w:rPr>
                <w:rFonts w:cs="Arial"/>
                <w:b/>
                <w:sz w:val="20"/>
              </w:rPr>
              <w:t>7</w:t>
            </w:r>
            <w:r w:rsidRPr="002C2C44">
              <w:rPr>
                <w:rFonts w:cs="Arial"/>
                <w:b/>
                <w:sz w:val="20"/>
              </w:rPr>
              <w:t xml:space="preserve"> Principal</w:t>
            </w:r>
          </w:p>
          <w:p w:rsidR="00604F7D" w:rsidRPr="002C2C44" w:rsidRDefault="00604F7D" w:rsidP="00DB077B">
            <w:pPr>
              <w:jc w:val="center"/>
              <w:rPr>
                <w:rFonts w:eastAsia="Arial Unicode MS" w:cs="Arial"/>
                <w:b/>
                <w:sz w:val="20"/>
              </w:rPr>
            </w:pPr>
            <w:r>
              <w:rPr>
                <w:rFonts w:cs="Arial"/>
                <w:b/>
                <w:sz w:val="20"/>
              </w:rPr>
              <w:t>£</w:t>
            </w:r>
          </w:p>
        </w:tc>
        <w:tc>
          <w:tcPr>
            <w:tcW w:w="1297" w:type="dxa"/>
            <w:tcBorders>
              <w:top w:val="single" w:sz="6" w:space="0" w:color="FFFFFF"/>
              <w:left w:val="single" w:sz="6" w:space="0" w:color="FFFFFF"/>
              <w:bottom w:val="single" w:sz="6" w:space="0" w:color="FFFFFF"/>
              <w:right w:val="single" w:sz="6" w:space="0" w:color="FFFFFF"/>
            </w:tcBorders>
            <w:shd w:val="clear" w:color="auto" w:fill="A1C6CF"/>
            <w:vAlign w:val="center"/>
          </w:tcPr>
          <w:p w:rsidR="006D4020" w:rsidRDefault="006D4020" w:rsidP="00DB077B">
            <w:pPr>
              <w:jc w:val="center"/>
              <w:rPr>
                <w:rFonts w:cs="Arial"/>
                <w:b/>
                <w:sz w:val="20"/>
              </w:rPr>
            </w:pPr>
            <w:r w:rsidRPr="002C2C44">
              <w:rPr>
                <w:rFonts w:cs="Arial"/>
                <w:b/>
                <w:sz w:val="20"/>
              </w:rPr>
              <w:t>Rate/ Return</w:t>
            </w:r>
          </w:p>
          <w:p w:rsidR="00604F7D" w:rsidRPr="002C2C44" w:rsidRDefault="00604F7D" w:rsidP="00DB077B">
            <w:pPr>
              <w:jc w:val="center"/>
              <w:rPr>
                <w:rFonts w:cs="Arial"/>
                <w:b/>
                <w:sz w:val="20"/>
              </w:rPr>
            </w:pPr>
            <w:r>
              <w:rPr>
                <w:rFonts w:cs="Arial"/>
                <w:b/>
                <w:sz w:val="20"/>
              </w:rPr>
              <w:t>%</w:t>
            </w:r>
          </w:p>
        </w:tc>
      </w:tr>
      <w:tr w:rsidR="006D4020" w:rsidRPr="00C549D3" w:rsidTr="00DB077B">
        <w:trPr>
          <w:trHeight w:val="393"/>
        </w:trPr>
        <w:tc>
          <w:tcPr>
            <w:tcW w:w="3371" w:type="dxa"/>
            <w:tcBorders>
              <w:top w:val="single" w:sz="6" w:space="0" w:color="FFFFFF"/>
            </w:tcBorders>
            <w:shd w:val="clear" w:color="auto" w:fill="auto"/>
            <w:vAlign w:val="center"/>
          </w:tcPr>
          <w:p w:rsidR="006D4020" w:rsidRPr="002C2C44" w:rsidRDefault="006D4020" w:rsidP="00DB077B">
            <w:pPr>
              <w:ind w:left="8"/>
              <w:rPr>
                <w:rFonts w:cs="Arial"/>
                <w:sz w:val="20"/>
              </w:rPr>
            </w:pPr>
            <w:r w:rsidRPr="002C2C44">
              <w:rPr>
                <w:rFonts w:cs="Arial"/>
                <w:sz w:val="20"/>
              </w:rPr>
              <w:t>Total Debt</w:t>
            </w:r>
          </w:p>
        </w:tc>
        <w:tc>
          <w:tcPr>
            <w:tcW w:w="1260" w:type="dxa"/>
            <w:tcBorders>
              <w:top w:val="single" w:sz="6" w:space="0" w:color="FFFFFF"/>
            </w:tcBorders>
            <w:shd w:val="clear" w:color="auto" w:fill="auto"/>
            <w:vAlign w:val="center"/>
          </w:tcPr>
          <w:p w:rsidR="006D4020" w:rsidRPr="002C2C44" w:rsidRDefault="006D4020" w:rsidP="00DB077B">
            <w:pPr>
              <w:jc w:val="center"/>
              <w:rPr>
                <w:rFonts w:cs="Arial"/>
                <w:sz w:val="20"/>
              </w:rPr>
            </w:pPr>
            <w:r w:rsidRPr="002C2C44">
              <w:rPr>
                <w:rFonts w:cs="Arial"/>
                <w:sz w:val="20"/>
              </w:rPr>
              <w:t>Nil</w:t>
            </w:r>
          </w:p>
        </w:tc>
        <w:tc>
          <w:tcPr>
            <w:tcW w:w="900" w:type="dxa"/>
            <w:tcBorders>
              <w:top w:val="single" w:sz="6" w:space="0" w:color="FFFFFF"/>
            </w:tcBorders>
            <w:shd w:val="clear" w:color="auto" w:fill="00CCFF"/>
            <w:vAlign w:val="center"/>
          </w:tcPr>
          <w:p w:rsidR="006D4020" w:rsidRPr="00C549D3" w:rsidRDefault="006D4020" w:rsidP="00DB077B">
            <w:pPr>
              <w:jc w:val="center"/>
              <w:rPr>
                <w:rFonts w:cs="Arial"/>
                <w:color w:val="3366FF"/>
                <w:sz w:val="20"/>
              </w:rPr>
            </w:pPr>
          </w:p>
        </w:tc>
        <w:tc>
          <w:tcPr>
            <w:tcW w:w="1260" w:type="dxa"/>
            <w:tcBorders>
              <w:top w:val="single" w:sz="6" w:space="0" w:color="FFFFFF"/>
            </w:tcBorders>
            <w:shd w:val="clear" w:color="auto" w:fill="auto"/>
            <w:vAlign w:val="center"/>
          </w:tcPr>
          <w:p w:rsidR="006D4020" w:rsidRPr="00604F7D" w:rsidRDefault="006D4020" w:rsidP="00DB077B">
            <w:pPr>
              <w:jc w:val="center"/>
              <w:rPr>
                <w:rFonts w:cs="Arial"/>
                <w:sz w:val="20"/>
              </w:rPr>
            </w:pPr>
            <w:r w:rsidRPr="00604F7D">
              <w:rPr>
                <w:rFonts w:cs="Arial"/>
                <w:sz w:val="20"/>
              </w:rPr>
              <w:t>Nil</w:t>
            </w:r>
          </w:p>
        </w:tc>
        <w:tc>
          <w:tcPr>
            <w:tcW w:w="1297" w:type="dxa"/>
            <w:tcBorders>
              <w:top w:val="single" w:sz="6" w:space="0" w:color="FFFFFF"/>
            </w:tcBorders>
            <w:shd w:val="clear" w:color="auto" w:fill="00CCFF"/>
            <w:vAlign w:val="center"/>
          </w:tcPr>
          <w:p w:rsidR="006D4020" w:rsidRPr="00604F7D" w:rsidRDefault="006D4020" w:rsidP="00DB077B">
            <w:pPr>
              <w:jc w:val="center"/>
              <w:rPr>
                <w:rFonts w:cs="Arial"/>
                <w:i/>
                <w:sz w:val="20"/>
              </w:rPr>
            </w:pPr>
          </w:p>
        </w:tc>
      </w:tr>
      <w:tr w:rsidR="006D4020" w:rsidRPr="00C549D3" w:rsidTr="00DB077B">
        <w:trPr>
          <w:trHeight w:val="322"/>
        </w:trPr>
        <w:tc>
          <w:tcPr>
            <w:tcW w:w="3371" w:type="dxa"/>
            <w:shd w:val="clear" w:color="auto" w:fill="auto"/>
            <w:vAlign w:val="center"/>
          </w:tcPr>
          <w:p w:rsidR="006D4020" w:rsidRPr="002C2C44" w:rsidRDefault="006D4020" w:rsidP="00DB077B">
            <w:pPr>
              <w:ind w:left="8"/>
              <w:rPr>
                <w:rFonts w:cs="Arial"/>
                <w:sz w:val="20"/>
              </w:rPr>
            </w:pPr>
            <w:r w:rsidRPr="002C2C44">
              <w:rPr>
                <w:rFonts w:cs="Arial"/>
                <w:sz w:val="20"/>
              </w:rPr>
              <w:t>CFR</w:t>
            </w:r>
          </w:p>
        </w:tc>
        <w:tc>
          <w:tcPr>
            <w:tcW w:w="1260" w:type="dxa"/>
            <w:shd w:val="clear" w:color="auto" w:fill="auto"/>
            <w:vAlign w:val="center"/>
          </w:tcPr>
          <w:p w:rsidR="006D4020" w:rsidRPr="002C2C44" w:rsidRDefault="006D4020" w:rsidP="00DB077B">
            <w:pPr>
              <w:jc w:val="center"/>
              <w:rPr>
                <w:rFonts w:cs="Arial"/>
                <w:sz w:val="20"/>
              </w:rPr>
            </w:pPr>
            <w:r w:rsidRPr="002C2C44">
              <w:rPr>
                <w:rFonts w:cs="Arial"/>
                <w:sz w:val="20"/>
              </w:rPr>
              <w:t>Nil</w:t>
            </w:r>
          </w:p>
        </w:tc>
        <w:tc>
          <w:tcPr>
            <w:tcW w:w="900" w:type="dxa"/>
            <w:shd w:val="clear" w:color="auto" w:fill="00CCFF"/>
            <w:vAlign w:val="center"/>
          </w:tcPr>
          <w:p w:rsidR="006D4020" w:rsidRPr="00C549D3" w:rsidRDefault="006D4020" w:rsidP="00DB077B">
            <w:pPr>
              <w:jc w:val="center"/>
              <w:rPr>
                <w:rFonts w:cs="Arial"/>
                <w:color w:val="3366FF"/>
                <w:sz w:val="20"/>
              </w:rPr>
            </w:pPr>
          </w:p>
        </w:tc>
        <w:tc>
          <w:tcPr>
            <w:tcW w:w="1260" w:type="dxa"/>
            <w:shd w:val="clear" w:color="auto" w:fill="auto"/>
            <w:vAlign w:val="center"/>
          </w:tcPr>
          <w:p w:rsidR="006D4020" w:rsidRPr="00604F7D" w:rsidRDefault="006D4020" w:rsidP="00DB077B">
            <w:pPr>
              <w:jc w:val="center"/>
              <w:rPr>
                <w:rFonts w:cs="Arial"/>
                <w:sz w:val="20"/>
              </w:rPr>
            </w:pPr>
            <w:r w:rsidRPr="00604F7D">
              <w:rPr>
                <w:rFonts w:cs="Arial"/>
                <w:sz w:val="20"/>
              </w:rPr>
              <w:t>Nil</w:t>
            </w:r>
          </w:p>
        </w:tc>
        <w:tc>
          <w:tcPr>
            <w:tcW w:w="1297" w:type="dxa"/>
            <w:shd w:val="clear" w:color="auto" w:fill="00CCFF"/>
            <w:vAlign w:val="center"/>
          </w:tcPr>
          <w:p w:rsidR="006D4020" w:rsidRPr="00604F7D" w:rsidRDefault="006D4020" w:rsidP="00DB077B">
            <w:pPr>
              <w:jc w:val="center"/>
              <w:rPr>
                <w:rFonts w:cs="Arial"/>
                <w:i/>
                <w:sz w:val="20"/>
              </w:rPr>
            </w:pPr>
          </w:p>
        </w:tc>
      </w:tr>
      <w:tr w:rsidR="002C2C44" w:rsidRPr="00C549D3" w:rsidTr="00DB077B">
        <w:trPr>
          <w:trHeight w:val="322"/>
        </w:trPr>
        <w:tc>
          <w:tcPr>
            <w:tcW w:w="3371" w:type="dxa"/>
            <w:vAlign w:val="center"/>
          </w:tcPr>
          <w:p w:rsidR="002C2C44" w:rsidRPr="002C2C44" w:rsidRDefault="002C2C44" w:rsidP="002C2C44">
            <w:pPr>
              <w:tabs>
                <w:tab w:val="left" w:pos="368"/>
              </w:tabs>
              <w:ind w:left="8"/>
              <w:rPr>
                <w:rFonts w:eastAsia="Arial Unicode MS" w:cs="Arial"/>
                <w:sz w:val="20"/>
              </w:rPr>
            </w:pPr>
            <w:r w:rsidRPr="002C2C44">
              <w:rPr>
                <w:rFonts w:cs="Arial"/>
                <w:sz w:val="20"/>
              </w:rPr>
              <w:t>Investments - in House</w:t>
            </w:r>
          </w:p>
        </w:tc>
        <w:tc>
          <w:tcPr>
            <w:tcW w:w="1260" w:type="dxa"/>
            <w:vAlign w:val="center"/>
          </w:tcPr>
          <w:p w:rsidR="002C2C44" w:rsidRPr="002C2C44" w:rsidRDefault="0045269A" w:rsidP="002C2C44">
            <w:pPr>
              <w:jc w:val="center"/>
              <w:rPr>
                <w:rFonts w:eastAsia="Arial Unicode MS" w:cs="Arial"/>
                <w:sz w:val="20"/>
                <w:highlight w:val="green"/>
                <w:lang w:val="fr-FR"/>
              </w:rPr>
            </w:pPr>
            <w:r>
              <w:rPr>
                <w:rFonts w:cs="Arial"/>
                <w:sz w:val="20"/>
                <w:lang w:val="fr-FR"/>
              </w:rPr>
              <w:t>24.568</w:t>
            </w:r>
            <w:r w:rsidR="002C2C44" w:rsidRPr="002C2C44">
              <w:rPr>
                <w:rFonts w:cs="Arial"/>
                <w:sz w:val="20"/>
                <w:lang w:val="fr-FR"/>
              </w:rPr>
              <w:t>m</w:t>
            </w:r>
          </w:p>
        </w:tc>
        <w:tc>
          <w:tcPr>
            <w:tcW w:w="900" w:type="dxa"/>
            <w:vAlign w:val="center"/>
          </w:tcPr>
          <w:p w:rsidR="002C2C44" w:rsidRPr="002C2C44" w:rsidRDefault="002C2C44" w:rsidP="00604F7D">
            <w:pPr>
              <w:jc w:val="center"/>
              <w:rPr>
                <w:rFonts w:eastAsia="Arial Unicode MS" w:cs="Arial"/>
                <w:sz w:val="20"/>
                <w:highlight w:val="green"/>
                <w:lang w:val="fr-FR"/>
              </w:rPr>
            </w:pPr>
            <w:r w:rsidRPr="002C2C44">
              <w:rPr>
                <w:rFonts w:cs="Arial"/>
                <w:sz w:val="20"/>
                <w:lang w:val="fr-FR"/>
              </w:rPr>
              <w:t>0.</w:t>
            </w:r>
            <w:r w:rsidR="0045269A">
              <w:rPr>
                <w:rFonts w:cs="Arial"/>
                <w:sz w:val="20"/>
                <w:lang w:val="fr-FR"/>
              </w:rPr>
              <w:t>76</w:t>
            </w:r>
          </w:p>
        </w:tc>
        <w:tc>
          <w:tcPr>
            <w:tcW w:w="1260" w:type="dxa"/>
            <w:vAlign w:val="center"/>
          </w:tcPr>
          <w:p w:rsidR="002C2C44" w:rsidRPr="00604F7D" w:rsidRDefault="008D7B4D" w:rsidP="002C2C44">
            <w:pPr>
              <w:jc w:val="center"/>
              <w:rPr>
                <w:rFonts w:eastAsia="Arial Unicode MS" w:cs="Arial"/>
                <w:sz w:val="20"/>
                <w:highlight w:val="green"/>
                <w:lang w:val="fr-FR"/>
              </w:rPr>
            </w:pPr>
            <w:r>
              <w:rPr>
                <w:rFonts w:cs="Arial"/>
                <w:sz w:val="20"/>
                <w:lang w:val="fr-FR"/>
              </w:rPr>
              <w:t>20.036</w:t>
            </w:r>
            <w:r w:rsidR="00887DE1" w:rsidRPr="00604F7D">
              <w:rPr>
                <w:rFonts w:cs="Arial"/>
                <w:sz w:val="20"/>
                <w:lang w:val="fr-FR"/>
              </w:rPr>
              <w:t>m</w:t>
            </w:r>
          </w:p>
        </w:tc>
        <w:tc>
          <w:tcPr>
            <w:tcW w:w="1297" w:type="dxa"/>
            <w:vAlign w:val="center"/>
          </w:tcPr>
          <w:p w:rsidR="002C2C44" w:rsidRPr="00604F7D" w:rsidRDefault="00887DE1" w:rsidP="00DB4943">
            <w:pPr>
              <w:jc w:val="center"/>
              <w:rPr>
                <w:rFonts w:eastAsia="Arial Unicode MS" w:cs="Arial"/>
                <w:sz w:val="20"/>
                <w:lang w:val="fr-FR"/>
              </w:rPr>
            </w:pPr>
            <w:r w:rsidRPr="00604F7D">
              <w:rPr>
                <w:rFonts w:cs="Arial"/>
                <w:sz w:val="20"/>
                <w:lang w:val="fr-FR"/>
              </w:rPr>
              <w:t>0.</w:t>
            </w:r>
            <w:r w:rsidR="00DB4943">
              <w:rPr>
                <w:rFonts w:cs="Arial"/>
                <w:sz w:val="20"/>
                <w:lang w:val="fr-FR"/>
              </w:rPr>
              <w:t>48</w:t>
            </w:r>
          </w:p>
        </w:tc>
      </w:tr>
      <w:tr w:rsidR="002C2C44" w:rsidRPr="00C549D3" w:rsidTr="00DB077B">
        <w:trPr>
          <w:trHeight w:val="393"/>
        </w:trPr>
        <w:tc>
          <w:tcPr>
            <w:tcW w:w="3371" w:type="dxa"/>
            <w:shd w:val="clear" w:color="auto" w:fill="D6E6EA"/>
            <w:vAlign w:val="center"/>
          </w:tcPr>
          <w:p w:rsidR="002C2C44" w:rsidRPr="002C2C44" w:rsidRDefault="002C2C44" w:rsidP="002C2C44">
            <w:pPr>
              <w:ind w:left="8"/>
              <w:rPr>
                <w:rFonts w:cs="Arial"/>
                <w:b/>
                <w:sz w:val="20"/>
              </w:rPr>
            </w:pPr>
            <w:r w:rsidRPr="002C2C44">
              <w:rPr>
                <w:rFonts w:cs="Arial"/>
                <w:b/>
                <w:sz w:val="20"/>
              </w:rPr>
              <w:t>Total Investments</w:t>
            </w:r>
          </w:p>
        </w:tc>
        <w:tc>
          <w:tcPr>
            <w:tcW w:w="1260" w:type="dxa"/>
            <w:shd w:val="clear" w:color="auto" w:fill="D6E6EA"/>
            <w:vAlign w:val="center"/>
          </w:tcPr>
          <w:p w:rsidR="002C2C44" w:rsidRPr="002C2C44" w:rsidRDefault="0045269A" w:rsidP="002C2C44">
            <w:pPr>
              <w:jc w:val="center"/>
              <w:rPr>
                <w:rFonts w:cs="Arial"/>
                <w:b/>
                <w:sz w:val="20"/>
              </w:rPr>
            </w:pPr>
            <w:r>
              <w:rPr>
                <w:rFonts w:cs="Arial"/>
                <w:b/>
                <w:sz w:val="20"/>
              </w:rPr>
              <w:t>24.</w:t>
            </w:r>
            <w:r w:rsidR="002C2C44" w:rsidRPr="002C2C44">
              <w:rPr>
                <w:rFonts w:cs="Arial"/>
                <w:b/>
                <w:sz w:val="20"/>
              </w:rPr>
              <w:t>5</w:t>
            </w:r>
            <w:r>
              <w:rPr>
                <w:rFonts w:cs="Arial"/>
                <w:b/>
                <w:sz w:val="20"/>
              </w:rPr>
              <w:t>68</w:t>
            </w:r>
            <w:r w:rsidR="002C2C44" w:rsidRPr="002C2C44">
              <w:rPr>
                <w:rFonts w:cs="Arial"/>
                <w:b/>
                <w:sz w:val="20"/>
              </w:rPr>
              <w:t>m</w:t>
            </w:r>
          </w:p>
        </w:tc>
        <w:tc>
          <w:tcPr>
            <w:tcW w:w="900" w:type="dxa"/>
            <w:shd w:val="clear" w:color="auto" w:fill="D6E6EA"/>
            <w:vAlign w:val="center"/>
          </w:tcPr>
          <w:p w:rsidR="002C2C44" w:rsidRPr="002C2C44" w:rsidRDefault="0045269A" w:rsidP="00604F7D">
            <w:pPr>
              <w:jc w:val="center"/>
              <w:rPr>
                <w:rFonts w:cs="Arial"/>
                <w:b/>
                <w:sz w:val="20"/>
              </w:rPr>
            </w:pPr>
            <w:r>
              <w:rPr>
                <w:rFonts w:cs="Arial"/>
                <w:b/>
                <w:sz w:val="20"/>
              </w:rPr>
              <w:t>0.76</w:t>
            </w:r>
          </w:p>
        </w:tc>
        <w:tc>
          <w:tcPr>
            <w:tcW w:w="1260" w:type="dxa"/>
            <w:shd w:val="clear" w:color="auto" w:fill="D6E6EA"/>
            <w:vAlign w:val="center"/>
          </w:tcPr>
          <w:p w:rsidR="002C2C44" w:rsidRPr="00604F7D" w:rsidRDefault="008D7B4D" w:rsidP="002C2C44">
            <w:pPr>
              <w:jc w:val="center"/>
              <w:rPr>
                <w:rFonts w:cs="Arial"/>
                <w:b/>
                <w:sz w:val="20"/>
              </w:rPr>
            </w:pPr>
            <w:r>
              <w:rPr>
                <w:rFonts w:cs="Arial"/>
                <w:b/>
                <w:sz w:val="20"/>
              </w:rPr>
              <w:t>20.036</w:t>
            </w:r>
            <w:r w:rsidR="00887DE1" w:rsidRPr="00604F7D">
              <w:rPr>
                <w:rFonts w:cs="Arial"/>
                <w:b/>
                <w:sz w:val="20"/>
              </w:rPr>
              <w:t>m</w:t>
            </w:r>
          </w:p>
        </w:tc>
        <w:tc>
          <w:tcPr>
            <w:tcW w:w="1297" w:type="dxa"/>
            <w:shd w:val="clear" w:color="auto" w:fill="D6E6EA"/>
            <w:vAlign w:val="center"/>
          </w:tcPr>
          <w:p w:rsidR="002C2C44" w:rsidRPr="00604F7D" w:rsidRDefault="00887DE1" w:rsidP="00DB4943">
            <w:pPr>
              <w:jc w:val="center"/>
              <w:rPr>
                <w:rFonts w:cs="Arial"/>
                <w:b/>
                <w:sz w:val="20"/>
              </w:rPr>
            </w:pPr>
            <w:r w:rsidRPr="00604F7D">
              <w:rPr>
                <w:rFonts w:cs="Arial"/>
                <w:b/>
                <w:sz w:val="20"/>
              </w:rPr>
              <w:t>0.</w:t>
            </w:r>
            <w:r w:rsidR="00DB4943">
              <w:rPr>
                <w:rFonts w:cs="Arial"/>
                <w:b/>
                <w:sz w:val="20"/>
              </w:rPr>
              <w:t>48</w:t>
            </w:r>
          </w:p>
        </w:tc>
      </w:tr>
    </w:tbl>
    <w:p w:rsidR="006D4020" w:rsidRPr="00C549D3" w:rsidRDefault="006D4020" w:rsidP="006D4020">
      <w:pPr>
        <w:ind w:left="360"/>
        <w:rPr>
          <w:rFonts w:cs="Arial"/>
          <w:color w:val="3366FF"/>
          <w:sz w:val="22"/>
          <w:szCs w:val="22"/>
        </w:rPr>
      </w:pPr>
    </w:p>
    <w:p w:rsidR="006D4020" w:rsidRPr="00C549D3" w:rsidRDefault="006D4020" w:rsidP="006D4020">
      <w:pPr>
        <w:ind w:left="360"/>
        <w:rPr>
          <w:rFonts w:cs="Arial"/>
          <w:i/>
          <w:color w:val="3366FF"/>
          <w:sz w:val="22"/>
          <w:szCs w:val="22"/>
        </w:rPr>
      </w:pPr>
      <w:r w:rsidRPr="002C2C44">
        <w:rPr>
          <w:rFonts w:cs="Arial"/>
          <w:sz w:val="22"/>
          <w:szCs w:val="22"/>
        </w:rPr>
        <w:t>The maturity structure of the investment portfolio was all under one year</w:t>
      </w:r>
      <w:r w:rsidRPr="00C549D3">
        <w:rPr>
          <w:rFonts w:cs="Arial"/>
          <w:color w:val="3366FF"/>
          <w:sz w:val="22"/>
          <w:szCs w:val="22"/>
        </w:rPr>
        <w:t>.</w:t>
      </w:r>
    </w:p>
    <w:p w:rsidR="006D4020" w:rsidRPr="002C2C44" w:rsidRDefault="006D4020" w:rsidP="006D4020">
      <w:pPr>
        <w:spacing w:after="120"/>
        <w:ind w:left="360"/>
        <w:rPr>
          <w:rFonts w:cs="Arial"/>
          <w:sz w:val="22"/>
          <w:szCs w:val="22"/>
        </w:rPr>
      </w:pPr>
      <w:r w:rsidRPr="002C2C44">
        <w:rPr>
          <w:rFonts w:cs="Arial"/>
          <w:sz w:val="22"/>
          <w:szCs w:val="22"/>
        </w:rPr>
        <w:t>The exposure to fixed and variable rates was as follows:</w:t>
      </w:r>
    </w:p>
    <w:tbl>
      <w:tblPr>
        <w:tblW w:w="8100" w:type="dxa"/>
        <w:tblInd w:w="288" w:type="dxa"/>
        <w:tblBorders>
          <w:top w:val="single" w:sz="4" w:space="0" w:color="A1C6CF"/>
          <w:left w:val="single" w:sz="4" w:space="0" w:color="A1C6CF"/>
          <w:bottom w:val="single" w:sz="4" w:space="0" w:color="A1C6CF"/>
          <w:right w:val="single" w:sz="4" w:space="0" w:color="A1C6CF"/>
          <w:insideH w:val="single" w:sz="4" w:space="0" w:color="A1C6CF"/>
          <w:insideV w:val="single" w:sz="4" w:space="0" w:color="A1C6CF"/>
        </w:tblBorders>
        <w:tblLook w:val="0000" w:firstRow="0" w:lastRow="0" w:firstColumn="0" w:lastColumn="0" w:noHBand="0" w:noVBand="0"/>
      </w:tblPr>
      <w:tblGrid>
        <w:gridCol w:w="4358"/>
        <w:gridCol w:w="1740"/>
        <w:gridCol w:w="2002"/>
      </w:tblGrid>
      <w:tr w:rsidR="006D4020" w:rsidRPr="00C549D3" w:rsidTr="00B96299">
        <w:trPr>
          <w:cantSplit/>
          <w:trHeight w:val="570"/>
        </w:trPr>
        <w:tc>
          <w:tcPr>
            <w:tcW w:w="4358" w:type="dxa"/>
            <w:tcBorders>
              <w:right w:val="single" w:sz="4" w:space="0" w:color="FFFFFF"/>
            </w:tcBorders>
            <w:shd w:val="clear" w:color="auto" w:fill="A1C6CF"/>
          </w:tcPr>
          <w:p w:rsidR="006D4020" w:rsidRPr="002C2C44" w:rsidRDefault="006D4020" w:rsidP="00DB077B">
            <w:pPr>
              <w:pStyle w:val="BodyText"/>
              <w:jc w:val="center"/>
              <w:rPr>
                <w:rFonts w:cs="Arial"/>
                <w:b/>
                <w:sz w:val="20"/>
              </w:rPr>
            </w:pPr>
            <w:r w:rsidRPr="002C2C44">
              <w:rPr>
                <w:rFonts w:cs="Arial"/>
                <w:b/>
                <w:sz w:val="20"/>
              </w:rPr>
              <w:t>Exposure to Fixed and Variable Rates</w:t>
            </w:r>
          </w:p>
        </w:tc>
        <w:tc>
          <w:tcPr>
            <w:tcW w:w="1740" w:type="dxa"/>
            <w:tcBorders>
              <w:right w:val="single" w:sz="4" w:space="0" w:color="FFFFFF"/>
            </w:tcBorders>
            <w:shd w:val="clear" w:color="auto" w:fill="A1C6CF"/>
            <w:vAlign w:val="center"/>
          </w:tcPr>
          <w:p w:rsidR="006D4020" w:rsidRPr="002C2C44" w:rsidRDefault="006D4020" w:rsidP="00DB077B">
            <w:pPr>
              <w:pStyle w:val="BodyText"/>
              <w:jc w:val="center"/>
              <w:rPr>
                <w:rFonts w:cs="Arial"/>
                <w:b/>
                <w:spacing w:val="-5"/>
                <w:sz w:val="20"/>
              </w:rPr>
            </w:pPr>
            <w:r w:rsidRPr="002C2C44">
              <w:rPr>
                <w:rFonts w:cs="Arial"/>
                <w:b/>
                <w:spacing w:val="-5"/>
                <w:sz w:val="20"/>
              </w:rPr>
              <w:t>31 March 20</w:t>
            </w:r>
            <w:r w:rsidR="009607B0" w:rsidRPr="002C2C44">
              <w:rPr>
                <w:rFonts w:cs="Arial"/>
                <w:b/>
                <w:spacing w:val="-5"/>
                <w:sz w:val="20"/>
              </w:rPr>
              <w:t>1</w:t>
            </w:r>
            <w:r w:rsidR="00DB4CB1">
              <w:rPr>
                <w:rFonts w:cs="Arial"/>
                <w:b/>
                <w:spacing w:val="-5"/>
                <w:sz w:val="20"/>
              </w:rPr>
              <w:t>6</w:t>
            </w:r>
          </w:p>
          <w:p w:rsidR="006D4020" w:rsidRDefault="006D4020" w:rsidP="00DB077B">
            <w:pPr>
              <w:pStyle w:val="BodyText"/>
              <w:jc w:val="center"/>
              <w:rPr>
                <w:rFonts w:cs="Arial"/>
                <w:b/>
                <w:spacing w:val="-5"/>
                <w:sz w:val="20"/>
              </w:rPr>
            </w:pPr>
            <w:r w:rsidRPr="002C2C44">
              <w:rPr>
                <w:rFonts w:cs="Arial"/>
                <w:b/>
                <w:spacing w:val="-5"/>
                <w:sz w:val="20"/>
              </w:rPr>
              <w:t>Actual</w:t>
            </w:r>
          </w:p>
          <w:p w:rsidR="00604F7D" w:rsidRPr="002C2C44" w:rsidRDefault="00604F7D" w:rsidP="00DB077B">
            <w:pPr>
              <w:pStyle w:val="BodyText"/>
              <w:jc w:val="center"/>
              <w:rPr>
                <w:rFonts w:cs="Arial"/>
                <w:b/>
                <w:spacing w:val="-5"/>
                <w:sz w:val="20"/>
              </w:rPr>
            </w:pPr>
            <w:r>
              <w:rPr>
                <w:rFonts w:cs="Arial"/>
                <w:b/>
                <w:spacing w:val="-5"/>
                <w:sz w:val="20"/>
              </w:rPr>
              <w:t>£</w:t>
            </w:r>
          </w:p>
        </w:tc>
        <w:tc>
          <w:tcPr>
            <w:tcW w:w="2002" w:type="dxa"/>
            <w:tcBorders>
              <w:left w:val="single" w:sz="4" w:space="0" w:color="FFFFFF"/>
            </w:tcBorders>
            <w:shd w:val="clear" w:color="auto" w:fill="A1C6CF"/>
            <w:vAlign w:val="center"/>
          </w:tcPr>
          <w:p w:rsidR="006D4020" w:rsidRPr="002C2C44" w:rsidRDefault="006D4020" w:rsidP="00DB077B">
            <w:pPr>
              <w:pStyle w:val="BodyText"/>
              <w:jc w:val="center"/>
              <w:rPr>
                <w:rFonts w:cs="Arial"/>
                <w:b/>
                <w:spacing w:val="-5"/>
                <w:sz w:val="20"/>
              </w:rPr>
            </w:pPr>
            <w:r w:rsidRPr="002C2C44">
              <w:rPr>
                <w:rFonts w:cs="Arial"/>
                <w:b/>
                <w:spacing w:val="-5"/>
                <w:sz w:val="20"/>
              </w:rPr>
              <w:t xml:space="preserve">31 March </w:t>
            </w:r>
            <w:r w:rsidR="009607B0" w:rsidRPr="002C2C44">
              <w:rPr>
                <w:rFonts w:cs="Arial"/>
                <w:b/>
                <w:spacing w:val="-5"/>
                <w:sz w:val="20"/>
              </w:rPr>
              <w:t>201</w:t>
            </w:r>
            <w:r w:rsidR="00DB4CB1">
              <w:rPr>
                <w:rFonts w:cs="Arial"/>
                <w:b/>
                <w:spacing w:val="-5"/>
                <w:sz w:val="20"/>
              </w:rPr>
              <w:t>7</w:t>
            </w:r>
          </w:p>
          <w:p w:rsidR="006D4020" w:rsidRDefault="006D4020" w:rsidP="00DB077B">
            <w:pPr>
              <w:pStyle w:val="BodyText"/>
              <w:jc w:val="center"/>
              <w:rPr>
                <w:rFonts w:cs="Arial"/>
                <w:b/>
                <w:spacing w:val="-5"/>
                <w:sz w:val="20"/>
              </w:rPr>
            </w:pPr>
            <w:r w:rsidRPr="002C2C44">
              <w:rPr>
                <w:rFonts w:cs="Arial"/>
                <w:b/>
                <w:spacing w:val="-5"/>
                <w:sz w:val="20"/>
              </w:rPr>
              <w:t>Actual</w:t>
            </w:r>
          </w:p>
          <w:p w:rsidR="00604F7D" w:rsidRPr="00C549D3" w:rsidRDefault="00604F7D" w:rsidP="00DB077B">
            <w:pPr>
              <w:pStyle w:val="BodyText"/>
              <w:jc w:val="center"/>
              <w:rPr>
                <w:rFonts w:cs="Arial"/>
                <w:b/>
                <w:color w:val="3366FF"/>
                <w:spacing w:val="-5"/>
                <w:sz w:val="20"/>
              </w:rPr>
            </w:pPr>
            <w:r>
              <w:rPr>
                <w:rFonts w:cs="Arial"/>
                <w:b/>
                <w:spacing w:val="-5"/>
                <w:sz w:val="20"/>
              </w:rPr>
              <w:t>£</w:t>
            </w:r>
          </w:p>
        </w:tc>
      </w:tr>
      <w:tr w:rsidR="002C2C44" w:rsidRPr="00C549D3" w:rsidTr="00AF16C4">
        <w:trPr>
          <w:trHeight w:val="345"/>
        </w:trPr>
        <w:tc>
          <w:tcPr>
            <w:tcW w:w="4358" w:type="dxa"/>
            <w:vAlign w:val="center"/>
          </w:tcPr>
          <w:p w:rsidR="002C2C44" w:rsidRPr="002C2C44" w:rsidRDefault="002C2C44" w:rsidP="00DB077B">
            <w:pPr>
              <w:pStyle w:val="BodyText"/>
              <w:rPr>
                <w:rFonts w:cs="Arial"/>
                <w:sz w:val="20"/>
              </w:rPr>
            </w:pPr>
            <w:r w:rsidRPr="002C2C44">
              <w:rPr>
                <w:rFonts w:cs="Arial"/>
                <w:sz w:val="20"/>
              </w:rPr>
              <w:t>Fixed Rate (Principal or Interest)</w:t>
            </w:r>
          </w:p>
        </w:tc>
        <w:tc>
          <w:tcPr>
            <w:tcW w:w="1740" w:type="dxa"/>
            <w:vAlign w:val="center"/>
          </w:tcPr>
          <w:p w:rsidR="002C2C44" w:rsidRPr="002C2C44" w:rsidRDefault="00DB4CB1" w:rsidP="003B2FD3">
            <w:pPr>
              <w:pStyle w:val="BodyText"/>
              <w:jc w:val="center"/>
              <w:rPr>
                <w:rFonts w:cs="Arial"/>
                <w:sz w:val="20"/>
                <w:highlight w:val="green"/>
              </w:rPr>
            </w:pPr>
            <w:r>
              <w:rPr>
                <w:rFonts w:cs="Arial"/>
                <w:sz w:val="20"/>
              </w:rPr>
              <w:t>24.568</w:t>
            </w:r>
            <w:r w:rsidR="002C2C44" w:rsidRPr="002C2C44">
              <w:rPr>
                <w:rFonts w:cs="Arial"/>
                <w:sz w:val="20"/>
              </w:rPr>
              <w:t>m</w:t>
            </w:r>
          </w:p>
        </w:tc>
        <w:tc>
          <w:tcPr>
            <w:tcW w:w="2002" w:type="dxa"/>
            <w:vAlign w:val="center"/>
          </w:tcPr>
          <w:p w:rsidR="002C2C44" w:rsidRPr="00604F7D" w:rsidRDefault="008D7B4D" w:rsidP="00DB077B">
            <w:pPr>
              <w:pStyle w:val="BodyText"/>
              <w:jc w:val="center"/>
              <w:rPr>
                <w:rFonts w:cs="Arial"/>
                <w:sz w:val="20"/>
                <w:highlight w:val="green"/>
              </w:rPr>
            </w:pPr>
            <w:r>
              <w:rPr>
                <w:rFonts w:cs="Arial"/>
                <w:sz w:val="20"/>
              </w:rPr>
              <w:t>20.036</w:t>
            </w:r>
            <w:r w:rsidR="002B59EC" w:rsidRPr="00604F7D">
              <w:rPr>
                <w:rFonts w:cs="Arial"/>
                <w:sz w:val="20"/>
              </w:rPr>
              <w:t>m</w:t>
            </w:r>
          </w:p>
        </w:tc>
      </w:tr>
      <w:tr w:rsidR="002C2C44" w:rsidRPr="00C549D3" w:rsidTr="00AF16C4">
        <w:trPr>
          <w:trHeight w:val="341"/>
        </w:trPr>
        <w:tc>
          <w:tcPr>
            <w:tcW w:w="4358" w:type="dxa"/>
            <w:vAlign w:val="center"/>
          </w:tcPr>
          <w:p w:rsidR="002C2C44" w:rsidRPr="002C2C44" w:rsidRDefault="002C2C44" w:rsidP="00DB077B">
            <w:pPr>
              <w:pStyle w:val="BodyText"/>
              <w:rPr>
                <w:rFonts w:cs="Arial"/>
                <w:sz w:val="20"/>
              </w:rPr>
            </w:pPr>
            <w:r w:rsidRPr="002C2C44">
              <w:rPr>
                <w:rFonts w:cs="Arial"/>
                <w:sz w:val="20"/>
              </w:rPr>
              <w:t>Variable Rate (Principal or Interest)</w:t>
            </w:r>
          </w:p>
        </w:tc>
        <w:tc>
          <w:tcPr>
            <w:tcW w:w="1740" w:type="dxa"/>
            <w:vAlign w:val="center"/>
          </w:tcPr>
          <w:p w:rsidR="002C2C44" w:rsidRPr="002C2C44" w:rsidRDefault="00DB4CB1" w:rsidP="003B2FD3">
            <w:pPr>
              <w:pStyle w:val="BodyText"/>
              <w:jc w:val="center"/>
              <w:rPr>
                <w:rFonts w:cs="Arial"/>
                <w:sz w:val="20"/>
                <w:highlight w:val="green"/>
              </w:rPr>
            </w:pPr>
            <w:r>
              <w:rPr>
                <w:rFonts w:cs="Arial"/>
                <w:sz w:val="20"/>
              </w:rPr>
              <w:t>0.0</w:t>
            </w:r>
            <w:r w:rsidR="002C2C44" w:rsidRPr="002C2C44">
              <w:rPr>
                <w:rFonts w:cs="Arial"/>
                <w:sz w:val="20"/>
              </w:rPr>
              <w:t>00m</w:t>
            </w:r>
          </w:p>
        </w:tc>
        <w:tc>
          <w:tcPr>
            <w:tcW w:w="2002" w:type="dxa"/>
            <w:vAlign w:val="center"/>
          </w:tcPr>
          <w:p w:rsidR="002C2C44" w:rsidRPr="00604F7D" w:rsidRDefault="008D7B4D" w:rsidP="00604F7D">
            <w:pPr>
              <w:pStyle w:val="BodyText"/>
              <w:jc w:val="center"/>
              <w:rPr>
                <w:rFonts w:cs="Arial"/>
                <w:sz w:val="20"/>
                <w:highlight w:val="green"/>
              </w:rPr>
            </w:pPr>
            <w:r>
              <w:rPr>
                <w:rFonts w:cs="Arial"/>
                <w:sz w:val="20"/>
              </w:rPr>
              <w:t>0.000</w:t>
            </w:r>
            <w:r w:rsidR="002C2C44" w:rsidRPr="00604F7D">
              <w:rPr>
                <w:rFonts w:cs="Arial"/>
                <w:sz w:val="20"/>
              </w:rPr>
              <w:t>m</w:t>
            </w:r>
          </w:p>
        </w:tc>
      </w:tr>
    </w:tbl>
    <w:p w:rsidR="006D4020" w:rsidRPr="00C549D3" w:rsidRDefault="006D4020" w:rsidP="006D4020">
      <w:pPr>
        <w:pStyle w:val="BodyText"/>
        <w:ind w:left="357"/>
        <w:jc w:val="both"/>
        <w:rPr>
          <w:rFonts w:cs="Arial"/>
          <w:b/>
          <w:color w:val="3366FF"/>
          <w:szCs w:val="22"/>
        </w:rPr>
      </w:pPr>
    </w:p>
    <w:p w:rsidR="006D4020" w:rsidRPr="00E41176" w:rsidRDefault="00F34393" w:rsidP="00604F7D">
      <w:pPr>
        <w:keepNext/>
        <w:tabs>
          <w:tab w:val="left" w:pos="426"/>
        </w:tabs>
        <w:spacing w:before="240" w:after="240"/>
        <w:jc w:val="both"/>
        <w:outlineLvl w:val="1"/>
        <w:rPr>
          <w:rFonts w:cs="Arial"/>
          <w:b/>
          <w:sz w:val="22"/>
          <w:szCs w:val="22"/>
        </w:rPr>
      </w:pPr>
      <w:r>
        <w:rPr>
          <w:rFonts w:cs="Arial"/>
          <w:b/>
          <w:sz w:val="22"/>
          <w:szCs w:val="22"/>
        </w:rPr>
        <w:t>5</w:t>
      </w:r>
      <w:r w:rsidR="00604F7D">
        <w:rPr>
          <w:rFonts w:cs="Arial"/>
          <w:b/>
          <w:sz w:val="22"/>
          <w:szCs w:val="22"/>
        </w:rPr>
        <w:t>.</w:t>
      </w:r>
      <w:r w:rsidR="00604F7D">
        <w:rPr>
          <w:rFonts w:cs="Arial"/>
          <w:b/>
          <w:sz w:val="22"/>
          <w:szCs w:val="22"/>
        </w:rPr>
        <w:tab/>
        <w:t>I</w:t>
      </w:r>
      <w:r w:rsidR="006D4020" w:rsidRPr="00E41176">
        <w:rPr>
          <w:rFonts w:cs="Arial"/>
          <w:b/>
          <w:sz w:val="22"/>
          <w:szCs w:val="22"/>
        </w:rPr>
        <w:t>n</w:t>
      </w:r>
      <w:r w:rsidR="000B6C93" w:rsidRPr="00E41176">
        <w:rPr>
          <w:rFonts w:cs="Arial"/>
          <w:b/>
          <w:sz w:val="22"/>
          <w:szCs w:val="22"/>
        </w:rPr>
        <w:t>vestment Rates</w:t>
      </w:r>
      <w:r w:rsidR="006D4020" w:rsidRPr="00E41176">
        <w:rPr>
          <w:rFonts w:cs="Arial"/>
          <w:b/>
          <w:sz w:val="22"/>
          <w:szCs w:val="22"/>
        </w:rPr>
        <w:t xml:space="preserve"> </w:t>
      </w:r>
      <w:r>
        <w:rPr>
          <w:rFonts w:cs="Arial"/>
          <w:b/>
          <w:sz w:val="22"/>
          <w:szCs w:val="22"/>
        </w:rPr>
        <w:t>20</w:t>
      </w:r>
      <w:r w:rsidR="00960D45" w:rsidRPr="00E41176">
        <w:rPr>
          <w:rFonts w:cs="Arial"/>
          <w:b/>
          <w:sz w:val="22"/>
          <w:szCs w:val="22"/>
        </w:rPr>
        <w:t>1</w:t>
      </w:r>
      <w:r w:rsidR="00E41176" w:rsidRPr="00E41176">
        <w:rPr>
          <w:rFonts w:cs="Arial"/>
          <w:b/>
          <w:sz w:val="22"/>
          <w:szCs w:val="22"/>
        </w:rPr>
        <w:t>6</w:t>
      </w:r>
      <w:r>
        <w:rPr>
          <w:rFonts w:cs="Arial"/>
          <w:b/>
          <w:sz w:val="22"/>
          <w:szCs w:val="22"/>
        </w:rPr>
        <w:t>/17</w:t>
      </w:r>
      <w:r w:rsidR="006D4020" w:rsidRPr="00E41176">
        <w:rPr>
          <w:rFonts w:cs="Arial"/>
          <w:b/>
          <w:sz w:val="22"/>
          <w:szCs w:val="22"/>
        </w:rPr>
        <w:t xml:space="preserve"> </w:t>
      </w:r>
      <w:r w:rsidR="006D4020" w:rsidRPr="00E41176">
        <w:rPr>
          <w:rFonts w:cs="Arial"/>
          <w:b/>
          <w:sz w:val="20"/>
        </w:rPr>
        <w:t xml:space="preserve">– </w:t>
      </w:r>
      <w:r w:rsidR="006D4020" w:rsidRPr="00E41176">
        <w:rPr>
          <w:rFonts w:cs="Arial"/>
          <w:b/>
          <w:sz w:val="22"/>
          <w:szCs w:val="22"/>
        </w:rPr>
        <w:t>Capita Asset Services Report</w:t>
      </w:r>
    </w:p>
    <w:p w:rsidR="00F34393" w:rsidRPr="00B30B75" w:rsidRDefault="00F34393" w:rsidP="00F34393">
      <w:pPr>
        <w:numPr>
          <w:ilvl w:val="12"/>
          <w:numId w:val="0"/>
        </w:numPr>
        <w:jc w:val="both"/>
        <w:rPr>
          <w:rFonts w:cs="Arial"/>
          <w:color w:val="000000"/>
          <w:spacing w:val="-5"/>
          <w:sz w:val="22"/>
          <w:szCs w:val="22"/>
        </w:rPr>
      </w:pPr>
      <w:bookmarkStart w:id="1" w:name="_Toc260143048"/>
      <w:bookmarkStart w:id="2" w:name="_Toc260144068"/>
      <w:bookmarkEnd w:id="1"/>
      <w:bookmarkEnd w:id="2"/>
      <w:r w:rsidRPr="00B30B75">
        <w:rPr>
          <w:rFonts w:cs="Arial"/>
          <w:color w:val="000000"/>
          <w:spacing w:val="-5"/>
          <w:sz w:val="22"/>
          <w:szCs w:val="22"/>
        </w:rPr>
        <w:t>After the EU referendum, Bank Rate was cut from 0.5% to 0.25% on 4 August and remained at that level for the rest of the year.  Market expectations as to the timing of the start of monetary tightening started the year at quarter 3 2018, but then moved back to around the end of 2019 in early August before finishing the year back at quarter 3 2018.   Deposit rates continued into the start of 2016/17 at previous depressed levels but then fell during the first two quarters and fell even further after the 4 August MPC meeting resulted in a large tranche of cheap financing being made available to the banking sector by the Bank of England.  Rates made a weak recovery towards the end of 2016 but then fell to fresh lows in March 2017.</w:t>
      </w:r>
    </w:p>
    <w:p w:rsidR="00F34393" w:rsidRPr="00370C05" w:rsidRDefault="00F34393" w:rsidP="00F34393">
      <w:pPr>
        <w:numPr>
          <w:ilvl w:val="12"/>
          <w:numId w:val="0"/>
        </w:numPr>
        <w:jc w:val="both"/>
        <w:rPr>
          <w:rFonts w:ascii="Calibri" w:hAnsi="Calibri" w:cs="Arial"/>
          <w:color w:val="005B82"/>
          <w:spacing w:val="-5"/>
          <w:sz w:val="20"/>
          <w:szCs w:val="22"/>
        </w:rPr>
      </w:pPr>
    </w:p>
    <w:p w:rsidR="00D40997" w:rsidRPr="00C549D3" w:rsidRDefault="004014B1" w:rsidP="00F34393">
      <w:pPr>
        <w:ind w:left="360"/>
        <w:jc w:val="both"/>
        <w:rPr>
          <w:rFonts w:cs="Arial"/>
          <w:b/>
          <w:color w:val="3366FF"/>
          <w:sz w:val="22"/>
          <w:szCs w:val="22"/>
        </w:rPr>
      </w:pPr>
      <w:r>
        <w:rPr>
          <w:noProof/>
          <w:spacing w:val="-5"/>
          <w:sz w:val="20"/>
          <w:lang w:eastAsia="en-GB"/>
        </w:rPr>
        <w:drawing>
          <wp:inline distT="0" distB="0" distL="0" distR="0">
            <wp:extent cx="526732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533775"/>
                    </a:xfrm>
                    <a:prstGeom prst="rect">
                      <a:avLst/>
                    </a:prstGeom>
                    <a:noFill/>
                    <a:ln>
                      <a:noFill/>
                    </a:ln>
                  </pic:spPr>
                </pic:pic>
              </a:graphicData>
            </a:graphic>
          </wp:inline>
        </w:drawing>
      </w:r>
    </w:p>
    <w:p w:rsidR="006D4020" w:rsidRPr="00E41176" w:rsidRDefault="00F34393" w:rsidP="006D4020">
      <w:pPr>
        <w:ind w:left="426" w:hanging="426"/>
        <w:rPr>
          <w:rFonts w:cs="Arial"/>
          <w:b/>
          <w:sz w:val="22"/>
          <w:szCs w:val="22"/>
        </w:rPr>
      </w:pPr>
      <w:r>
        <w:rPr>
          <w:rFonts w:cs="Arial"/>
          <w:b/>
          <w:sz w:val="22"/>
          <w:szCs w:val="22"/>
        </w:rPr>
        <w:lastRenderedPageBreak/>
        <w:t>6</w:t>
      </w:r>
      <w:r w:rsidR="00D40997" w:rsidRPr="00E41176">
        <w:rPr>
          <w:rFonts w:cs="Arial"/>
          <w:b/>
          <w:sz w:val="22"/>
          <w:szCs w:val="22"/>
        </w:rPr>
        <w:t xml:space="preserve">. </w:t>
      </w:r>
      <w:r w:rsidR="00D40997" w:rsidRPr="00E41176">
        <w:rPr>
          <w:rFonts w:cs="Arial"/>
          <w:b/>
          <w:sz w:val="22"/>
          <w:szCs w:val="22"/>
        </w:rPr>
        <w:tab/>
      </w:r>
      <w:r w:rsidR="006D4020" w:rsidRPr="00E41176">
        <w:rPr>
          <w:rFonts w:cs="Arial"/>
          <w:b/>
          <w:sz w:val="22"/>
          <w:szCs w:val="22"/>
        </w:rPr>
        <w:t>Investment O</w:t>
      </w:r>
      <w:r>
        <w:rPr>
          <w:rFonts w:cs="Arial"/>
          <w:b/>
          <w:sz w:val="22"/>
          <w:szCs w:val="22"/>
        </w:rPr>
        <w:t>utturn for 20</w:t>
      </w:r>
      <w:r w:rsidR="006D4020" w:rsidRPr="00E41176">
        <w:rPr>
          <w:rFonts w:cs="Arial"/>
          <w:b/>
          <w:sz w:val="22"/>
          <w:szCs w:val="22"/>
        </w:rPr>
        <w:t>1</w:t>
      </w:r>
      <w:r w:rsidR="00E41176" w:rsidRPr="00E41176">
        <w:rPr>
          <w:rFonts w:cs="Arial"/>
          <w:b/>
          <w:sz w:val="22"/>
          <w:szCs w:val="22"/>
        </w:rPr>
        <w:t>6</w:t>
      </w:r>
      <w:r>
        <w:rPr>
          <w:rFonts w:cs="Arial"/>
          <w:b/>
          <w:sz w:val="22"/>
          <w:szCs w:val="22"/>
        </w:rPr>
        <w:t>/17</w:t>
      </w:r>
    </w:p>
    <w:p w:rsidR="006D4020" w:rsidRPr="00C549D3" w:rsidRDefault="006D4020" w:rsidP="006D4020">
      <w:pPr>
        <w:ind w:left="360"/>
        <w:rPr>
          <w:rFonts w:cs="Arial"/>
          <w:b/>
          <w:color w:val="3366FF"/>
          <w:sz w:val="22"/>
          <w:szCs w:val="22"/>
        </w:rPr>
      </w:pPr>
    </w:p>
    <w:p w:rsidR="006D4020" w:rsidRPr="00E41176" w:rsidRDefault="006D4020" w:rsidP="006D4020">
      <w:pPr>
        <w:ind w:left="360"/>
        <w:jc w:val="both"/>
        <w:rPr>
          <w:rFonts w:cs="Arial"/>
          <w:sz w:val="22"/>
          <w:szCs w:val="22"/>
        </w:rPr>
      </w:pPr>
      <w:r w:rsidRPr="00E41176">
        <w:rPr>
          <w:rFonts w:cs="Arial"/>
          <w:b/>
          <w:sz w:val="22"/>
          <w:szCs w:val="22"/>
        </w:rPr>
        <w:t>Investment Policy</w:t>
      </w:r>
      <w:r w:rsidRPr="00E41176">
        <w:rPr>
          <w:rFonts w:cs="Arial"/>
          <w:sz w:val="22"/>
          <w:szCs w:val="22"/>
        </w:rPr>
        <w:t xml:space="preserve"> – the Council’s investment policy is governed by CLG guidance, which was implemented in the annual investment strategy approved by the Council on </w:t>
      </w:r>
      <w:r w:rsidR="00BB0369">
        <w:rPr>
          <w:rFonts w:cs="Arial"/>
          <w:sz w:val="22"/>
          <w:szCs w:val="22"/>
        </w:rPr>
        <w:t>23 February 2016</w:t>
      </w:r>
      <w:r w:rsidRPr="00DB4943">
        <w:rPr>
          <w:rFonts w:cs="Arial"/>
          <w:sz w:val="22"/>
          <w:szCs w:val="22"/>
        </w:rPr>
        <w:t>.</w:t>
      </w:r>
      <w:r w:rsidRPr="00E41176">
        <w:rPr>
          <w:rFonts w:cs="Arial"/>
          <w:sz w:val="22"/>
          <w:szCs w:val="22"/>
        </w:rPr>
        <w:t xml:space="preserve"> This policy sets out the approach for choosing investment counterparties, and is based on credit ratings provided by the three main credit rating agencies</w:t>
      </w:r>
      <w:r w:rsidR="00E6706E" w:rsidRPr="00E41176">
        <w:rPr>
          <w:rFonts w:cs="Arial"/>
          <w:sz w:val="22"/>
          <w:szCs w:val="22"/>
        </w:rPr>
        <w:t>.</w:t>
      </w:r>
      <w:r w:rsidRPr="00E41176">
        <w:rPr>
          <w:rFonts w:cs="Arial"/>
          <w:sz w:val="22"/>
          <w:szCs w:val="22"/>
        </w:rPr>
        <w:t xml:space="preserve"> </w:t>
      </w:r>
    </w:p>
    <w:p w:rsidR="006D4020" w:rsidRPr="00C549D3" w:rsidRDefault="006D4020" w:rsidP="006D4020">
      <w:pPr>
        <w:ind w:left="360"/>
        <w:jc w:val="both"/>
        <w:rPr>
          <w:rFonts w:cs="Arial"/>
          <w:color w:val="3366FF"/>
          <w:sz w:val="22"/>
          <w:szCs w:val="22"/>
        </w:rPr>
      </w:pPr>
    </w:p>
    <w:p w:rsidR="006D4020" w:rsidRPr="00C549D3" w:rsidRDefault="006D4020" w:rsidP="006D4020">
      <w:pPr>
        <w:ind w:left="360"/>
        <w:jc w:val="both"/>
        <w:rPr>
          <w:rFonts w:cs="Arial"/>
          <w:color w:val="3366FF"/>
          <w:sz w:val="22"/>
          <w:szCs w:val="22"/>
        </w:rPr>
      </w:pPr>
      <w:r w:rsidRPr="00E41176">
        <w:rPr>
          <w:rFonts w:cs="Arial"/>
          <w:sz w:val="22"/>
          <w:szCs w:val="22"/>
        </w:rPr>
        <w:t>The investment activity during the year conformed to the approved strategy, and the Council had no liquidity difficulties</w:t>
      </w:r>
      <w:r w:rsidRPr="00C549D3">
        <w:rPr>
          <w:rFonts w:cs="Arial"/>
          <w:color w:val="3366FF"/>
          <w:sz w:val="22"/>
          <w:szCs w:val="22"/>
        </w:rPr>
        <w:t>.</w:t>
      </w:r>
    </w:p>
    <w:p w:rsidR="006D4020" w:rsidRPr="00C549D3" w:rsidRDefault="006D4020" w:rsidP="006D4020">
      <w:pPr>
        <w:ind w:left="360"/>
        <w:jc w:val="both"/>
        <w:rPr>
          <w:rFonts w:cs="Arial"/>
          <w:color w:val="3366FF"/>
          <w:sz w:val="22"/>
          <w:szCs w:val="22"/>
        </w:rPr>
      </w:pPr>
    </w:p>
    <w:p w:rsidR="00D07E51" w:rsidRPr="00E41176" w:rsidRDefault="006D4020" w:rsidP="006D4020">
      <w:pPr>
        <w:spacing w:after="120"/>
        <w:ind w:left="360"/>
        <w:jc w:val="both"/>
        <w:rPr>
          <w:rFonts w:cs="Arial"/>
          <w:sz w:val="22"/>
          <w:szCs w:val="22"/>
        </w:rPr>
      </w:pPr>
      <w:r w:rsidRPr="00E41176">
        <w:rPr>
          <w:rFonts w:cs="Arial"/>
          <w:b/>
          <w:sz w:val="22"/>
          <w:szCs w:val="22"/>
        </w:rPr>
        <w:t>Resources</w:t>
      </w:r>
      <w:r w:rsidRPr="00E41176">
        <w:rPr>
          <w:rFonts w:cs="Arial"/>
          <w:sz w:val="22"/>
          <w:szCs w:val="22"/>
        </w:rPr>
        <w:t xml:space="preserve"> – the Council’s longer term cash balances comprise, primarily, revenue and capital resources, although these will be influenced by cash flow considerations.  The Council’s core cash resources comprised as follows</w:t>
      </w:r>
      <w:r w:rsidR="00E6706E" w:rsidRPr="00E41176">
        <w:rPr>
          <w:rFonts w:cs="Arial"/>
          <w:sz w:val="22"/>
          <w:szCs w:val="22"/>
        </w:rPr>
        <w:t>;-</w:t>
      </w:r>
    </w:p>
    <w:p w:rsidR="00E6706E" w:rsidRPr="00C549D3" w:rsidRDefault="00E6706E" w:rsidP="006D4020">
      <w:pPr>
        <w:spacing w:after="120"/>
        <w:ind w:left="360"/>
        <w:jc w:val="both"/>
        <w:rPr>
          <w:rFonts w:cs="Arial"/>
          <w:color w:val="3366FF"/>
          <w:sz w:val="22"/>
          <w:szCs w:val="22"/>
        </w:rPr>
      </w:pPr>
    </w:p>
    <w:tbl>
      <w:tblPr>
        <w:tblW w:w="7704" w:type="dxa"/>
        <w:jc w:val="center"/>
        <w:tblInd w:w="1836" w:type="dxa"/>
        <w:tblBorders>
          <w:top w:val="single" w:sz="4" w:space="0" w:color="A1C6CF"/>
          <w:left w:val="single" w:sz="4" w:space="0" w:color="A1C6CF"/>
          <w:bottom w:val="single" w:sz="4" w:space="0" w:color="A1C6CF"/>
          <w:right w:val="single" w:sz="4" w:space="0" w:color="A1C6CF"/>
          <w:insideH w:val="single" w:sz="4" w:space="0" w:color="A1C6CF"/>
          <w:insideV w:val="single" w:sz="4" w:space="0" w:color="A1C6CF"/>
        </w:tblBorders>
        <w:tblLook w:val="01E0" w:firstRow="1" w:lastRow="1" w:firstColumn="1" w:lastColumn="1" w:noHBand="0" w:noVBand="0"/>
      </w:tblPr>
      <w:tblGrid>
        <w:gridCol w:w="2939"/>
        <w:gridCol w:w="2340"/>
        <w:gridCol w:w="2425"/>
      </w:tblGrid>
      <w:tr w:rsidR="006D4020" w:rsidRPr="00C549D3" w:rsidTr="00B96299">
        <w:trPr>
          <w:trHeight w:val="495"/>
          <w:tblHeader/>
          <w:jc w:val="center"/>
        </w:trPr>
        <w:tc>
          <w:tcPr>
            <w:tcW w:w="2939" w:type="dxa"/>
            <w:tcBorders>
              <w:right w:val="single" w:sz="4" w:space="0" w:color="FFFFFF"/>
            </w:tcBorders>
            <w:shd w:val="clear" w:color="auto" w:fill="A1C6CF"/>
            <w:vAlign w:val="center"/>
          </w:tcPr>
          <w:p w:rsidR="006D4020" w:rsidRPr="00E41176" w:rsidRDefault="006D4020" w:rsidP="00DB077B">
            <w:pPr>
              <w:ind w:left="240" w:hanging="240"/>
              <w:jc w:val="center"/>
              <w:rPr>
                <w:rFonts w:cs="Arial"/>
                <w:b/>
                <w:sz w:val="20"/>
              </w:rPr>
            </w:pPr>
            <w:r w:rsidRPr="00E41176">
              <w:rPr>
                <w:rFonts w:cs="Arial"/>
                <w:b/>
                <w:sz w:val="20"/>
              </w:rPr>
              <w:t>Balance Sheet Resources</w:t>
            </w:r>
          </w:p>
        </w:tc>
        <w:tc>
          <w:tcPr>
            <w:tcW w:w="2340" w:type="dxa"/>
            <w:tcBorders>
              <w:right w:val="single" w:sz="4" w:space="0" w:color="FFFFFF"/>
            </w:tcBorders>
            <w:shd w:val="clear" w:color="auto" w:fill="A1C6CF"/>
            <w:vAlign w:val="center"/>
          </w:tcPr>
          <w:p w:rsidR="006D4020" w:rsidRDefault="006D4020" w:rsidP="00DB077B">
            <w:pPr>
              <w:ind w:left="240" w:hanging="240"/>
              <w:jc w:val="center"/>
              <w:rPr>
                <w:rFonts w:cs="Arial"/>
                <w:b/>
                <w:sz w:val="20"/>
              </w:rPr>
            </w:pPr>
            <w:r w:rsidRPr="00E41176">
              <w:rPr>
                <w:rFonts w:cs="Arial"/>
                <w:b/>
                <w:sz w:val="20"/>
              </w:rPr>
              <w:t>31 March 201</w:t>
            </w:r>
            <w:r w:rsidR="00F34393">
              <w:rPr>
                <w:rFonts w:cs="Arial"/>
                <w:b/>
                <w:sz w:val="20"/>
              </w:rPr>
              <w:t>6</w:t>
            </w:r>
          </w:p>
          <w:p w:rsidR="001340FA" w:rsidRPr="00E41176" w:rsidRDefault="001340FA" w:rsidP="00DB077B">
            <w:pPr>
              <w:ind w:left="240" w:hanging="240"/>
              <w:jc w:val="center"/>
              <w:rPr>
                <w:rFonts w:cs="Arial"/>
                <w:b/>
                <w:sz w:val="20"/>
              </w:rPr>
            </w:pPr>
            <w:r>
              <w:rPr>
                <w:rFonts w:cs="Arial"/>
                <w:b/>
                <w:sz w:val="20"/>
              </w:rPr>
              <w:t>£</w:t>
            </w:r>
          </w:p>
        </w:tc>
        <w:tc>
          <w:tcPr>
            <w:tcW w:w="2425" w:type="dxa"/>
            <w:tcBorders>
              <w:left w:val="single" w:sz="4" w:space="0" w:color="FFFFFF"/>
            </w:tcBorders>
            <w:shd w:val="clear" w:color="auto" w:fill="A1C6CF"/>
            <w:vAlign w:val="center"/>
          </w:tcPr>
          <w:p w:rsidR="006D4020" w:rsidRDefault="006D4020" w:rsidP="00DB077B">
            <w:pPr>
              <w:ind w:left="240" w:hanging="240"/>
              <w:jc w:val="center"/>
              <w:rPr>
                <w:rFonts w:cs="Arial"/>
                <w:b/>
                <w:sz w:val="20"/>
              </w:rPr>
            </w:pPr>
            <w:r w:rsidRPr="00E41176">
              <w:rPr>
                <w:rFonts w:cs="Arial"/>
                <w:b/>
                <w:sz w:val="20"/>
              </w:rPr>
              <w:t>31 March 201</w:t>
            </w:r>
            <w:r w:rsidR="00F34393">
              <w:rPr>
                <w:rFonts w:cs="Arial"/>
                <w:b/>
                <w:sz w:val="20"/>
              </w:rPr>
              <w:t>7</w:t>
            </w:r>
          </w:p>
          <w:p w:rsidR="001340FA" w:rsidRPr="00E41176" w:rsidRDefault="001340FA" w:rsidP="00DB077B">
            <w:pPr>
              <w:ind w:left="240" w:hanging="240"/>
              <w:jc w:val="center"/>
              <w:rPr>
                <w:rFonts w:cs="Arial"/>
                <w:b/>
                <w:sz w:val="20"/>
              </w:rPr>
            </w:pPr>
            <w:r>
              <w:rPr>
                <w:rFonts w:cs="Arial"/>
                <w:b/>
                <w:sz w:val="20"/>
              </w:rPr>
              <w:t>£</w:t>
            </w:r>
          </w:p>
        </w:tc>
      </w:tr>
      <w:tr w:rsidR="00E41176" w:rsidRPr="00C549D3" w:rsidTr="00B96299">
        <w:trPr>
          <w:trHeight w:val="495"/>
          <w:jc w:val="center"/>
        </w:trPr>
        <w:tc>
          <w:tcPr>
            <w:tcW w:w="2939" w:type="dxa"/>
            <w:vAlign w:val="center"/>
          </w:tcPr>
          <w:p w:rsidR="00E41176" w:rsidRPr="00E41176" w:rsidRDefault="00E41176" w:rsidP="00DB077B">
            <w:pPr>
              <w:spacing w:after="100" w:afterAutospacing="1"/>
              <w:ind w:left="240" w:hanging="240"/>
              <w:rPr>
                <w:rFonts w:cs="Arial"/>
                <w:sz w:val="20"/>
              </w:rPr>
            </w:pPr>
            <w:r w:rsidRPr="00E41176">
              <w:rPr>
                <w:rFonts w:cs="Arial"/>
                <w:sz w:val="20"/>
              </w:rPr>
              <w:t>General Fund</w:t>
            </w:r>
          </w:p>
        </w:tc>
        <w:tc>
          <w:tcPr>
            <w:tcW w:w="2340" w:type="dxa"/>
            <w:vAlign w:val="center"/>
          </w:tcPr>
          <w:p w:rsidR="00E41176" w:rsidRPr="00E41176" w:rsidRDefault="00F34393" w:rsidP="003B2FD3">
            <w:pPr>
              <w:pStyle w:val="BodyText"/>
              <w:ind w:left="240" w:hanging="240"/>
              <w:jc w:val="center"/>
              <w:rPr>
                <w:rFonts w:cs="Arial"/>
                <w:bCs/>
                <w:sz w:val="20"/>
                <w:highlight w:val="yellow"/>
              </w:rPr>
            </w:pPr>
            <w:r>
              <w:rPr>
                <w:rFonts w:cs="Arial"/>
                <w:bCs/>
                <w:sz w:val="20"/>
              </w:rPr>
              <w:t>4.396</w:t>
            </w:r>
            <w:r w:rsidR="00E41176" w:rsidRPr="00E41176">
              <w:rPr>
                <w:rFonts w:cs="Arial"/>
                <w:bCs/>
                <w:sz w:val="20"/>
              </w:rPr>
              <w:t>m</w:t>
            </w:r>
          </w:p>
        </w:tc>
        <w:tc>
          <w:tcPr>
            <w:tcW w:w="2425" w:type="dxa"/>
            <w:vAlign w:val="center"/>
          </w:tcPr>
          <w:p w:rsidR="00E41176" w:rsidRPr="00CA5573" w:rsidRDefault="00956BEA" w:rsidP="007652FE">
            <w:pPr>
              <w:pStyle w:val="BodyText"/>
              <w:ind w:left="240" w:hanging="240"/>
              <w:jc w:val="center"/>
              <w:rPr>
                <w:rFonts w:cs="Arial"/>
                <w:bCs/>
                <w:sz w:val="20"/>
              </w:rPr>
            </w:pPr>
            <w:r>
              <w:rPr>
                <w:rFonts w:cs="Arial"/>
                <w:bCs/>
                <w:sz w:val="20"/>
              </w:rPr>
              <w:t>4.094</w:t>
            </w:r>
            <w:r w:rsidR="00E41176" w:rsidRPr="00CA5573">
              <w:rPr>
                <w:rFonts w:cs="Arial"/>
                <w:bCs/>
                <w:sz w:val="20"/>
              </w:rPr>
              <w:t>m</w:t>
            </w:r>
          </w:p>
        </w:tc>
      </w:tr>
      <w:tr w:rsidR="00E41176" w:rsidRPr="00C549D3" w:rsidTr="00B96299">
        <w:trPr>
          <w:trHeight w:val="495"/>
          <w:jc w:val="center"/>
        </w:trPr>
        <w:tc>
          <w:tcPr>
            <w:tcW w:w="2939" w:type="dxa"/>
            <w:vAlign w:val="center"/>
          </w:tcPr>
          <w:p w:rsidR="00E41176" w:rsidRPr="00E41176" w:rsidRDefault="00E41176" w:rsidP="00DB077B">
            <w:pPr>
              <w:spacing w:after="100" w:afterAutospacing="1"/>
              <w:ind w:left="240" w:hanging="240"/>
              <w:rPr>
                <w:rFonts w:cs="Arial"/>
                <w:sz w:val="20"/>
              </w:rPr>
            </w:pPr>
            <w:r w:rsidRPr="00E41176">
              <w:rPr>
                <w:rFonts w:cs="Arial"/>
                <w:sz w:val="20"/>
              </w:rPr>
              <w:t>Earmarked Reserves</w:t>
            </w:r>
          </w:p>
        </w:tc>
        <w:tc>
          <w:tcPr>
            <w:tcW w:w="2340" w:type="dxa"/>
            <w:vAlign w:val="center"/>
          </w:tcPr>
          <w:p w:rsidR="00E41176" w:rsidRPr="00E41176" w:rsidRDefault="00F34393" w:rsidP="003B2FD3">
            <w:pPr>
              <w:pStyle w:val="BodyText"/>
              <w:ind w:left="240" w:hanging="240"/>
              <w:jc w:val="center"/>
              <w:rPr>
                <w:rFonts w:cs="Arial"/>
                <w:bCs/>
                <w:sz w:val="20"/>
                <w:highlight w:val="yellow"/>
              </w:rPr>
            </w:pPr>
            <w:r>
              <w:rPr>
                <w:rFonts w:cs="Arial"/>
                <w:bCs/>
                <w:sz w:val="20"/>
              </w:rPr>
              <w:t>10.415</w:t>
            </w:r>
            <w:r w:rsidR="00E41176" w:rsidRPr="00E41176">
              <w:rPr>
                <w:rFonts w:cs="Arial"/>
                <w:bCs/>
                <w:sz w:val="20"/>
              </w:rPr>
              <w:t>m</w:t>
            </w:r>
          </w:p>
        </w:tc>
        <w:tc>
          <w:tcPr>
            <w:tcW w:w="2425" w:type="dxa"/>
            <w:vAlign w:val="center"/>
          </w:tcPr>
          <w:p w:rsidR="00E41176" w:rsidRPr="00CA5573" w:rsidRDefault="00956BEA" w:rsidP="007652FE">
            <w:pPr>
              <w:pStyle w:val="BodyText"/>
              <w:ind w:left="240" w:hanging="240"/>
              <w:jc w:val="center"/>
              <w:rPr>
                <w:rFonts w:cs="Arial"/>
                <w:bCs/>
                <w:sz w:val="20"/>
              </w:rPr>
            </w:pPr>
            <w:r>
              <w:rPr>
                <w:rFonts w:cs="Arial"/>
                <w:bCs/>
                <w:sz w:val="20"/>
              </w:rPr>
              <w:t>15.732</w:t>
            </w:r>
            <w:r w:rsidR="00E41176" w:rsidRPr="00CA5573">
              <w:rPr>
                <w:rFonts w:cs="Arial"/>
                <w:bCs/>
                <w:sz w:val="20"/>
              </w:rPr>
              <w:t>m</w:t>
            </w:r>
          </w:p>
        </w:tc>
      </w:tr>
      <w:tr w:rsidR="00E41176" w:rsidRPr="00C549D3" w:rsidTr="00B96299">
        <w:trPr>
          <w:trHeight w:val="495"/>
          <w:jc w:val="center"/>
        </w:trPr>
        <w:tc>
          <w:tcPr>
            <w:tcW w:w="2939" w:type="dxa"/>
            <w:tcBorders>
              <w:bottom w:val="single" w:sz="4" w:space="0" w:color="A1C6CF"/>
            </w:tcBorders>
            <w:vAlign w:val="center"/>
          </w:tcPr>
          <w:p w:rsidR="00E41176" w:rsidRPr="00E41176" w:rsidRDefault="00E41176" w:rsidP="00DB077B">
            <w:pPr>
              <w:spacing w:after="100" w:afterAutospacing="1"/>
              <w:ind w:left="240" w:hanging="240"/>
              <w:rPr>
                <w:rFonts w:cs="Arial"/>
                <w:sz w:val="20"/>
              </w:rPr>
            </w:pPr>
            <w:r w:rsidRPr="00E41176">
              <w:rPr>
                <w:rFonts w:cs="Arial"/>
                <w:sz w:val="20"/>
              </w:rPr>
              <w:t>Usable Capital Receipts</w:t>
            </w:r>
          </w:p>
        </w:tc>
        <w:tc>
          <w:tcPr>
            <w:tcW w:w="2340" w:type="dxa"/>
            <w:tcBorders>
              <w:bottom w:val="single" w:sz="4" w:space="0" w:color="A1C6CF"/>
            </w:tcBorders>
            <w:vAlign w:val="center"/>
          </w:tcPr>
          <w:p w:rsidR="00E41176" w:rsidRPr="00E41176" w:rsidRDefault="00F34393" w:rsidP="003B2FD3">
            <w:pPr>
              <w:pStyle w:val="BodyText"/>
              <w:ind w:left="240" w:hanging="240"/>
              <w:jc w:val="center"/>
              <w:rPr>
                <w:rFonts w:cs="Arial"/>
                <w:bCs/>
                <w:sz w:val="20"/>
              </w:rPr>
            </w:pPr>
            <w:r>
              <w:rPr>
                <w:rFonts w:cs="Arial"/>
                <w:bCs/>
                <w:sz w:val="20"/>
              </w:rPr>
              <w:t>7.918</w:t>
            </w:r>
            <w:r w:rsidR="00E41176" w:rsidRPr="00E41176">
              <w:rPr>
                <w:rFonts w:cs="Arial"/>
                <w:bCs/>
                <w:sz w:val="20"/>
              </w:rPr>
              <w:t>m</w:t>
            </w:r>
          </w:p>
        </w:tc>
        <w:tc>
          <w:tcPr>
            <w:tcW w:w="2425" w:type="dxa"/>
            <w:tcBorders>
              <w:bottom w:val="single" w:sz="4" w:space="0" w:color="A1C6CF"/>
            </w:tcBorders>
            <w:vAlign w:val="center"/>
          </w:tcPr>
          <w:p w:rsidR="00E41176" w:rsidRPr="00CA5573" w:rsidRDefault="00956BEA" w:rsidP="00CA5573">
            <w:pPr>
              <w:pStyle w:val="BodyText"/>
              <w:ind w:left="240" w:hanging="240"/>
              <w:jc w:val="center"/>
              <w:rPr>
                <w:rFonts w:cs="Arial"/>
                <w:bCs/>
                <w:sz w:val="20"/>
              </w:rPr>
            </w:pPr>
            <w:r>
              <w:rPr>
                <w:rFonts w:cs="Arial"/>
                <w:bCs/>
                <w:sz w:val="20"/>
              </w:rPr>
              <w:t>2.657</w:t>
            </w:r>
            <w:r w:rsidR="00E41176" w:rsidRPr="00CA5573">
              <w:rPr>
                <w:rFonts w:cs="Arial"/>
                <w:bCs/>
                <w:sz w:val="20"/>
              </w:rPr>
              <w:t>m</w:t>
            </w:r>
          </w:p>
        </w:tc>
      </w:tr>
      <w:tr w:rsidR="007652FE" w:rsidRPr="00C549D3" w:rsidTr="00B96299">
        <w:trPr>
          <w:trHeight w:val="495"/>
          <w:jc w:val="center"/>
        </w:trPr>
        <w:tc>
          <w:tcPr>
            <w:tcW w:w="2939" w:type="dxa"/>
            <w:tcBorders>
              <w:bottom w:val="single" w:sz="4" w:space="0" w:color="A1C6CF"/>
            </w:tcBorders>
            <w:vAlign w:val="center"/>
          </w:tcPr>
          <w:p w:rsidR="007652FE" w:rsidRPr="00E41176" w:rsidRDefault="007652FE" w:rsidP="00DB077B">
            <w:pPr>
              <w:spacing w:after="100" w:afterAutospacing="1"/>
              <w:ind w:left="240" w:hanging="240"/>
              <w:rPr>
                <w:rFonts w:cs="Arial"/>
                <w:sz w:val="20"/>
              </w:rPr>
            </w:pPr>
            <w:r>
              <w:rPr>
                <w:rFonts w:cs="Arial"/>
                <w:sz w:val="20"/>
              </w:rPr>
              <w:t>Capital Grants Unapplied</w:t>
            </w:r>
          </w:p>
        </w:tc>
        <w:tc>
          <w:tcPr>
            <w:tcW w:w="2340" w:type="dxa"/>
            <w:tcBorders>
              <w:bottom w:val="single" w:sz="4" w:space="0" w:color="A1C6CF"/>
            </w:tcBorders>
            <w:vAlign w:val="center"/>
          </w:tcPr>
          <w:p w:rsidR="007652FE" w:rsidRPr="00E41176" w:rsidRDefault="00F34393" w:rsidP="003B2FD3">
            <w:pPr>
              <w:pStyle w:val="BodyText"/>
              <w:ind w:left="240" w:hanging="240"/>
              <w:jc w:val="center"/>
              <w:rPr>
                <w:rFonts w:cs="Arial"/>
                <w:bCs/>
                <w:sz w:val="20"/>
              </w:rPr>
            </w:pPr>
            <w:r>
              <w:rPr>
                <w:rFonts w:cs="Arial"/>
                <w:bCs/>
                <w:sz w:val="20"/>
              </w:rPr>
              <w:t>1.991</w:t>
            </w:r>
            <w:r w:rsidR="007652FE">
              <w:rPr>
                <w:rFonts w:cs="Arial"/>
                <w:bCs/>
                <w:sz w:val="20"/>
              </w:rPr>
              <w:t>m</w:t>
            </w:r>
          </w:p>
        </w:tc>
        <w:tc>
          <w:tcPr>
            <w:tcW w:w="2425" w:type="dxa"/>
            <w:tcBorders>
              <w:bottom w:val="single" w:sz="4" w:space="0" w:color="A1C6CF"/>
            </w:tcBorders>
            <w:vAlign w:val="center"/>
          </w:tcPr>
          <w:p w:rsidR="007652FE" w:rsidRPr="00CA5573" w:rsidRDefault="00956BEA" w:rsidP="00CA5573">
            <w:pPr>
              <w:pStyle w:val="BodyText"/>
              <w:ind w:left="240" w:hanging="240"/>
              <w:jc w:val="center"/>
              <w:rPr>
                <w:rFonts w:cs="Arial"/>
                <w:bCs/>
                <w:sz w:val="20"/>
              </w:rPr>
            </w:pPr>
            <w:r>
              <w:rPr>
                <w:rFonts w:cs="Arial"/>
                <w:bCs/>
                <w:sz w:val="20"/>
              </w:rPr>
              <w:t>2.019</w:t>
            </w:r>
            <w:r w:rsidR="007652FE" w:rsidRPr="00CA5573">
              <w:rPr>
                <w:rFonts w:cs="Arial"/>
                <w:bCs/>
                <w:sz w:val="20"/>
              </w:rPr>
              <w:t>m</w:t>
            </w:r>
          </w:p>
        </w:tc>
      </w:tr>
      <w:tr w:rsidR="006D4020" w:rsidRPr="00C549D3" w:rsidTr="00B96299">
        <w:trPr>
          <w:trHeight w:val="495"/>
          <w:jc w:val="center"/>
        </w:trPr>
        <w:tc>
          <w:tcPr>
            <w:tcW w:w="2939" w:type="dxa"/>
            <w:shd w:val="clear" w:color="auto" w:fill="D1E3E7"/>
            <w:vAlign w:val="center"/>
          </w:tcPr>
          <w:p w:rsidR="006D4020" w:rsidRPr="00E41176" w:rsidRDefault="006D4020" w:rsidP="00DB077B">
            <w:pPr>
              <w:spacing w:after="100" w:afterAutospacing="1"/>
              <w:ind w:left="240" w:hanging="240"/>
              <w:jc w:val="center"/>
              <w:rPr>
                <w:rFonts w:cs="Arial"/>
                <w:b/>
                <w:sz w:val="20"/>
              </w:rPr>
            </w:pPr>
            <w:r w:rsidRPr="00E41176">
              <w:rPr>
                <w:rFonts w:cs="Arial"/>
                <w:b/>
                <w:sz w:val="20"/>
              </w:rPr>
              <w:t>Total</w:t>
            </w:r>
          </w:p>
        </w:tc>
        <w:tc>
          <w:tcPr>
            <w:tcW w:w="2340" w:type="dxa"/>
            <w:shd w:val="clear" w:color="auto" w:fill="D1E3E7"/>
            <w:vAlign w:val="center"/>
          </w:tcPr>
          <w:p w:rsidR="006D4020" w:rsidRPr="00E41176" w:rsidRDefault="00970D9C" w:rsidP="00DB077B">
            <w:pPr>
              <w:pStyle w:val="BodyText"/>
              <w:ind w:left="240" w:hanging="240"/>
              <w:jc w:val="center"/>
              <w:rPr>
                <w:rFonts w:cs="Arial"/>
                <w:b/>
                <w:bCs/>
                <w:sz w:val="20"/>
              </w:rPr>
            </w:pPr>
            <w:r w:rsidRPr="00E41176">
              <w:rPr>
                <w:rFonts w:cs="Arial"/>
                <w:b/>
                <w:bCs/>
                <w:sz w:val="20"/>
              </w:rPr>
              <w:t>2</w:t>
            </w:r>
            <w:r w:rsidR="00F34393">
              <w:rPr>
                <w:rFonts w:cs="Arial"/>
                <w:b/>
                <w:bCs/>
                <w:sz w:val="20"/>
              </w:rPr>
              <w:t>4.720</w:t>
            </w:r>
            <w:r w:rsidR="00043D95" w:rsidRPr="00E41176">
              <w:rPr>
                <w:rFonts w:cs="Arial"/>
                <w:b/>
                <w:bCs/>
                <w:sz w:val="20"/>
              </w:rPr>
              <w:t>m</w:t>
            </w:r>
          </w:p>
        </w:tc>
        <w:tc>
          <w:tcPr>
            <w:tcW w:w="2425" w:type="dxa"/>
            <w:shd w:val="clear" w:color="auto" w:fill="D1E3E7"/>
            <w:vAlign w:val="center"/>
          </w:tcPr>
          <w:p w:rsidR="006D4020" w:rsidRPr="00CA5573" w:rsidRDefault="00956BEA" w:rsidP="00CA5573">
            <w:pPr>
              <w:pStyle w:val="BodyText"/>
              <w:ind w:left="240" w:hanging="240"/>
              <w:jc w:val="center"/>
              <w:rPr>
                <w:rFonts w:cs="Arial"/>
                <w:b/>
                <w:bCs/>
                <w:sz w:val="20"/>
              </w:rPr>
            </w:pPr>
            <w:r>
              <w:rPr>
                <w:rFonts w:cs="Arial"/>
                <w:b/>
                <w:bCs/>
                <w:sz w:val="20"/>
              </w:rPr>
              <w:t>24.502</w:t>
            </w:r>
            <w:r w:rsidR="007652FE" w:rsidRPr="00CA5573">
              <w:rPr>
                <w:rFonts w:cs="Arial"/>
                <w:b/>
                <w:bCs/>
                <w:sz w:val="20"/>
              </w:rPr>
              <w:t>m</w:t>
            </w:r>
          </w:p>
        </w:tc>
      </w:tr>
    </w:tbl>
    <w:p w:rsidR="006D4020" w:rsidRPr="00C549D3" w:rsidRDefault="006D4020" w:rsidP="006D4020">
      <w:pPr>
        <w:jc w:val="center"/>
        <w:rPr>
          <w:rFonts w:cs="Arial"/>
          <w:b/>
          <w:color w:val="3366FF"/>
          <w:sz w:val="22"/>
          <w:szCs w:val="22"/>
        </w:rPr>
      </w:pPr>
    </w:p>
    <w:p w:rsidR="000C6FB0" w:rsidRPr="00C549D3" w:rsidRDefault="006D4020" w:rsidP="006D4020">
      <w:pPr>
        <w:ind w:left="360"/>
        <w:jc w:val="both"/>
        <w:rPr>
          <w:color w:val="3366FF"/>
        </w:rPr>
      </w:pPr>
      <w:r w:rsidRPr="00E41176">
        <w:rPr>
          <w:rFonts w:cs="Arial"/>
          <w:b/>
          <w:sz w:val="22"/>
          <w:szCs w:val="22"/>
        </w:rPr>
        <w:t>Investments Held by the Council</w:t>
      </w:r>
      <w:r w:rsidRPr="00E41176">
        <w:rPr>
          <w:rFonts w:cs="Arial"/>
          <w:sz w:val="22"/>
          <w:szCs w:val="22"/>
        </w:rPr>
        <w:t xml:space="preserve"> - the Council maintained an average balance of</w:t>
      </w:r>
      <w:r w:rsidR="00762550">
        <w:rPr>
          <w:rFonts w:cs="Arial"/>
          <w:color w:val="3366FF"/>
          <w:sz w:val="22"/>
          <w:szCs w:val="22"/>
        </w:rPr>
        <w:t xml:space="preserve"> </w:t>
      </w:r>
      <w:r w:rsidR="00762550">
        <w:rPr>
          <w:rFonts w:cs="Arial"/>
          <w:sz w:val="22"/>
          <w:szCs w:val="22"/>
        </w:rPr>
        <w:t>£</w:t>
      </w:r>
      <w:r w:rsidR="0017331E">
        <w:rPr>
          <w:rFonts w:cs="Arial"/>
          <w:sz w:val="22"/>
          <w:szCs w:val="22"/>
        </w:rPr>
        <w:t>22.268m</w:t>
      </w:r>
      <w:r w:rsidR="00E6706E" w:rsidRPr="00C549D3">
        <w:rPr>
          <w:rFonts w:cs="Arial"/>
          <w:color w:val="3366FF"/>
          <w:sz w:val="22"/>
          <w:szCs w:val="22"/>
        </w:rPr>
        <w:t xml:space="preserve"> </w:t>
      </w:r>
      <w:r w:rsidR="00E6706E" w:rsidRPr="00E41176">
        <w:rPr>
          <w:rFonts w:cs="Arial"/>
          <w:sz w:val="22"/>
          <w:szCs w:val="22"/>
        </w:rPr>
        <w:t xml:space="preserve">in </w:t>
      </w:r>
      <w:r w:rsidR="002265D2">
        <w:rPr>
          <w:rFonts w:cs="Arial"/>
          <w:sz w:val="22"/>
          <w:szCs w:val="22"/>
        </w:rPr>
        <w:t>20</w:t>
      </w:r>
      <w:r w:rsidR="00E41176" w:rsidRPr="00E41176">
        <w:rPr>
          <w:rFonts w:cs="Arial"/>
          <w:sz w:val="22"/>
          <w:szCs w:val="22"/>
        </w:rPr>
        <w:t>16</w:t>
      </w:r>
      <w:r w:rsidR="002265D2">
        <w:rPr>
          <w:rFonts w:cs="Arial"/>
          <w:sz w:val="22"/>
          <w:szCs w:val="22"/>
        </w:rPr>
        <w:t>/17</w:t>
      </w:r>
      <w:r w:rsidR="00E6706E" w:rsidRPr="00E41176">
        <w:rPr>
          <w:rFonts w:cs="Arial"/>
          <w:sz w:val="22"/>
          <w:szCs w:val="22"/>
        </w:rPr>
        <w:t xml:space="preserve"> of internally managed funds with an</w:t>
      </w:r>
      <w:r w:rsidRPr="00E41176">
        <w:rPr>
          <w:rFonts w:cs="Arial"/>
          <w:sz w:val="22"/>
          <w:szCs w:val="22"/>
        </w:rPr>
        <w:t xml:space="preserve"> average rate of return of</w:t>
      </w:r>
      <w:r w:rsidRPr="00C549D3">
        <w:rPr>
          <w:rFonts w:cs="Arial"/>
          <w:color w:val="3366FF"/>
          <w:sz w:val="22"/>
          <w:szCs w:val="22"/>
        </w:rPr>
        <w:t xml:space="preserve"> </w:t>
      </w:r>
      <w:r w:rsidRPr="001340FA">
        <w:rPr>
          <w:rFonts w:cs="Arial"/>
          <w:sz w:val="22"/>
          <w:szCs w:val="22"/>
        </w:rPr>
        <w:t>0.</w:t>
      </w:r>
      <w:r w:rsidR="00762550">
        <w:rPr>
          <w:rFonts w:cs="Arial"/>
          <w:sz w:val="22"/>
          <w:szCs w:val="22"/>
        </w:rPr>
        <w:t>63</w:t>
      </w:r>
      <w:r w:rsidRPr="001340FA">
        <w:rPr>
          <w:rFonts w:cs="Arial"/>
          <w:sz w:val="22"/>
          <w:szCs w:val="22"/>
        </w:rPr>
        <w:t>%.</w:t>
      </w:r>
      <w:r w:rsidRPr="00C549D3">
        <w:rPr>
          <w:rFonts w:cs="Arial"/>
          <w:color w:val="3366FF"/>
          <w:sz w:val="22"/>
          <w:szCs w:val="22"/>
        </w:rPr>
        <w:t xml:space="preserve">  </w:t>
      </w:r>
    </w:p>
    <w:sectPr w:rsidR="000C6FB0" w:rsidRPr="00C549D3">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26" w:rsidRDefault="00B53826" w:rsidP="00DB077B">
      <w:r>
        <w:separator/>
      </w:r>
    </w:p>
  </w:endnote>
  <w:endnote w:type="continuationSeparator" w:id="0">
    <w:p w:rsidR="00B53826" w:rsidRDefault="00B53826" w:rsidP="00D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26" w:rsidRDefault="00B53826" w:rsidP="00DB077B">
      <w:r>
        <w:separator/>
      </w:r>
    </w:p>
  </w:footnote>
  <w:footnote w:type="continuationSeparator" w:id="0">
    <w:p w:rsidR="00B53826" w:rsidRDefault="00B53826" w:rsidP="00DB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76" w:rsidRPr="006D4020" w:rsidRDefault="00E41176" w:rsidP="006D4020">
    <w:pPr>
      <w:pStyle w:val="Header"/>
      <w:jc w:val="right"/>
      <w:rPr>
        <w:b/>
        <w:sz w:val="22"/>
        <w:szCs w:val="22"/>
      </w:rPr>
    </w:pPr>
    <w:r>
      <w:rPr>
        <w:b/>
        <w:sz w:val="22"/>
        <w:szCs w:val="22"/>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F10"/>
    <w:multiLevelType w:val="hybridMultilevel"/>
    <w:tmpl w:val="CA2E007E"/>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F54C07"/>
    <w:multiLevelType w:val="multilevel"/>
    <w:tmpl w:val="CA2E007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0178E4"/>
    <w:multiLevelType w:val="hybridMultilevel"/>
    <w:tmpl w:val="4A76E356"/>
    <w:lvl w:ilvl="0" w:tplc="F9F2471A">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3E23B7"/>
    <w:multiLevelType w:val="multilevel"/>
    <w:tmpl w:val="9C9A3104"/>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1525C6"/>
    <w:multiLevelType w:val="hybridMultilevel"/>
    <w:tmpl w:val="455C25D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20"/>
    <w:rsid w:val="00016759"/>
    <w:rsid w:val="000277DC"/>
    <w:rsid w:val="00043D95"/>
    <w:rsid w:val="00065A7A"/>
    <w:rsid w:val="00074CEB"/>
    <w:rsid w:val="000779F2"/>
    <w:rsid w:val="000B181B"/>
    <w:rsid w:val="000B6A37"/>
    <w:rsid w:val="000B6C93"/>
    <w:rsid w:val="000C6FB0"/>
    <w:rsid w:val="000E4C0A"/>
    <w:rsid w:val="001340FA"/>
    <w:rsid w:val="0015335E"/>
    <w:rsid w:val="0017331E"/>
    <w:rsid w:val="001740D9"/>
    <w:rsid w:val="00193B0A"/>
    <w:rsid w:val="001F5386"/>
    <w:rsid w:val="002039D5"/>
    <w:rsid w:val="002265D2"/>
    <w:rsid w:val="00275AEE"/>
    <w:rsid w:val="00280A38"/>
    <w:rsid w:val="002B59EC"/>
    <w:rsid w:val="002C2C44"/>
    <w:rsid w:val="00303B96"/>
    <w:rsid w:val="003B2FD3"/>
    <w:rsid w:val="003B625B"/>
    <w:rsid w:val="003C5DD9"/>
    <w:rsid w:val="004014B1"/>
    <w:rsid w:val="0045269A"/>
    <w:rsid w:val="004579C2"/>
    <w:rsid w:val="004B6054"/>
    <w:rsid w:val="00511402"/>
    <w:rsid w:val="00530B3E"/>
    <w:rsid w:val="005943F6"/>
    <w:rsid w:val="005B09A9"/>
    <w:rsid w:val="005B1629"/>
    <w:rsid w:val="005B60C0"/>
    <w:rsid w:val="005E2368"/>
    <w:rsid w:val="005E612D"/>
    <w:rsid w:val="005E63CB"/>
    <w:rsid w:val="005F1DC7"/>
    <w:rsid w:val="00604F7D"/>
    <w:rsid w:val="00617DDB"/>
    <w:rsid w:val="00637D23"/>
    <w:rsid w:val="00643BA9"/>
    <w:rsid w:val="00681973"/>
    <w:rsid w:val="00695729"/>
    <w:rsid w:val="006B6DD8"/>
    <w:rsid w:val="006D04D5"/>
    <w:rsid w:val="006D4020"/>
    <w:rsid w:val="006E5DAC"/>
    <w:rsid w:val="007074B7"/>
    <w:rsid w:val="00717F0A"/>
    <w:rsid w:val="00762550"/>
    <w:rsid w:val="007635EE"/>
    <w:rsid w:val="007652FE"/>
    <w:rsid w:val="0077265D"/>
    <w:rsid w:val="00800942"/>
    <w:rsid w:val="0081337A"/>
    <w:rsid w:val="00834A75"/>
    <w:rsid w:val="00834D3D"/>
    <w:rsid w:val="00840689"/>
    <w:rsid w:val="008431CF"/>
    <w:rsid w:val="008466AC"/>
    <w:rsid w:val="00887698"/>
    <w:rsid w:val="00887DE1"/>
    <w:rsid w:val="008A79CA"/>
    <w:rsid w:val="008D7B4D"/>
    <w:rsid w:val="00900E86"/>
    <w:rsid w:val="00927613"/>
    <w:rsid w:val="009567CC"/>
    <w:rsid w:val="00956BEA"/>
    <w:rsid w:val="009607B0"/>
    <w:rsid w:val="00960D45"/>
    <w:rsid w:val="00970D9C"/>
    <w:rsid w:val="009757A4"/>
    <w:rsid w:val="009973D1"/>
    <w:rsid w:val="009C1C69"/>
    <w:rsid w:val="00A73A2B"/>
    <w:rsid w:val="00AF16C4"/>
    <w:rsid w:val="00B15E7A"/>
    <w:rsid w:val="00B30B75"/>
    <w:rsid w:val="00B322FD"/>
    <w:rsid w:val="00B52C93"/>
    <w:rsid w:val="00B53826"/>
    <w:rsid w:val="00B96299"/>
    <w:rsid w:val="00BB0369"/>
    <w:rsid w:val="00BC2CDC"/>
    <w:rsid w:val="00BC3943"/>
    <w:rsid w:val="00BD0478"/>
    <w:rsid w:val="00BF0D9F"/>
    <w:rsid w:val="00C137AA"/>
    <w:rsid w:val="00C50A87"/>
    <w:rsid w:val="00C54371"/>
    <w:rsid w:val="00C549D3"/>
    <w:rsid w:val="00C738DB"/>
    <w:rsid w:val="00CA5573"/>
    <w:rsid w:val="00D07E51"/>
    <w:rsid w:val="00D11F4B"/>
    <w:rsid w:val="00D12182"/>
    <w:rsid w:val="00D22414"/>
    <w:rsid w:val="00D225E7"/>
    <w:rsid w:val="00D40997"/>
    <w:rsid w:val="00D461A7"/>
    <w:rsid w:val="00DB077B"/>
    <w:rsid w:val="00DB4943"/>
    <w:rsid w:val="00DB4CB1"/>
    <w:rsid w:val="00DE0A2A"/>
    <w:rsid w:val="00DF17B5"/>
    <w:rsid w:val="00E13866"/>
    <w:rsid w:val="00E269DE"/>
    <w:rsid w:val="00E41176"/>
    <w:rsid w:val="00E42722"/>
    <w:rsid w:val="00E6706E"/>
    <w:rsid w:val="00E77591"/>
    <w:rsid w:val="00E77681"/>
    <w:rsid w:val="00EB2CA8"/>
    <w:rsid w:val="00EE0821"/>
    <w:rsid w:val="00F04E4D"/>
    <w:rsid w:val="00F34393"/>
    <w:rsid w:val="00F507FF"/>
    <w:rsid w:val="00F6228C"/>
    <w:rsid w:val="00F63754"/>
    <w:rsid w:val="00F94B16"/>
    <w:rsid w:val="00F96487"/>
    <w:rsid w:val="00FD2F46"/>
    <w:rsid w:val="00FE45CB"/>
    <w:rsid w:val="00FF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02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020"/>
    <w:rPr>
      <w:sz w:val="22"/>
    </w:rPr>
  </w:style>
  <w:style w:type="character" w:customStyle="1" w:styleId="BodyTextChar">
    <w:name w:val="Body Text Char"/>
    <w:link w:val="BodyText"/>
    <w:semiHidden/>
    <w:locked/>
    <w:rsid w:val="006D4020"/>
    <w:rPr>
      <w:rFonts w:ascii="Arial" w:hAnsi="Arial"/>
      <w:sz w:val="22"/>
      <w:lang w:val="en-GB" w:eastAsia="en-US" w:bidi="ar-SA"/>
    </w:rPr>
  </w:style>
  <w:style w:type="paragraph" w:styleId="Header">
    <w:name w:val="header"/>
    <w:basedOn w:val="Normal"/>
    <w:rsid w:val="006D4020"/>
    <w:pPr>
      <w:tabs>
        <w:tab w:val="center" w:pos="4320"/>
        <w:tab w:val="right" w:pos="8640"/>
      </w:tabs>
    </w:pPr>
  </w:style>
  <w:style w:type="paragraph" w:styleId="Footer">
    <w:name w:val="footer"/>
    <w:basedOn w:val="Normal"/>
    <w:rsid w:val="006D4020"/>
    <w:pPr>
      <w:tabs>
        <w:tab w:val="center" w:pos="4320"/>
        <w:tab w:val="right" w:pos="8640"/>
      </w:tabs>
    </w:pPr>
  </w:style>
  <w:style w:type="paragraph" w:styleId="DocumentMap">
    <w:name w:val="Document Map"/>
    <w:basedOn w:val="Normal"/>
    <w:semiHidden/>
    <w:rsid w:val="00E13866"/>
    <w:pPr>
      <w:shd w:val="clear" w:color="auto" w:fill="000080"/>
    </w:pPr>
    <w:rPr>
      <w:rFonts w:ascii="Tahoma" w:hAnsi="Tahoma" w:cs="Tahoma"/>
      <w:sz w:val="20"/>
    </w:rPr>
  </w:style>
  <w:style w:type="paragraph" w:styleId="BalloonText">
    <w:name w:val="Balloon Text"/>
    <w:basedOn w:val="Normal"/>
    <w:semiHidden/>
    <w:rsid w:val="00681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02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020"/>
    <w:rPr>
      <w:sz w:val="22"/>
    </w:rPr>
  </w:style>
  <w:style w:type="character" w:customStyle="1" w:styleId="BodyTextChar">
    <w:name w:val="Body Text Char"/>
    <w:link w:val="BodyText"/>
    <w:semiHidden/>
    <w:locked/>
    <w:rsid w:val="006D4020"/>
    <w:rPr>
      <w:rFonts w:ascii="Arial" w:hAnsi="Arial"/>
      <w:sz w:val="22"/>
      <w:lang w:val="en-GB" w:eastAsia="en-US" w:bidi="ar-SA"/>
    </w:rPr>
  </w:style>
  <w:style w:type="paragraph" w:styleId="Header">
    <w:name w:val="header"/>
    <w:basedOn w:val="Normal"/>
    <w:rsid w:val="006D4020"/>
    <w:pPr>
      <w:tabs>
        <w:tab w:val="center" w:pos="4320"/>
        <w:tab w:val="right" w:pos="8640"/>
      </w:tabs>
    </w:pPr>
  </w:style>
  <w:style w:type="paragraph" w:styleId="Footer">
    <w:name w:val="footer"/>
    <w:basedOn w:val="Normal"/>
    <w:rsid w:val="006D4020"/>
    <w:pPr>
      <w:tabs>
        <w:tab w:val="center" w:pos="4320"/>
        <w:tab w:val="right" w:pos="8640"/>
      </w:tabs>
    </w:pPr>
  </w:style>
  <w:style w:type="paragraph" w:styleId="DocumentMap">
    <w:name w:val="Document Map"/>
    <w:basedOn w:val="Normal"/>
    <w:semiHidden/>
    <w:rsid w:val="00E13866"/>
    <w:pPr>
      <w:shd w:val="clear" w:color="auto" w:fill="000080"/>
    </w:pPr>
    <w:rPr>
      <w:rFonts w:ascii="Tahoma" w:hAnsi="Tahoma" w:cs="Tahoma"/>
      <w:sz w:val="20"/>
    </w:rPr>
  </w:style>
  <w:style w:type="paragraph" w:styleId="BalloonText">
    <w:name w:val="Balloon Text"/>
    <w:basedOn w:val="Normal"/>
    <w:semiHidden/>
    <w:rsid w:val="00681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D531-5F8D-453D-BC1C-D8F1EB3A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ANNUAL REPORT ON THE TREASURY MANAGEMENT SERVICE 2013/14</vt:lpstr>
    </vt:vector>
  </TitlesOfParts>
  <Company>Three Rivers District Council</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THE TREASURY MANAGEMENT SERVICE 2013/14</dc:title>
  <dc:creator>Powera</dc:creator>
  <cp:lastModifiedBy>Mike Simpson</cp:lastModifiedBy>
  <cp:revision>2</cp:revision>
  <cp:lastPrinted>2016-06-17T16:46:00Z</cp:lastPrinted>
  <dcterms:created xsi:type="dcterms:W3CDTF">2017-06-27T08:18:00Z</dcterms:created>
  <dcterms:modified xsi:type="dcterms:W3CDTF">2017-06-27T08:18:00Z</dcterms:modified>
</cp:coreProperties>
</file>