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8F" w:rsidRDefault="007C0F52" w:rsidP="00E05827">
      <w:pPr>
        <w:jc w:val="center"/>
        <w:outlineLvl w:val="0"/>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223E6">
        <w:rPr>
          <w:b/>
        </w:rPr>
        <w:t>AUDIT</w:t>
      </w:r>
      <w:r>
        <w:rPr>
          <w:b/>
        </w:rPr>
        <w:t xml:space="preserve"> COMMITTEE </w:t>
      </w:r>
      <w:r w:rsidR="006223E6">
        <w:rPr>
          <w:b/>
        </w:rPr>
        <w:t>–</w:t>
      </w:r>
      <w:r>
        <w:rPr>
          <w:b/>
        </w:rPr>
        <w:t xml:space="preserve"> </w:t>
      </w:r>
      <w:r w:rsidR="00F03ECA">
        <w:rPr>
          <w:b/>
        </w:rPr>
        <w:t>2</w:t>
      </w:r>
      <w:r w:rsidR="008B30F2">
        <w:rPr>
          <w:b/>
        </w:rPr>
        <w:t>6</w:t>
      </w:r>
      <w:r w:rsidR="004072B9">
        <w:rPr>
          <w:b/>
        </w:rPr>
        <w:t xml:space="preserve"> </w:t>
      </w:r>
      <w:r w:rsidR="001C4C97">
        <w:rPr>
          <w:b/>
        </w:rPr>
        <w:t>JU</w:t>
      </w:r>
      <w:r w:rsidR="008B30F2">
        <w:rPr>
          <w:b/>
        </w:rPr>
        <w:t>LY</w:t>
      </w:r>
      <w:r w:rsidR="004072B9">
        <w:rPr>
          <w:b/>
        </w:rPr>
        <w:t xml:space="preserve"> 201</w:t>
      </w:r>
      <w:r w:rsidR="00F52AE0">
        <w:rPr>
          <w:b/>
        </w:rPr>
        <w:t>6</w:t>
      </w:r>
    </w:p>
    <w:p w:rsidR="007C0F52" w:rsidRDefault="007C0F52" w:rsidP="006223E6">
      <w:pPr>
        <w:jc w:val="center"/>
      </w:pPr>
    </w:p>
    <w:p w:rsidR="00EB128F" w:rsidRDefault="007C0F52" w:rsidP="00E05827">
      <w:pPr>
        <w:jc w:val="center"/>
        <w:outlineLvl w:val="0"/>
        <w:rPr>
          <w:b/>
        </w:rPr>
      </w:pPr>
      <w:r>
        <w:rPr>
          <w:b/>
        </w:rPr>
        <w:t xml:space="preserve">PART </w:t>
      </w:r>
      <w:r>
        <w:rPr>
          <w:b/>
        </w:rPr>
        <w:fldChar w:fldCharType="begin"/>
      </w:r>
      <w:r>
        <w:rPr>
          <w:b/>
        </w:rPr>
        <w:instrText xml:space="preserve">  </w:instrText>
      </w:r>
      <w:r>
        <w:rPr>
          <w:b/>
        </w:rPr>
        <w:fldChar w:fldCharType="end"/>
      </w:r>
      <w:r>
        <w:rPr>
          <w:b/>
        </w:rPr>
        <w:t xml:space="preserve">I </w:t>
      </w:r>
      <w:r w:rsidR="00EB128F">
        <w:rPr>
          <w:b/>
        </w:rPr>
        <w:t>–</w:t>
      </w:r>
      <w:r>
        <w:rPr>
          <w:b/>
        </w:rPr>
        <w:t xml:space="preserve"> </w:t>
      </w:r>
      <w:r>
        <w:rPr>
          <w:b/>
        </w:rPr>
        <w:fldChar w:fldCharType="begin"/>
      </w:r>
      <w:r>
        <w:rPr>
          <w:b/>
        </w:rPr>
        <w:instrText xml:space="preserve">  </w:instrText>
      </w:r>
      <w:r>
        <w:rPr>
          <w:b/>
        </w:rPr>
        <w:fldChar w:fldCharType="end"/>
      </w:r>
      <w:r>
        <w:rPr>
          <w:b/>
        </w:rPr>
        <w:t>DELEGATED</w:t>
      </w:r>
    </w:p>
    <w:p w:rsidR="007C0F52" w:rsidRDefault="007C0F52">
      <w:pPr>
        <w:jc w:val="center"/>
        <w:rPr>
          <w:i/>
          <w:color w:val="FF0000"/>
        </w:rPr>
      </w:pPr>
      <w:r>
        <w:rPr>
          <w:b/>
        </w:rPr>
        <w:fldChar w:fldCharType="begin"/>
      </w:r>
      <w:r>
        <w:rPr>
          <w:b/>
        </w:rPr>
        <w:instrText xml:space="preserve">  </w:instrText>
      </w:r>
      <w:r>
        <w:rPr>
          <w:b/>
        </w:rPr>
        <w:fldChar w:fldCharType="end"/>
      </w:r>
    </w:p>
    <w:p w:rsidR="007C0F52" w:rsidRDefault="007C0F52"/>
    <w:p w:rsidR="006223E6" w:rsidRDefault="005458BD" w:rsidP="001F2A81">
      <w:pPr>
        <w:keepNext/>
        <w:ind w:left="1267" w:hanging="1267"/>
        <w:jc w:val="left"/>
        <w:rPr>
          <w:b/>
        </w:rPr>
      </w:pPr>
      <w:r>
        <w:rPr>
          <w:b/>
        </w:rPr>
        <w:t>6</w:t>
      </w:r>
      <w:r w:rsidR="006223E6">
        <w:rPr>
          <w:b/>
        </w:rPr>
        <w:t>.</w:t>
      </w:r>
      <w:r w:rsidR="007C0F52">
        <w:rPr>
          <w:b/>
        </w:rPr>
        <w:fldChar w:fldCharType="begin"/>
      </w:r>
      <w:r w:rsidR="007C0F52">
        <w:rPr>
          <w:b/>
        </w:rPr>
        <w:instrText xml:space="preserve">  </w:instrText>
      </w:r>
      <w:r w:rsidR="007C0F52">
        <w:rPr>
          <w:b/>
        </w:rPr>
        <w:fldChar w:fldCharType="end"/>
      </w:r>
      <w:r w:rsidR="007C0F52">
        <w:rPr>
          <w:b/>
        </w:rPr>
        <w:tab/>
      </w:r>
      <w:r w:rsidR="00096831" w:rsidRPr="00096831">
        <w:rPr>
          <w:rFonts w:cs="Arial"/>
          <w:b/>
          <w:caps/>
          <w:lang w:val="en-US"/>
        </w:rPr>
        <w:t xml:space="preserve">Internal Audit </w:t>
      </w:r>
      <w:r w:rsidR="00A14AA6">
        <w:rPr>
          <w:rFonts w:cs="Arial"/>
          <w:b/>
          <w:caps/>
          <w:lang w:val="en-US"/>
        </w:rPr>
        <w:t>RECOMMENDATIONS</w:t>
      </w:r>
    </w:p>
    <w:p w:rsidR="007C0F52" w:rsidRDefault="007C0F52">
      <w:pPr>
        <w:keepNext/>
        <w:ind w:left="1267" w:hanging="1267"/>
      </w:pPr>
      <w:r>
        <w:rPr>
          <w:b/>
        </w:rPr>
        <w:tab/>
      </w:r>
      <w:r>
        <w:t>(</w:t>
      </w:r>
      <w:proofErr w:type="spellStart"/>
      <w:r w:rsidR="006F5703">
        <w:t>D</w:t>
      </w:r>
      <w:r w:rsidR="00340B38">
        <w:t>oF</w:t>
      </w:r>
      <w:proofErr w:type="spellEnd"/>
      <w:r w:rsidR="001F2A81">
        <w:t>)</w:t>
      </w:r>
      <w:r>
        <w:fldChar w:fldCharType="begin"/>
      </w:r>
      <w:r>
        <w:instrText xml:space="preserve">  </w:instrText>
      </w:r>
      <w:r>
        <w:fldChar w:fldCharType="end"/>
      </w:r>
    </w:p>
    <w:p w:rsidR="007C0F52" w:rsidRDefault="007C0F52">
      <w:pPr>
        <w:ind w:left="1260" w:hanging="1260"/>
      </w:pPr>
    </w:p>
    <w:p w:rsidR="007C0F52" w:rsidRDefault="007C0F52">
      <w:pPr>
        <w:keepNext/>
        <w:ind w:left="1267" w:hanging="1267"/>
      </w:pPr>
      <w:r>
        <w:t>1.</w:t>
      </w:r>
      <w:r>
        <w:tab/>
      </w:r>
      <w:r>
        <w:rPr>
          <w:b/>
        </w:rPr>
        <w:t>Summary</w:t>
      </w:r>
    </w:p>
    <w:p w:rsidR="007C0F52" w:rsidRDefault="007C0F52">
      <w:pPr>
        <w:keepNext/>
        <w:ind w:left="1267" w:hanging="1267"/>
      </w:pPr>
    </w:p>
    <w:p w:rsidR="00096831" w:rsidRPr="00096831" w:rsidRDefault="007C0F52" w:rsidP="00096831">
      <w:pPr>
        <w:ind w:left="1276" w:hanging="1276"/>
        <w:rPr>
          <w:lang w:val="en-US"/>
        </w:rPr>
      </w:pPr>
      <w:r>
        <w:t>1.1</w:t>
      </w:r>
      <w:r>
        <w:tab/>
      </w:r>
      <w:r w:rsidR="00096831" w:rsidRPr="00096831">
        <w:rPr>
          <w:lang w:val="en-US"/>
        </w:rPr>
        <w:t>This report gives details of the progress made in implementing the recommendations of the internal auditor.</w:t>
      </w:r>
    </w:p>
    <w:p w:rsidR="007C0F52" w:rsidRDefault="007C0F52" w:rsidP="00E05B81">
      <w:pPr>
        <w:ind w:left="1276" w:hanging="1276"/>
      </w:pPr>
    </w:p>
    <w:p w:rsidR="007C0F52" w:rsidRDefault="007C0F52">
      <w:pPr>
        <w:keepNext/>
        <w:ind w:left="1267" w:hanging="1267"/>
        <w:rPr>
          <w:b/>
        </w:rPr>
      </w:pPr>
      <w:r>
        <w:t>2.</w:t>
      </w:r>
      <w:r>
        <w:tab/>
      </w:r>
      <w:r>
        <w:rPr>
          <w:b/>
        </w:rPr>
        <w:t>Details</w:t>
      </w:r>
    </w:p>
    <w:p w:rsidR="007C0F52" w:rsidRDefault="007C0F52">
      <w:pPr>
        <w:keepNext/>
        <w:ind w:left="1267" w:hanging="1267"/>
        <w:rPr>
          <w:b/>
          <w:u w:val="single"/>
        </w:rPr>
      </w:pPr>
    </w:p>
    <w:p w:rsidR="00C6427B" w:rsidRPr="00C6427B" w:rsidRDefault="007C0F52" w:rsidP="00C6427B">
      <w:pPr>
        <w:ind w:left="1276" w:hanging="1276"/>
        <w:rPr>
          <w:lang w:val="en-US"/>
        </w:rPr>
      </w:pPr>
      <w:r>
        <w:t>2.1</w:t>
      </w:r>
      <w:r>
        <w:tab/>
      </w:r>
      <w:r>
        <w:fldChar w:fldCharType="begin"/>
      </w:r>
      <w:r>
        <w:instrText xml:space="preserve">  </w:instrText>
      </w:r>
      <w:r>
        <w:fldChar w:fldCharType="end"/>
      </w:r>
      <w:r w:rsidR="00C6427B" w:rsidRPr="00C6427B">
        <w:rPr>
          <w:rFonts w:asciiTheme="minorHAnsi" w:hAnsiTheme="minorHAnsi" w:cs="Arial"/>
          <w:sz w:val="24"/>
          <w:lang w:val="en-US" w:eastAsia="en-US"/>
        </w:rPr>
        <w:t xml:space="preserve"> </w:t>
      </w:r>
      <w:r w:rsidR="00C6427B" w:rsidRPr="00C6427B">
        <w:rPr>
          <w:lang w:val="en-US"/>
        </w:rPr>
        <w:t>The Shared Internal Audit Service (SIAS) latest Progress Report is attached</w:t>
      </w:r>
      <w:r w:rsidR="005458BD">
        <w:rPr>
          <w:lang w:val="en-US"/>
        </w:rPr>
        <w:t>.  Also attached are Appendices 3-9 giving details of the outstanding recommendations and the actions completed since the last report to this Committee.</w:t>
      </w:r>
      <w:r w:rsidR="00C6427B" w:rsidRPr="00C6427B">
        <w:rPr>
          <w:lang w:val="en-US"/>
        </w:rPr>
        <w:t xml:space="preserve"> </w:t>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t xml:space="preserve"> </w:t>
      </w:r>
    </w:p>
    <w:p w:rsidR="00E05B81" w:rsidRPr="00E05B81" w:rsidRDefault="00E05B81" w:rsidP="00E05B81">
      <w:pPr>
        <w:ind w:left="1276" w:hanging="1276"/>
        <w:rPr>
          <w:lang w:val="en-US"/>
        </w:rPr>
      </w:pPr>
    </w:p>
    <w:p w:rsidR="005458BD" w:rsidRDefault="006223E6" w:rsidP="00E05B81">
      <w:pPr>
        <w:ind w:left="1267" w:hanging="1267"/>
      </w:pPr>
      <w:r w:rsidRPr="00E05827">
        <w:t>2.</w:t>
      </w:r>
      <w:r w:rsidR="00885536">
        <w:t>2</w:t>
      </w:r>
      <w:r w:rsidRPr="00E05827">
        <w:tab/>
      </w:r>
      <w:r w:rsidR="00E05B81">
        <w:tab/>
      </w:r>
      <w:r w:rsidR="005458BD">
        <w:t>At this Committee</w:t>
      </w:r>
      <w:r w:rsidR="00B01B2C">
        <w:t>’s meeting</w:t>
      </w:r>
      <w:r w:rsidR="005458BD">
        <w:t xml:space="preserve"> on 28 June 2016, the request was that these </w:t>
      </w:r>
      <w:r w:rsidR="00A600C2">
        <w:t>appendices</w:t>
      </w:r>
      <w:r w:rsidR="005458BD">
        <w:t xml:space="preserve"> be brought back to this meeting duly updated to reflect the following:</w:t>
      </w:r>
    </w:p>
    <w:p w:rsidR="005458BD" w:rsidRDefault="005458BD" w:rsidP="00E05B81">
      <w:pPr>
        <w:ind w:left="1267" w:hanging="1267"/>
      </w:pPr>
    </w:p>
    <w:p w:rsidR="005458BD" w:rsidRPr="00A600C2" w:rsidRDefault="005458BD" w:rsidP="005458BD">
      <w:pPr>
        <w:pStyle w:val="ListParagraph"/>
        <w:numPr>
          <w:ilvl w:val="0"/>
          <w:numId w:val="13"/>
        </w:numPr>
        <w:ind w:left="2160"/>
        <w:rPr>
          <w:rFonts w:ascii="Arial" w:hAnsi="Arial" w:cs="Arial"/>
        </w:rPr>
      </w:pPr>
      <w:r w:rsidRPr="00A600C2">
        <w:rPr>
          <w:rFonts w:ascii="Arial" w:hAnsi="Arial" w:cs="Arial"/>
        </w:rPr>
        <w:t>Revised wording on the appendices header</w:t>
      </w:r>
    </w:p>
    <w:p w:rsidR="005458BD" w:rsidRPr="00A600C2" w:rsidRDefault="005458BD" w:rsidP="005458BD">
      <w:pPr>
        <w:pStyle w:val="ListParagraph"/>
        <w:numPr>
          <w:ilvl w:val="0"/>
          <w:numId w:val="13"/>
        </w:numPr>
        <w:ind w:left="2160"/>
        <w:rPr>
          <w:rFonts w:ascii="Arial" w:hAnsi="Arial" w:cs="Arial"/>
        </w:rPr>
      </w:pPr>
      <w:r w:rsidRPr="00A600C2">
        <w:rPr>
          <w:rFonts w:ascii="Arial" w:hAnsi="Arial" w:cs="Arial"/>
        </w:rPr>
        <w:t>Reversal of the extensions to the following audits as these were not agreed by Committee in March 2016.  These audits are the subject of separate report from officers also in the Co</w:t>
      </w:r>
      <w:r w:rsidR="00A600C2">
        <w:rPr>
          <w:rFonts w:ascii="Arial" w:hAnsi="Arial" w:cs="Arial"/>
        </w:rPr>
        <w:t>mmittee agenda to be considered:</w:t>
      </w:r>
    </w:p>
    <w:p w:rsidR="005458BD" w:rsidRPr="00A600C2" w:rsidRDefault="005458BD" w:rsidP="005458BD">
      <w:pPr>
        <w:pStyle w:val="ListParagraph"/>
        <w:numPr>
          <w:ilvl w:val="3"/>
          <w:numId w:val="14"/>
        </w:numPr>
        <w:rPr>
          <w:rFonts w:ascii="Arial" w:hAnsi="Arial" w:cs="Arial"/>
        </w:rPr>
      </w:pPr>
      <w:r w:rsidRPr="00A600C2">
        <w:rPr>
          <w:rFonts w:ascii="Arial" w:hAnsi="Arial" w:cs="Arial"/>
        </w:rPr>
        <w:t>Health &amp; Safety</w:t>
      </w:r>
    </w:p>
    <w:p w:rsidR="005458BD" w:rsidRPr="00A600C2" w:rsidRDefault="005458BD" w:rsidP="005458BD">
      <w:pPr>
        <w:pStyle w:val="ListParagraph"/>
        <w:numPr>
          <w:ilvl w:val="3"/>
          <w:numId w:val="14"/>
        </w:numPr>
        <w:rPr>
          <w:rFonts w:ascii="Arial" w:hAnsi="Arial" w:cs="Arial"/>
        </w:rPr>
      </w:pPr>
      <w:r w:rsidRPr="00A600C2">
        <w:rPr>
          <w:rFonts w:ascii="Arial" w:hAnsi="Arial" w:cs="Arial"/>
        </w:rPr>
        <w:t>Asset Management</w:t>
      </w:r>
    </w:p>
    <w:p w:rsidR="005458BD" w:rsidRPr="00A600C2" w:rsidRDefault="005458BD" w:rsidP="005458BD">
      <w:pPr>
        <w:pStyle w:val="ListParagraph"/>
        <w:numPr>
          <w:ilvl w:val="3"/>
          <w:numId w:val="14"/>
        </w:numPr>
        <w:rPr>
          <w:rFonts w:ascii="Arial" w:hAnsi="Arial" w:cs="Arial"/>
        </w:rPr>
      </w:pPr>
      <w:r w:rsidRPr="00A600C2">
        <w:rPr>
          <w:rFonts w:ascii="Arial" w:hAnsi="Arial" w:cs="Arial"/>
        </w:rPr>
        <w:t>Diesel Usage</w:t>
      </w:r>
    </w:p>
    <w:p w:rsidR="005458BD" w:rsidRPr="00A600C2" w:rsidRDefault="005458BD" w:rsidP="005458BD">
      <w:pPr>
        <w:pStyle w:val="ListParagraph"/>
        <w:numPr>
          <w:ilvl w:val="0"/>
          <w:numId w:val="13"/>
        </w:numPr>
        <w:ind w:left="2160"/>
        <w:rPr>
          <w:rFonts w:ascii="Arial" w:hAnsi="Arial" w:cs="Arial"/>
        </w:rPr>
      </w:pPr>
      <w:r w:rsidRPr="00A600C2">
        <w:rPr>
          <w:rFonts w:ascii="Arial" w:hAnsi="Arial" w:cs="Arial"/>
        </w:rPr>
        <w:t>Updates on other recs where the latest target date has not yet been reached.</w:t>
      </w:r>
    </w:p>
    <w:p w:rsidR="00E05B81" w:rsidRDefault="00E05B81" w:rsidP="005458BD">
      <w:pPr>
        <w:ind w:left="1560"/>
        <w:rPr>
          <w:lang w:val="en-US"/>
        </w:rPr>
      </w:pPr>
    </w:p>
    <w:p w:rsidR="00C6427B" w:rsidRPr="00C6427B" w:rsidRDefault="00C6427B" w:rsidP="00A600C2">
      <w:pPr>
        <w:ind w:left="1267" w:hanging="1267"/>
        <w:rPr>
          <w:lang w:val="en-US"/>
        </w:rPr>
      </w:pPr>
      <w:r>
        <w:rPr>
          <w:lang w:val="en-US"/>
        </w:rPr>
        <w:t>2.</w:t>
      </w:r>
      <w:r w:rsidR="00A600C2">
        <w:rPr>
          <w:lang w:val="en-US"/>
        </w:rPr>
        <w:t>3</w:t>
      </w:r>
      <w:r>
        <w:rPr>
          <w:lang w:val="en-US"/>
        </w:rPr>
        <w:tab/>
      </w:r>
      <w:r w:rsidR="00A600C2">
        <w:rPr>
          <w:lang w:val="en-US"/>
        </w:rPr>
        <w:t>Since the last Committee meeting the IC</w:t>
      </w:r>
      <w:r w:rsidR="005D086F">
        <w:rPr>
          <w:lang w:val="en-US"/>
        </w:rPr>
        <w:t>T</w:t>
      </w:r>
      <w:r w:rsidR="00A600C2">
        <w:rPr>
          <w:lang w:val="en-US"/>
        </w:rPr>
        <w:t xml:space="preserve"> audit reports and the Revenues and Benefits reports have been reviewed by the Director of Finance and revised management comments have been recorded – as agreed at the previous committee meeting, the previous management comments have been removed from the IC</w:t>
      </w:r>
      <w:r w:rsidR="00B01B2C">
        <w:rPr>
          <w:lang w:val="en-US"/>
        </w:rPr>
        <w:t>T</w:t>
      </w:r>
      <w:r w:rsidR="00A600C2">
        <w:rPr>
          <w:lang w:val="en-US"/>
        </w:rPr>
        <w:t xml:space="preserve"> audits (although a record of them is still held</w:t>
      </w:r>
      <w:r w:rsidR="00B01B2C">
        <w:rPr>
          <w:lang w:val="en-US"/>
        </w:rPr>
        <w:t>)</w:t>
      </w:r>
      <w:r w:rsidR="00A600C2">
        <w:rPr>
          <w:lang w:val="en-US"/>
        </w:rPr>
        <w:t>.</w:t>
      </w:r>
      <w:r w:rsidRPr="00C6427B">
        <w:rPr>
          <w:lang w:val="en-US"/>
        </w:rPr>
        <w:t xml:space="preserve"> </w:t>
      </w:r>
    </w:p>
    <w:p w:rsidR="00E05B81" w:rsidRDefault="00E05B81">
      <w:pPr>
        <w:ind w:left="1267" w:hanging="1267"/>
      </w:pPr>
    </w:p>
    <w:p w:rsidR="006223E6" w:rsidRDefault="006223E6" w:rsidP="006223E6">
      <w:pPr>
        <w:keepNext/>
        <w:ind w:left="1267" w:hanging="1267"/>
      </w:pPr>
      <w:r>
        <w:t>3.</w:t>
      </w:r>
      <w:r>
        <w:tab/>
      </w:r>
      <w:r>
        <w:rPr>
          <w:b/>
        </w:rPr>
        <w:t>Options/Reasons for Recommendation</w:t>
      </w:r>
    </w:p>
    <w:p w:rsidR="006223E6" w:rsidRDefault="006223E6" w:rsidP="006223E6">
      <w:pPr>
        <w:keepNext/>
        <w:ind w:left="1267" w:hanging="1267"/>
      </w:pPr>
    </w:p>
    <w:p w:rsidR="006223E6" w:rsidRDefault="006223E6" w:rsidP="006223E6">
      <w:pPr>
        <w:ind w:left="1267" w:hanging="1267"/>
      </w:pPr>
      <w:r>
        <w:t>3.1</w:t>
      </w:r>
      <w:r>
        <w:tab/>
      </w:r>
      <w:r>
        <w:fldChar w:fldCharType="begin"/>
      </w:r>
      <w:r>
        <w:instrText xml:space="preserve">  </w:instrText>
      </w:r>
      <w:r>
        <w:fldChar w:fldCharType="end"/>
      </w:r>
      <w:r>
        <w:t>The recommendation</w:t>
      </w:r>
      <w:r w:rsidR="00B30417">
        <w:t>s allow the internal audit log to be updated as per the Committee’s instructions</w:t>
      </w:r>
      <w:r w:rsidR="00F52AE0">
        <w:t>.</w:t>
      </w:r>
    </w:p>
    <w:p w:rsidR="006223E6" w:rsidRDefault="006223E6" w:rsidP="006223E6">
      <w:pPr>
        <w:ind w:left="1267" w:hanging="1267"/>
      </w:pPr>
    </w:p>
    <w:p w:rsidR="006223E6" w:rsidRDefault="006223E6" w:rsidP="006223E6">
      <w:pPr>
        <w:keepNext/>
        <w:ind w:left="1267" w:hanging="1267"/>
      </w:pPr>
      <w:r>
        <w:t>4.</w:t>
      </w:r>
      <w:r>
        <w:tab/>
      </w:r>
      <w:r>
        <w:rPr>
          <w:b/>
        </w:rPr>
        <w:t>Policy/Budget Implications</w:t>
      </w:r>
    </w:p>
    <w:p w:rsidR="006223E6" w:rsidRDefault="006223E6" w:rsidP="006223E6">
      <w:pPr>
        <w:keepNext/>
        <w:ind w:left="1267" w:hanging="1267"/>
      </w:pPr>
    </w:p>
    <w:p w:rsidR="006E3D8A" w:rsidRDefault="006223E6" w:rsidP="006223E6">
      <w:pPr>
        <w:ind w:left="1267" w:hanging="1267"/>
      </w:pPr>
      <w:r>
        <w:t>4.1</w:t>
      </w:r>
      <w:r>
        <w:tab/>
        <w:t>The recommendations in this report are within the Council’s agreed policy and budgets.</w:t>
      </w:r>
    </w:p>
    <w:p w:rsidR="006223E6" w:rsidRDefault="006223E6" w:rsidP="006223E6">
      <w:pPr>
        <w:ind w:left="1267" w:hanging="1267"/>
      </w:pPr>
      <w:r>
        <w:fldChar w:fldCharType="begin"/>
      </w:r>
      <w:r>
        <w:instrText xml:space="preserve">  </w:instrText>
      </w:r>
      <w:r>
        <w:fldChar w:fldCharType="end"/>
      </w:r>
    </w:p>
    <w:p w:rsidR="006223E6" w:rsidRDefault="007B1957" w:rsidP="006223E6">
      <w:pPr>
        <w:keepNext/>
        <w:ind w:left="1267" w:hanging="1267"/>
      </w:pPr>
      <w:r>
        <w:t>5</w:t>
      </w:r>
      <w:r w:rsidR="006223E6">
        <w:t>.</w:t>
      </w:r>
      <w:r w:rsidR="006223E6">
        <w:fldChar w:fldCharType="begin"/>
      </w:r>
      <w:r w:rsidR="006223E6">
        <w:instrText xml:space="preserve">  </w:instrText>
      </w:r>
      <w:r w:rsidR="006223E6">
        <w:fldChar w:fldCharType="end"/>
      </w:r>
      <w:r w:rsidR="006223E6">
        <w:tab/>
      </w:r>
      <w:r>
        <w:rPr>
          <w:b/>
        </w:rPr>
        <w:t xml:space="preserve">Financial, </w:t>
      </w:r>
      <w:r w:rsidR="006223E6">
        <w:rPr>
          <w:b/>
        </w:rPr>
        <w:t>Legal, Equal Opportunities, Staffing, Environmental, Community Safety, and Customer Services Centre</w:t>
      </w:r>
      <w:r w:rsidR="00126067">
        <w:rPr>
          <w:b/>
        </w:rPr>
        <w:t>, Website and Risk Management</w:t>
      </w:r>
      <w:r w:rsidR="006223E6">
        <w:rPr>
          <w:b/>
        </w:rPr>
        <w:t xml:space="preserve"> Implications</w:t>
      </w:r>
    </w:p>
    <w:p w:rsidR="006223E6" w:rsidRDefault="006223E6" w:rsidP="006223E6">
      <w:pPr>
        <w:keepNext/>
        <w:ind w:left="1267" w:hanging="1267"/>
      </w:pPr>
    </w:p>
    <w:p w:rsidR="006223E6" w:rsidRDefault="007B1957" w:rsidP="006223E6">
      <w:pPr>
        <w:ind w:left="1267" w:hanging="1267"/>
      </w:pPr>
      <w:r>
        <w:t>5</w:t>
      </w:r>
      <w:r w:rsidR="006223E6">
        <w:t>.1</w:t>
      </w:r>
      <w:r w:rsidR="006223E6">
        <w:fldChar w:fldCharType="begin"/>
      </w:r>
      <w:r w:rsidR="006223E6">
        <w:instrText xml:space="preserve">  </w:instrText>
      </w:r>
      <w:r w:rsidR="006223E6">
        <w:fldChar w:fldCharType="end"/>
      </w:r>
      <w:r w:rsidR="006223E6">
        <w:tab/>
        <w:t>None specific.</w:t>
      </w:r>
    </w:p>
    <w:p w:rsidR="00EB128F" w:rsidRDefault="00EB128F" w:rsidP="006223E6">
      <w:pPr>
        <w:pStyle w:val="BodyTextIndent"/>
      </w:pPr>
    </w:p>
    <w:p w:rsidR="006223E6" w:rsidRDefault="007B1957" w:rsidP="006223E6">
      <w:pPr>
        <w:keepNext/>
        <w:ind w:left="1267" w:hanging="1267"/>
      </w:pPr>
      <w:r>
        <w:t>6</w:t>
      </w:r>
      <w:r w:rsidR="006223E6">
        <w:t>.</w:t>
      </w:r>
      <w:r w:rsidR="006223E6">
        <w:fldChar w:fldCharType="begin"/>
      </w:r>
      <w:r w:rsidR="006223E6">
        <w:instrText xml:space="preserve">  </w:instrText>
      </w:r>
      <w:r w:rsidR="006223E6">
        <w:fldChar w:fldCharType="end"/>
      </w:r>
      <w:r w:rsidR="006223E6">
        <w:tab/>
      </w:r>
      <w:r w:rsidR="006223E6">
        <w:rPr>
          <w:b/>
        </w:rPr>
        <w:t>Recommendation</w:t>
      </w:r>
    </w:p>
    <w:p w:rsidR="006223E6" w:rsidRDefault="006223E6" w:rsidP="006223E6">
      <w:pPr>
        <w:keepNext/>
        <w:ind w:left="1267" w:hanging="1267"/>
      </w:pPr>
    </w:p>
    <w:p w:rsidR="00FF112C" w:rsidRPr="00FF112C" w:rsidRDefault="007B1957" w:rsidP="00FF112C">
      <w:pPr>
        <w:ind w:left="1267" w:hanging="1267"/>
        <w:rPr>
          <w:lang w:val="en-US"/>
        </w:rPr>
      </w:pPr>
      <w:r>
        <w:t>6</w:t>
      </w:r>
      <w:r w:rsidR="006223E6">
        <w:t>.1</w:t>
      </w:r>
      <w:r w:rsidR="006223E6">
        <w:tab/>
      </w:r>
      <w:r w:rsidR="00F267BF">
        <w:t>That the Committee n</w:t>
      </w:r>
      <w:r w:rsidR="00B30417">
        <w:t xml:space="preserve">ote and agree the revisions to the </w:t>
      </w:r>
      <w:r w:rsidR="00B30417" w:rsidRPr="00B30417">
        <w:t>Internal Audit Recommendations Log</w:t>
      </w:r>
      <w:r w:rsidR="00B30417">
        <w:t>.</w:t>
      </w:r>
      <w:r w:rsidR="00B30417" w:rsidRPr="00B30417">
        <w:t xml:space="preserve">  </w:t>
      </w:r>
    </w:p>
    <w:p w:rsidR="006223E6" w:rsidRDefault="006223E6" w:rsidP="006223E6">
      <w:pPr>
        <w:ind w:left="1267" w:hanging="1267"/>
      </w:pPr>
    </w:p>
    <w:p w:rsidR="00FF112C" w:rsidRDefault="00FF112C" w:rsidP="00FF112C">
      <w:pPr>
        <w:ind w:left="1260" w:hanging="1260"/>
        <w:rPr>
          <w:lang w:val="en-US"/>
        </w:rPr>
      </w:pPr>
      <w:r>
        <w:t>6.</w:t>
      </w:r>
      <w:r w:rsidR="00B30417">
        <w:t>2</w:t>
      </w:r>
      <w:r>
        <w:tab/>
      </w:r>
      <w:r w:rsidR="00F267BF">
        <w:t>That the Committee n</w:t>
      </w:r>
      <w:r w:rsidR="00B30417">
        <w:t>ote the implemented management actions to the recommendations in the log and a</w:t>
      </w:r>
      <w:r w:rsidR="00C6427B">
        <w:t>gree th</w:t>
      </w:r>
      <w:r w:rsidR="00B30417">
        <w:t>at these are now removed from future revisions of the log.</w:t>
      </w:r>
    </w:p>
    <w:p w:rsidR="00FF112C" w:rsidRDefault="00FF112C" w:rsidP="00FF112C">
      <w:pPr>
        <w:rPr>
          <w:lang w:val="en-US"/>
        </w:rPr>
      </w:pPr>
    </w:p>
    <w:p w:rsidR="00FF112C" w:rsidRPr="00FF112C" w:rsidRDefault="00FF112C" w:rsidP="00526F3D">
      <w:pPr>
        <w:ind w:left="1276" w:hanging="1276"/>
        <w:rPr>
          <w:lang w:val="en-US"/>
        </w:rPr>
      </w:pPr>
      <w:r>
        <w:rPr>
          <w:lang w:val="en-US"/>
        </w:rPr>
        <w:t>6.</w:t>
      </w:r>
      <w:r w:rsidR="00B30417">
        <w:rPr>
          <w:lang w:val="en-US"/>
        </w:rPr>
        <w:t>3</w:t>
      </w:r>
      <w:r>
        <w:rPr>
          <w:lang w:val="en-US"/>
        </w:rPr>
        <w:tab/>
      </w:r>
      <w:r w:rsidR="00F267BF">
        <w:rPr>
          <w:lang w:val="en-US"/>
        </w:rPr>
        <w:t>That the Committee a</w:t>
      </w:r>
      <w:r w:rsidR="00C6427B">
        <w:rPr>
          <w:lang w:val="en-US"/>
        </w:rPr>
        <w:t>gree</w:t>
      </w:r>
      <w:r w:rsidR="00F267BF">
        <w:rPr>
          <w:lang w:val="en-US"/>
        </w:rPr>
        <w:t>s</w:t>
      </w:r>
      <w:r w:rsidR="00C6427B">
        <w:rPr>
          <w:lang w:val="en-US"/>
        </w:rPr>
        <w:t xml:space="preserve"> the changes to the implementation date for </w:t>
      </w:r>
      <w:r w:rsidR="00B30417">
        <w:rPr>
          <w:lang w:val="en-US"/>
        </w:rPr>
        <w:t>16</w:t>
      </w:r>
      <w:r w:rsidR="00526F3D">
        <w:rPr>
          <w:lang w:val="en-US"/>
        </w:rPr>
        <w:t xml:space="preserve"> </w:t>
      </w:r>
      <w:r w:rsidR="00C6427B">
        <w:rPr>
          <w:lang w:val="en-US"/>
        </w:rPr>
        <w:t xml:space="preserve">recommendations for the reasons set out in </w:t>
      </w:r>
      <w:r w:rsidR="00B30417">
        <w:rPr>
          <w:lang w:val="en-US"/>
        </w:rPr>
        <w:t>Progress report</w:t>
      </w:r>
      <w:r w:rsidR="00F267BF">
        <w:rPr>
          <w:lang w:val="en-US"/>
        </w:rPr>
        <w:t xml:space="preserve"> and n</w:t>
      </w:r>
      <w:r w:rsidR="00B30417">
        <w:rPr>
          <w:lang w:val="en-US"/>
        </w:rPr>
        <w:t xml:space="preserve">ote that the remaining 4 recommendations are subject to separate reports </w:t>
      </w:r>
      <w:r w:rsidR="00F267BF">
        <w:rPr>
          <w:lang w:val="en-US"/>
        </w:rPr>
        <w:t xml:space="preserve">shown elsewhere </w:t>
      </w:r>
      <w:r w:rsidR="00B30417">
        <w:rPr>
          <w:lang w:val="en-US"/>
        </w:rPr>
        <w:t>on this agenda.</w:t>
      </w:r>
    </w:p>
    <w:p w:rsidR="00FF112C" w:rsidRPr="00FF112C" w:rsidRDefault="00FF112C" w:rsidP="00FF112C">
      <w:pPr>
        <w:rPr>
          <w:lang w:val="en-US"/>
        </w:rPr>
      </w:pPr>
    </w:p>
    <w:p w:rsidR="00FF112C" w:rsidRDefault="00FF112C" w:rsidP="006223E6">
      <w:bookmarkStart w:id="0" w:name="_GoBack"/>
      <w:bookmarkEnd w:id="0"/>
    </w:p>
    <w:p w:rsidR="006223E6" w:rsidRDefault="006223E6" w:rsidP="00885536">
      <w:pPr>
        <w:keepNext/>
        <w:ind w:left="1267" w:hanging="1267"/>
        <w:outlineLvl w:val="0"/>
      </w:pPr>
      <w:r>
        <w:tab/>
      </w:r>
      <w:r>
        <w:rPr>
          <w:b/>
        </w:rPr>
        <w:t>Background Papers</w:t>
      </w:r>
      <w:r w:rsidR="00885536">
        <w:rPr>
          <w:b/>
        </w:rPr>
        <w:t xml:space="preserve">  </w:t>
      </w:r>
      <w:r>
        <w:tab/>
      </w:r>
      <w:r w:rsidR="00970277">
        <w:t>None</w:t>
      </w:r>
    </w:p>
    <w:p w:rsidR="006223E6" w:rsidRDefault="006223E6" w:rsidP="006223E6">
      <w:pPr>
        <w:ind w:left="1267" w:hanging="1267"/>
        <w:rPr>
          <w:b/>
        </w:rPr>
      </w:pPr>
    </w:p>
    <w:p w:rsidR="00611E53" w:rsidRDefault="006223E6" w:rsidP="006223E6">
      <w:r>
        <w:tab/>
        <w:t>Report prepared by:</w:t>
      </w:r>
      <w:r>
        <w:tab/>
      </w:r>
    </w:p>
    <w:p w:rsidR="006223E6" w:rsidRDefault="00611E53" w:rsidP="006223E6">
      <w:r>
        <w:tab/>
      </w:r>
      <w:r w:rsidR="00885536">
        <w:t>Bob Watson</w:t>
      </w:r>
      <w:r w:rsidR="006223E6">
        <w:t xml:space="preserve"> – </w:t>
      </w:r>
      <w:r w:rsidR="00F03ECA">
        <w:t>Head of Finance</w:t>
      </w:r>
    </w:p>
    <w:p w:rsidR="006223E6" w:rsidRDefault="006223E6" w:rsidP="006223E6"/>
    <w:p w:rsidR="006223E6" w:rsidRDefault="006223E6" w:rsidP="00E05827">
      <w:pPr>
        <w:keepNext/>
        <w:ind w:left="1267" w:hanging="1267"/>
        <w:outlineLvl w:val="0"/>
      </w:pPr>
      <w:r>
        <w:tab/>
      </w:r>
      <w:r>
        <w:rPr>
          <w:b/>
        </w:rPr>
        <w:t>APPENDICES / ATTACHMENTS</w:t>
      </w:r>
    </w:p>
    <w:p w:rsidR="006223E6" w:rsidRDefault="006223E6" w:rsidP="006223E6">
      <w:pPr>
        <w:keepNext/>
        <w:ind w:left="1267" w:hanging="1267"/>
      </w:pPr>
    </w:p>
    <w:p w:rsidR="00FF112C" w:rsidRDefault="006223E6" w:rsidP="00FF112C">
      <w:pPr>
        <w:ind w:left="1276" w:hanging="1276"/>
        <w:rPr>
          <w:lang w:val="en-US"/>
        </w:rPr>
      </w:pPr>
      <w:r>
        <w:tab/>
      </w:r>
      <w:proofErr w:type="gramStart"/>
      <w:r w:rsidR="00B30417">
        <w:rPr>
          <w:lang w:val="en-US"/>
        </w:rPr>
        <w:t>Attachment 1</w:t>
      </w:r>
      <w:r w:rsidR="00B30417">
        <w:rPr>
          <w:lang w:val="en-US"/>
        </w:rPr>
        <w:tab/>
      </w:r>
      <w:r w:rsidR="00B30417">
        <w:rPr>
          <w:lang w:val="en-US"/>
        </w:rPr>
        <w:tab/>
        <w:t xml:space="preserve">SIAS </w:t>
      </w:r>
      <w:r w:rsidR="00FF112C" w:rsidRPr="00FF112C">
        <w:rPr>
          <w:lang w:val="en-US"/>
        </w:rPr>
        <w:fldChar w:fldCharType="begin"/>
      </w:r>
      <w:r w:rsidR="00FF112C" w:rsidRPr="00FF112C">
        <w:rPr>
          <w:lang w:val="en-US"/>
        </w:rPr>
        <w:instrText xml:space="preserve">  </w:instrText>
      </w:r>
      <w:r w:rsidR="00FF112C" w:rsidRPr="00FF112C">
        <w:fldChar w:fldCharType="end"/>
      </w:r>
      <w:r w:rsidR="00C70353">
        <w:rPr>
          <w:lang w:val="en-US"/>
        </w:rPr>
        <w:t xml:space="preserve">Progress </w:t>
      </w:r>
      <w:r w:rsidR="00B30417">
        <w:rPr>
          <w:lang w:val="en-US"/>
        </w:rPr>
        <w:t>report</w:t>
      </w:r>
      <w:r w:rsidR="00FF112C" w:rsidRPr="00FF112C">
        <w:rPr>
          <w:lang w:val="en-US"/>
        </w:rPr>
        <w:t>.</w:t>
      </w:r>
      <w:proofErr w:type="gramEnd"/>
      <w:r w:rsidR="00FF112C" w:rsidRPr="00FF112C">
        <w:rPr>
          <w:lang w:val="en-US"/>
        </w:rPr>
        <w:t xml:space="preserve"> </w:t>
      </w:r>
    </w:p>
    <w:p w:rsidR="00105A13" w:rsidRPr="00FF112C" w:rsidRDefault="00105A13" w:rsidP="00FF112C">
      <w:pPr>
        <w:ind w:left="1276" w:hanging="1276"/>
        <w:rPr>
          <w:lang w:val="en-US"/>
        </w:rPr>
      </w:pPr>
      <w:r>
        <w:rPr>
          <w:lang w:val="en-US"/>
        </w:rPr>
        <w:tab/>
        <w:t>A</w:t>
      </w:r>
      <w:r w:rsidR="00B30417">
        <w:rPr>
          <w:lang w:val="en-US"/>
        </w:rPr>
        <w:t>ttachment 2</w:t>
      </w:r>
      <w:r w:rsidR="00B30417">
        <w:rPr>
          <w:lang w:val="en-US"/>
        </w:rPr>
        <w:tab/>
      </w:r>
      <w:r>
        <w:rPr>
          <w:lang w:val="en-US"/>
        </w:rPr>
        <w:tab/>
      </w:r>
      <w:r w:rsidR="00B30417">
        <w:rPr>
          <w:lang w:val="en-US"/>
        </w:rPr>
        <w:t xml:space="preserve">Internal </w:t>
      </w:r>
      <w:r>
        <w:rPr>
          <w:lang w:val="en-US"/>
        </w:rPr>
        <w:t xml:space="preserve">Audit </w:t>
      </w:r>
      <w:r w:rsidR="00B30417">
        <w:rPr>
          <w:lang w:val="en-US"/>
        </w:rPr>
        <w:t>Recommendations Log (Appendices 3-9)</w:t>
      </w:r>
    </w:p>
    <w:p w:rsidR="007C0F52" w:rsidRDefault="007C0F52" w:rsidP="00FF112C">
      <w:pPr>
        <w:ind w:left="1276" w:hanging="1276"/>
      </w:pPr>
    </w:p>
    <w:sectPr w:rsidR="007C0F52">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17" w:rsidRDefault="00B30417">
      <w:r>
        <w:separator/>
      </w:r>
    </w:p>
  </w:endnote>
  <w:endnote w:type="continuationSeparator" w:id="0">
    <w:p w:rsidR="00B30417" w:rsidRDefault="00B3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17" w:rsidRDefault="00B30417">
      <w:r>
        <w:separator/>
      </w:r>
    </w:p>
  </w:footnote>
  <w:footnote w:type="continuationSeparator" w:id="0">
    <w:p w:rsidR="00B30417" w:rsidRDefault="00B304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45BD3"/>
    <w:multiLevelType w:val="hybridMultilevel"/>
    <w:tmpl w:val="9DD2F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17C062B3"/>
    <w:multiLevelType w:val="hybridMultilevel"/>
    <w:tmpl w:val="959E6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3">
      <w:start w:val="1"/>
      <w:numFmt w:val="bullet"/>
      <w:lvlText w:val="o"/>
      <w:lvlJc w:val="left"/>
      <w:pPr>
        <w:ind w:left="2880" w:hanging="360"/>
      </w:pPr>
      <w:rPr>
        <w:rFonts w:ascii="Courier New" w:hAnsi="Courier New" w:cs="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AB0AE5"/>
    <w:multiLevelType w:val="hybridMultilevel"/>
    <w:tmpl w:val="634489A0"/>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nsid w:val="4C360B83"/>
    <w:multiLevelType w:val="hybridMultilevel"/>
    <w:tmpl w:val="A2FE525A"/>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04090005">
      <w:start w:val="1"/>
      <w:numFmt w:val="bullet"/>
      <w:lvlText w:val=""/>
      <w:lvlJc w:val="left"/>
      <w:pPr>
        <w:tabs>
          <w:tab w:val="num" w:pos="2062"/>
        </w:tabs>
        <w:ind w:left="2062" w:hanging="360"/>
      </w:pPr>
      <w:rPr>
        <w:rFonts w:ascii="Wingdings" w:hAnsi="Wingdings" w:hint="default"/>
      </w:r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4">
    <w:nsid w:val="4E276D58"/>
    <w:multiLevelType w:val="hybridMultilevel"/>
    <w:tmpl w:val="2BB65DA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58917B80"/>
    <w:multiLevelType w:val="hybridMultilevel"/>
    <w:tmpl w:val="3EFE1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C960E1"/>
    <w:multiLevelType w:val="hybridMultilevel"/>
    <w:tmpl w:val="D05277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nsid w:val="5EFC2FA7"/>
    <w:multiLevelType w:val="hybridMultilevel"/>
    <w:tmpl w:val="9DD2F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684441D0"/>
    <w:multiLevelType w:val="hybridMultilevel"/>
    <w:tmpl w:val="1C507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D218C1"/>
    <w:multiLevelType w:val="hybridMultilevel"/>
    <w:tmpl w:val="A22E4AA2"/>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AA4A585A">
      <w:start w:val="1"/>
      <w:numFmt w:val="decimal"/>
      <w:lvlText w:val="%3."/>
      <w:lvlJc w:val="left"/>
      <w:pPr>
        <w:tabs>
          <w:tab w:val="num" w:pos="2160"/>
        </w:tabs>
        <w:ind w:left="2160" w:hanging="360"/>
      </w:p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10">
    <w:nsid w:val="755D41D8"/>
    <w:multiLevelType w:val="multilevel"/>
    <w:tmpl w:val="A22E4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9DC47D7"/>
    <w:multiLevelType w:val="hybridMultilevel"/>
    <w:tmpl w:val="96D4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6"/>
  </w:num>
  <w:num w:numId="10">
    <w:abstractNumId w:val="4"/>
  </w:num>
  <w:num w:numId="11">
    <w:abstractNumId w:val="8"/>
  </w:num>
  <w:num w:numId="12">
    <w:abstractNumId w:val="11"/>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234BD"/>
    <w:rsid w:val="0003116E"/>
    <w:rsid w:val="00057CB9"/>
    <w:rsid w:val="00085258"/>
    <w:rsid w:val="00092414"/>
    <w:rsid w:val="00096831"/>
    <w:rsid w:val="000A66FA"/>
    <w:rsid w:val="000B2715"/>
    <w:rsid w:val="000C06ED"/>
    <w:rsid w:val="000D0E5C"/>
    <w:rsid w:val="00105A13"/>
    <w:rsid w:val="00126067"/>
    <w:rsid w:val="00130C4D"/>
    <w:rsid w:val="001464B1"/>
    <w:rsid w:val="001625E4"/>
    <w:rsid w:val="001641C9"/>
    <w:rsid w:val="001C4C97"/>
    <w:rsid w:val="001F2A81"/>
    <w:rsid w:val="002859FC"/>
    <w:rsid w:val="00322F63"/>
    <w:rsid w:val="0032522E"/>
    <w:rsid w:val="00340B38"/>
    <w:rsid w:val="00361C57"/>
    <w:rsid w:val="004072B9"/>
    <w:rsid w:val="004242C6"/>
    <w:rsid w:val="00495264"/>
    <w:rsid w:val="0049582C"/>
    <w:rsid w:val="005267C9"/>
    <w:rsid w:val="00526F3D"/>
    <w:rsid w:val="005305AD"/>
    <w:rsid w:val="005458BD"/>
    <w:rsid w:val="005D086F"/>
    <w:rsid w:val="00611E53"/>
    <w:rsid w:val="006223E6"/>
    <w:rsid w:val="00624AC1"/>
    <w:rsid w:val="00625630"/>
    <w:rsid w:val="006501AE"/>
    <w:rsid w:val="006615CE"/>
    <w:rsid w:val="006739DD"/>
    <w:rsid w:val="006A02CC"/>
    <w:rsid w:val="006C3598"/>
    <w:rsid w:val="006E3D8A"/>
    <w:rsid w:val="006F5703"/>
    <w:rsid w:val="00707141"/>
    <w:rsid w:val="00707348"/>
    <w:rsid w:val="007B1957"/>
    <w:rsid w:val="007B34B3"/>
    <w:rsid w:val="007C0F52"/>
    <w:rsid w:val="007C7392"/>
    <w:rsid w:val="007D2D5B"/>
    <w:rsid w:val="007E54C2"/>
    <w:rsid w:val="00800471"/>
    <w:rsid w:val="0081151C"/>
    <w:rsid w:val="00813DF2"/>
    <w:rsid w:val="008314A2"/>
    <w:rsid w:val="00856557"/>
    <w:rsid w:val="00864B68"/>
    <w:rsid w:val="00885536"/>
    <w:rsid w:val="008B30F2"/>
    <w:rsid w:val="008B55B3"/>
    <w:rsid w:val="00955BB9"/>
    <w:rsid w:val="00960D2A"/>
    <w:rsid w:val="009671FB"/>
    <w:rsid w:val="00970277"/>
    <w:rsid w:val="00A14AA6"/>
    <w:rsid w:val="00A1715A"/>
    <w:rsid w:val="00A1768F"/>
    <w:rsid w:val="00A32CF9"/>
    <w:rsid w:val="00A43F16"/>
    <w:rsid w:val="00A544D4"/>
    <w:rsid w:val="00A600C2"/>
    <w:rsid w:val="00A81011"/>
    <w:rsid w:val="00AA0989"/>
    <w:rsid w:val="00AC3185"/>
    <w:rsid w:val="00B01B2C"/>
    <w:rsid w:val="00B04677"/>
    <w:rsid w:val="00B11A8C"/>
    <w:rsid w:val="00B30417"/>
    <w:rsid w:val="00B54E79"/>
    <w:rsid w:val="00B86524"/>
    <w:rsid w:val="00BE0E63"/>
    <w:rsid w:val="00C27553"/>
    <w:rsid w:val="00C42F64"/>
    <w:rsid w:val="00C6427B"/>
    <w:rsid w:val="00C70353"/>
    <w:rsid w:val="00CA0E84"/>
    <w:rsid w:val="00CA3413"/>
    <w:rsid w:val="00CD5B98"/>
    <w:rsid w:val="00CF431B"/>
    <w:rsid w:val="00D65D16"/>
    <w:rsid w:val="00D66E75"/>
    <w:rsid w:val="00D67CA7"/>
    <w:rsid w:val="00DF4975"/>
    <w:rsid w:val="00E05827"/>
    <w:rsid w:val="00E05B81"/>
    <w:rsid w:val="00EB128F"/>
    <w:rsid w:val="00EF2545"/>
    <w:rsid w:val="00F03ECA"/>
    <w:rsid w:val="00F267BF"/>
    <w:rsid w:val="00F52AE0"/>
    <w:rsid w:val="00FB7964"/>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 w:type="paragraph" w:styleId="ListParagraph">
    <w:name w:val="List Paragraph"/>
    <w:basedOn w:val="Normal"/>
    <w:uiPriority w:val="34"/>
    <w:qFormat/>
    <w:rsid w:val="005458BD"/>
    <w:pPr>
      <w:tabs>
        <w:tab w:val="clear" w:pos="1260"/>
        <w:tab w:val="clear" w:pos="1980"/>
        <w:tab w:val="clear" w:pos="2700"/>
        <w:tab w:val="clear" w:pos="3420"/>
      </w:tabs>
      <w:ind w:left="720"/>
      <w:jc w:val="left"/>
    </w:pPr>
    <w:rPr>
      <w:rFonts w:ascii="Calibri" w:eastAsiaTheme="minorHAnsi" w:hAnsi="Calibr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 w:type="paragraph" w:styleId="ListParagraph">
    <w:name w:val="List Paragraph"/>
    <w:basedOn w:val="Normal"/>
    <w:uiPriority w:val="34"/>
    <w:qFormat/>
    <w:rsid w:val="005458BD"/>
    <w:pPr>
      <w:tabs>
        <w:tab w:val="clear" w:pos="1260"/>
        <w:tab w:val="clear" w:pos="1980"/>
        <w:tab w:val="clear" w:pos="2700"/>
        <w:tab w:val="clear" w:pos="3420"/>
      </w:tabs>
      <w:ind w:left="720"/>
      <w:jc w:val="left"/>
    </w:pPr>
    <w:rPr>
      <w:rFonts w:ascii="Calibri" w:eastAsiaTheme="minorHAnsi" w:hAnsi="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9319">
      <w:bodyDiv w:val="1"/>
      <w:marLeft w:val="0"/>
      <w:marRight w:val="0"/>
      <w:marTop w:val="0"/>
      <w:marBottom w:val="0"/>
      <w:divBdr>
        <w:top w:val="none" w:sz="0" w:space="0" w:color="auto"/>
        <w:left w:val="none" w:sz="0" w:space="0" w:color="auto"/>
        <w:bottom w:val="none" w:sz="0" w:space="0" w:color="auto"/>
        <w:right w:val="none" w:sz="0" w:space="0" w:color="auto"/>
      </w:divBdr>
      <w:divsChild>
        <w:div w:id="1834025436">
          <w:marLeft w:val="0"/>
          <w:marRight w:val="0"/>
          <w:marTop w:val="0"/>
          <w:marBottom w:val="0"/>
          <w:divBdr>
            <w:top w:val="none" w:sz="0" w:space="0" w:color="auto"/>
            <w:left w:val="none" w:sz="0" w:space="0" w:color="auto"/>
            <w:bottom w:val="none" w:sz="0" w:space="0" w:color="auto"/>
            <w:right w:val="none" w:sz="0" w:space="0" w:color="auto"/>
          </w:divBdr>
          <w:divsChild>
            <w:div w:id="71244064">
              <w:marLeft w:val="0"/>
              <w:marRight w:val="0"/>
              <w:marTop w:val="0"/>
              <w:marBottom w:val="0"/>
              <w:divBdr>
                <w:top w:val="none" w:sz="0" w:space="0" w:color="auto"/>
                <w:left w:val="none" w:sz="0" w:space="0" w:color="auto"/>
                <w:bottom w:val="none" w:sz="0" w:space="0" w:color="auto"/>
                <w:right w:val="none" w:sz="0" w:space="0" w:color="auto"/>
              </w:divBdr>
            </w:div>
            <w:div w:id="402146488">
              <w:marLeft w:val="0"/>
              <w:marRight w:val="0"/>
              <w:marTop w:val="0"/>
              <w:marBottom w:val="0"/>
              <w:divBdr>
                <w:top w:val="none" w:sz="0" w:space="0" w:color="auto"/>
                <w:left w:val="none" w:sz="0" w:space="0" w:color="auto"/>
                <w:bottom w:val="none" w:sz="0" w:space="0" w:color="auto"/>
                <w:right w:val="none" w:sz="0" w:space="0" w:color="auto"/>
              </w:divBdr>
            </w:div>
            <w:div w:id="881481542">
              <w:marLeft w:val="0"/>
              <w:marRight w:val="0"/>
              <w:marTop w:val="0"/>
              <w:marBottom w:val="0"/>
              <w:divBdr>
                <w:top w:val="none" w:sz="0" w:space="0" w:color="auto"/>
                <w:left w:val="none" w:sz="0" w:space="0" w:color="auto"/>
                <w:bottom w:val="none" w:sz="0" w:space="0" w:color="auto"/>
                <w:right w:val="none" w:sz="0" w:space="0" w:color="auto"/>
              </w:divBdr>
            </w:div>
            <w:div w:id="1011840101">
              <w:marLeft w:val="0"/>
              <w:marRight w:val="0"/>
              <w:marTop w:val="0"/>
              <w:marBottom w:val="0"/>
              <w:divBdr>
                <w:top w:val="none" w:sz="0" w:space="0" w:color="auto"/>
                <w:left w:val="none" w:sz="0" w:space="0" w:color="auto"/>
                <w:bottom w:val="none" w:sz="0" w:space="0" w:color="auto"/>
                <w:right w:val="none" w:sz="0" w:space="0" w:color="auto"/>
              </w:divBdr>
            </w:div>
            <w:div w:id="1223828879">
              <w:marLeft w:val="0"/>
              <w:marRight w:val="0"/>
              <w:marTop w:val="0"/>
              <w:marBottom w:val="0"/>
              <w:divBdr>
                <w:top w:val="none" w:sz="0" w:space="0" w:color="auto"/>
                <w:left w:val="none" w:sz="0" w:space="0" w:color="auto"/>
                <w:bottom w:val="none" w:sz="0" w:space="0" w:color="auto"/>
                <w:right w:val="none" w:sz="0" w:space="0" w:color="auto"/>
              </w:divBdr>
            </w:div>
            <w:div w:id="1616519491">
              <w:marLeft w:val="0"/>
              <w:marRight w:val="0"/>
              <w:marTop w:val="0"/>
              <w:marBottom w:val="0"/>
              <w:divBdr>
                <w:top w:val="none" w:sz="0" w:space="0" w:color="auto"/>
                <w:left w:val="none" w:sz="0" w:space="0" w:color="auto"/>
                <w:bottom w:val="none" w:sz="0" w:space="0" w:color="auto"/>
                <w:right w:val="none" w:sz="0" w:space="0" w:color="auto"/>
              </w:divBdr>
            </w:div>
            <w:div w:id="1636636863">
              <w:marLeft w:val="0"/>
              <w:marRight w:val="0"/>
              <w:marTop w:val="0"/>
              <w:marBottom w:val="0"/>
              <w:divBdr>
                <w:top w:val="none" w:sz="0" w:space="0" w:color="auto"/>
                <w:left w:val="none" w:sz="0" w:space="0" w:color="auto"/>
                <w:bottom w:val="none" w:sz="0" w:space="0" w:color="auto"/>
                <w:right w:val="none" w:sz="0" w:space="0" w:color="auto"/>
              </w:divBdr>
            </w:div>
            <w:div w:id="1637485520">
              <w:marLeft w:val="0"/>
              <w:marRight w:val="0"/>
              <w:marTop w:val="0"/>
              <w:marBottom w:val="0"/>
              <w:divBdr>
                <w:top w:val="none" w:sz="0" w:space="0" w:color="auto"/>
                <w:left w:val="none" w:sz="0" w:space="0" w:color="auto"/>
                <w:bottom w:val="none" w:sz="0" w:space="0" w:color="auto"/>
                <w:right w:val="none" w:sz="0" w:space="0" w:color="auto"/>
              </w:divBdr>
            </w:div>
            <w:div w:id="1784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9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387</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Report: Audit Committee 13.06.13: part i - (06) external audit plan</vt:lpstr>
    </vt:vector>
  </TitlesOfParts>
  <Company>Pre-installed Company</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(06) external audit plan</dc:title>
  <dc:creator>Three Rivers DC</dc:creator>
  <cp:lastModifiedBy>Nigel Pollard</cp:lastModifiedBy>
  <cp:revision>5</cp:revision>
  <cp:lastPrinted>2013-05-29T10:56:00Z</cp:lastPrinted>
  <dcterms:created xsi:type="dcterms:W3CDTF">2016-07-15T11:22:00Z</dcterms:created>
  <dcterms:modified xsi:type="dcterms:W3CDTF">2016-07-18T08:52:00Z</dcterms:modified>
</cp:coreProperties>
</file>